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D.C.20549</w:t>
      </w:r>
    </w:p>
    <w:p>
      <w:pPr>
        <w:spacing w:after="0" w:line="1" w:lineRule="exact"/>
        <w:rPr>
          <w:sz w:val="24"/>
          <w:szCs w:val="24"/>
          <w:color w:val="auto"/>
        </w:rPr>
      </w:pPr>
    </w:p>
    <w:p>
      <w:pPr>
        <w:ind w:left="2820"/>
        <w:spacing w:after="0"/>
        <w:rPr>
          <w:sz w:val="20"/>
          <w:szCs w:val="20"/>
          <w:color w:val="auto"/>
        </w:rPr>
      </w:pPr>
      <w:r>
        <w:rPr>
          <w:rFonts w:ascii="Arial" w:cs="Arial" w:eastAsia="Arial" w:hAnsi="Arial"/>
          <w:sz w:val="14"/>
          <w:szCs w:val="14"/>
          <w:u w:val="single" w:color="auto"/>
          <w:color w:val="auto"/>
        </w:rPr>
        <w:t>______________________________________________________________________</w:t>
      </w:r>
    </w:p>
    <w:p>
      <w:pPr>
        <w:spacing w:after="0" w:line="1" w:lineRule="exact"/>
        <w:rPr>
          <w:sz w:val="24"/>
          <w:szCs w:val="24"/>
          <w:color w:val="auto"/>
        </w:rPr>
      </w:pPr>
    </w:p>
    <w:p>
      <w:pPr>
        <w:ind w:left="5240"/>
        <w:spacing w:after="0"/>
        <w:rPr>
          <w:sz w:val="20"/>
          <w:szCs w:val="20"/>
          <w:color w:val="auto"/>
        </w:rPr>
      </w:pPr>
      <w:r>
        <w:rPr>
          <w:rFonts w:ascii="Arial" w:cs="Arial" w:eastAsia="Arial" w:hAnsi="Arial"/>
          <w:sz w:val="14"/>
          <w:szCs w:val="14"/>
          <w:b w:val="1"/>
          <w:bCs w:val="1"/>
          <w:color w:val="auto"/>
        </w:rPr>
        <w:t>FORM 20-F</w:t>
      </w:r>
    </w:p>
    <w:p>
      <w:pPr>
        <w:ind w:left="5240"/>
        <w:spacing w:after="0" w:line="233" w:lineRule="auto"/>
        <w:rPr>
          <w:sz w:val="20"/>
          <w:szCs w:val="20"/>
          <w:color w:val="auto"/>
        </w:rPr>
      </w:pPr>
      <w:r>
        <w:rPr>
          <w:rFonts w:ascii="Arial" w:cs="Arial" w:eastAsia="Arial" w:hAnsi="Arial"/>
          <w:sz w:val="14"/>
          <w:szCs w:val="14"/>
          <w:b w:val="1"/>
          <w:bCs w:val="1"/>
          <w:color w:val="auto"/>
        </w:rPr>
        <w:t>(Mark One)</w:t>
      </w:r>
    </w:p>
    <w:p>
      <w:pPr>
        <w:spacing w:after="0" w:line="2" w:lineRule="exact"/>
        <w:rPr>
          <w:sz w:val="24"/>
          <w:szCs w:val="24"/>
          <w:color w:val="auto"/>
        </w:rPr>
      </w:pPr>
    </w:p>
    <w:p>
      <w:pPr>
        <w:ind w:left="2500" w:hanging="184"/>
        <w:spacing w:after="0"/>
        <w:tabs>
          <w:tab w:leader="none" w:pos="25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26"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11" w:lineRule="exact"/>
        <w:rPr>
          <w:rFonts w:ascii="MS PGothic" w:cs="MS PGothic" w:eastAsia="MS PGothic" w:hAnsi="MS PGothic"/>
          <w:sz w:val="16"/>
          <w:szCs w:val="16"/>
          <w:color w:val="auto"/>
        </w:rPr>
      </w:pPr>
    </w:p>
    <w:p>
      <w:pPr>
        <w:ind w:left="2800" w:hanging="184"/>
        <w:spacing w:after="0"/>
        <w:tabs>
          <w:tab w:leader="none" w:pos="2800" w:val="left"/>
        </w:tabs>
        <w:numPr>
          <w:ilvl w:val="1"/>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 (d) of the Securities Exchange Act of 1934</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fiscal year ended:December 31, 2020</w:t>
      </w:r>
    </w:p>
    <w:p>
      <w:pPr>
        <w:jc w:val="center"/>
        <w:ind w:right="-99"/>
        <w:spacing w:after="0" w:line="233" w:lineRule="auto"/>
        <w:rPr>
          <w:sz w:val="20"/>
          <w:szCs w:val="20"/>
          <w:color w:val="auto"/>
        </w:rPr>
      </w:pPr>
      <w:r>
        <w:rPr>
          <w:rFonts w:ascii="Arial" w:cs="Arial" w:eastAsia="Arial" w:hAnsi="Arial"/>
          <w:sz w:val="14"/>
          <w:szCs w:val="14"/>
          <w:b w:val="1"/>
          <w:bCs w:val="1"/>
          <w:color w:val="auto"/>
        </w:rPr>
        <w:t>OR</w:t>
      </w:r>
    </w:p>
    <w:p>
      <w:pPr>
        <w:spacing w:after="0" w:line="2" w:lineRule="exact"/>
        <w:rPr>
          <w:sz w:val="24"/>
          <w:szCs w:val="24"/>
          <w:color w:val="auto"/>
        </w:rPr>
      </w:pPr>
    </w:p>
    <w:p>
      <w:pPr>
        <w:ind w:left="2720" w:hanging="184"/>
        <w:spacing w:after="0"/>
        <w:tabs>
          <w:tab w:leader="none" w:pos="2720" w:val="left"/>
        </w:tabs>
        <w:numPr>
          <w:ilvl w:val="1"/>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6"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11" w:lineRule="exact"/>
        <w:rPr>
          <w:rFonts w:ascii="MS PGothic" w:cs="MS PGothic" w:eastAsia="MS PGothic" w:hAnsi="MS PGothic"/>
          <w:sz w:val="16"/>
          <w:szCs w:val="16"/>
          <w:color w:val="auto"/>
        </w:rPr>
      </w:pPr>
    </w:p>
    <w:p>
      <w:pPr>
        <w:ind w:left="2540" w:hanging="180"/>
        <w:spacing w:after="0"/>
        <w:tabs>
          <w:tab w:leader="none" w:pos="254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11" w:lineRule="exact"/>
        <w:rPr>
          <w:rFonts w:ascii="MS PGothic" w:cs="MS PGothic" w:eastAsia="MS PGothic" w:hAnsi="MS PGothic"/>
          <w:sz w:val="16"/>
          <w:szCs w:val="16"/>
          <w:color w:val="auto"/>
        </w:rPr>
      </w:pPr>
    </w:p>
    <w:p>
      <w:pPr>
        <w:ind w:left="4140"/>
        <w:spacing w:after="0"/>
        <w:rPr>
          <w:rFonts w:ascii="MS PGothic" w:cs="MS PGothic" w:eastAsia="MS PGothic" w:hAnsi="MS PGothic"/>
          <w:sz w:val="16"/>
          <w:szCs w:val="16"/>
          <w:color w:val="auto"/>
        </w:rPr>
      </w:pPr>
      <w:r>
        <w:rPr>
          <w:rFonts w:ascii="Arial" w:cs="Arial" w:eastAsia="Arial" w:hAnsi="Arial"/>
          <w:sz w:val="14"/>
          <w:szCs w:val="14"/>
          <w:b w:val="1"/>
          <w:bCs w:val="1"/>
          <w:u w:val="single" w:color="auto"/>
          <w:color w:val="auto"/>
        </w:rPr>
        <w:t>_____________________________________</w:t>
      </w:r>
    </w:p>
    <w:p>
      <w:pPr>
        <w:spacing w:after="0" w:line="23" w:lineRule="exact"/>
        <w:rPr>
          <w:rFonts w:ascii="MS PGothic" w:cs="MS PGothic" w:eastAsia="MS PGothic" w:hAnsi="MS PGothic"/>
          <w:sz w:val="16"/>
          <w:szCs w:val="16"/>
          <w:color w:val="auto"/>
        </w:rPr>
      </w:pPr>
    </w:p>
    <w:p>
      <w:pPr>
        <w:ind w:left="43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Commission File Number: 333-08704</w:t>
      </w:r>
    </w:p>
    <w:p>
      <w:pPr>
        <w:spacing w:after="0" w:line="29" w:lineRule="exact"/>
        <w:rPr>
          <w:rFonts w:ascii="MS PGothic" w:cs="MS PGothic" w:eastAsia="MS PGothic" w:hAnsi="MS PGothic"/>
          <w:sz w:val="16"/>
          <w:szCs w:val="16"/>
          <w:color w:val="auto"/>
        </w:rPr>
      </w:pPr>
    </w:p>
    <w:p>
      <w:pPr>
        <w:ind w:left="44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111125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52"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(Translation of Registrant’s name into English)</w:t>
      </w:r>
    </w:p>
    <w:p>
      <w:pPr>
        <w:spacing w:after="0" w:line="64" w:lineRule="exact"/>
        <w:rPr>
          <w:sz w:val="24"/>
          <w:szCs w:val="24"/>
          <w:color w:val="auto"/>
        </w:rPr>
      </w:pPr>
    </w:p>
    <w:p>
      <w:pPr>
        <w:ind w:left="538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17780</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53" w:lineRule="exact"/>
        <w:rPr>
          <w:sz w:val="24"/>
          <w:szCs w:val="24"/>
          <w:color w:val="auto"/>
        </w:rPr>
      </w:pPr>
    </w:p>
    <w:p>
      <w:pPr>
        <w:ind w:left="4180"/>
        <w:spacing w:after="0"/>
        <w:rPr>
          <w:sz w:val="20"/>
          <w:szCs w:val="20"/>
          <w:color w:val="auto"/>
        </w:rPr>
      </w:pPr>
      <w:r>
        <w:rPr>
          <w:rFonts w:ascii="Arial" w:cs="Arial" w:eastAsia="Arial" w:hAnsi="Arial"/>
          <w:sz w:val="14"/>
          <w:szCs w:val="14"/>
          <w:color w:val="auto"/>
        </w:rPr>
        <w:t>(Jurisdiction of Incorporation or Organization)</w:t>
      </w:r>
    </w:p>
    <w:p>
      <w:pPr>
        <w:spacing w:after="0" w:line="64" w:lineRule="exact"/>
        <w:rPr>
          <w:sz w:val="24"/>
          <w:szCs w:val="24"/>
          <w:color w:val="auto"/>
        </w:rPr>
      </w:pPr>
    </w:p>
    <w:p>
      <w:pPr>
        <w:ind w:left="4620"/>
        <w:spacing w:after="0"/>
        <w:rPr>
          <w:sz w:val="20"/>
          <w:szCs w:val="20"/>
          <w:color w:val="auto"/>
        </w:rPr>
      </w:pPr>
      <w:r>
        <w:rPr>
          <w:rFonts w:ascii="Arial" w:cs="Arial" w:eastAsia="Arial" w:hAnsi="Arial"/>
          <w:sz w:val="14"/>
          <w:szCs w:val="14"/>
          <w:b w:val="1"/>
          <w:bCs w:val="1"/>
          <w:color w:val="auto"/>
        </w:rPr>
        <w:t>South County Business Park,</w:t>
      </w:r>
    </w:p>
    <w:p>
      <w:pPr>
        <w:spacing w:after="0" w:line="29"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Leopardstown,</w:t>
      </w:r>
    </w:p>
    <w:p>
      <w:pPr>
        <w:spacing w:after="0" w:line="2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42545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92"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(Address of principal executive offices)</w:t>
      </w:r>
    </w:p>
    <w:p>
      <w:pPr>
        <w:spacing w:after="0" w:line="78"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Brendan Brennan, Chief Financial Officer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County Business Park, Leopardstown, Dublin 18, Ireland.</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Brendan.Brennan@iconplc.com</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+353-1-291-2000</w:t>
      </w:r>
    </w:p>
    <w:p>
      <w:pPr>
        <w:ind w:left="4140"/>
        <w:spacing w:after="0" w:line="215" w:lineRule="auto"/>
        <w:rPr>
          <w:sz w:val="20"/>
          <w:szCs w:val="20"/>
          <w:color w:val="auto"/>
        </w:rPr>
      </w:pPr>
      <w:r>
        <w:rPr>
          <w:rFonts w:ascii="Arial" w:cs="Arial" w:eastAsia="Arial" w:hAnsi="Arial"/>
          <w:sz w:val="14"/>
          <w:szCs w:val="14"/>
          <w:b w:val="1"/>
          <w:bCs w:val="1"/>
          <w:color w:val="auto"/>
        </w:rPr>
        <w:t>_____________________________________</w:t>
      </w:r>
    </w:p>
    <w:p>
      <w:pPr>
        <w:spacing w:after="0" w:line="21" w:lineRule="exact"/>
        <w:rPr>
          <w:sz w:val="24"/>
          <w:szCs w:val="24"/>
          <w:color w:val="auto"/>
        </w:rPr>
      </w:pPr>
    </w:p>
    <w:tbl>
      <w:tblPr>
        <w:tblLayout w:type="fixed"/>
        <w:tblInd w:w="560" w:type="dxa"/>
        <w:tblCellMar>
          <w:top w:w="0" w:type="dxa"/>
          <w:left w:w="0" w:type="dxa"/>
          <w:bottom w:w="0" w:type="dxa"/>
          <w:right w:w="0" w:type="dxa"/>
        </w:tblCellMar>
      </w:tblPr>
      <w:tr>
        <w:trPr>
          <w:trHeight w:val="20"/>
        </w:trPr>
        <w:tc>
          <w:tcPr>
            <w:tcW w:w="3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40"/>
        </w:trPr>
        <w:tc>
          <w:tcPr>
            <w:tcW w:w="8240" w:type="dxa"/>
            <w:vAlign w:val="bottom"/>
            <w:gridSpan w:val="4"/>
          </w:tcPr>
          <w:p>
            <w:pPr>
              <w:jc w:val="right"/>
              <w:spacing w:after="0" w:line="141" w:lineRule="exact"/>
              <w:rPr>
                <w:sz w:val="20"/>
                <w:szCs w:val="20"/>
                <w:color w:val="auto"/>
              </w:rPr>
            </w:pPr>
            <w:r>
              <w:rPr>
                <w:rFonts w:ascii="Arial" w:cs="Arial" w:eastAsia="Arial" w:hAnsi="Arial"/>
                <w:sz w:val="14"/>
                <w:szCs w:val="14"/>
                <w:color w:val="auto"/>
              </w:rPr>
              <w:t>(Name, telephone number, email and/or facsimile number and address of Company contact person)</w:t>
            </w:r>
          </w:p>
        </w:tc>
      </w:tr>
      <w:tr>
        <w:trPr>
          <w:trHeight w:val="172"/>
        </w:trPr>
        <w:tc>
          <w:tcPr>
            <w:tcW w:w="8240" w:type="dxa"/>
            <w:vAlign w:val="bottom"/>
            <w:gridSpan w:val="4"/>
          </w:tcPr>
          <w:p>
            <w:pPr>
              <w:jc w:val="right"/>
              <w:ind w:right="740"/>
              <w:spacing w:after="0"/>
              <w:rPr>
                <w:sz w:val="20"/>
                <w:szCs w:val="20"/>
                <w:color w:val="auto"/>
              </w:rPr>
            </w:pPr>
            <w:r>
              <w:rPr>
                <w:rFonts w:ascii="Arial" w:cs="Arial" w:eastAsia="Arial" w:hAnsi="Arial"/>
                <w:sz w:val="14"/>
                <w:szCs w:val="14"/>
                <w:color w:val="auto"/>
              </w:rPr>
              <w:t>Securities registered or to be registered pursuant to Section 12(b) of the Act:</w:t>
            </w:r>
          </w:p>
        </w:tc>
      </w:tr>
      <w:tr>
        <w:trPr>
          <w:trHeight w:val="309"/>
        </w:trPr>
        <w:tc>
          <w:tcPr>
            <w:tcW w:w="3600" w:type="dxa"/>
            <w:vAlign w:val="bottom"/>
          </w:tcPr>
          <w:p>
            <w:pPr>
              <w:jc w:val="center"/>
              <w:ind w:right="388"/>
              <w:spacing w:after="0"/>
              <w:rPr>
                <w:sz w:val="20"/>
                <w:szCs w:val="20"/>
                <w:color w:val="auto"/>
              </w:rPr>
            </w:pPr>
            <w:r>
              <w:rPr>
                <w:rFonts w:ascii="Arial" w:cs="Arial" w:eastAsia="Arial" w:hAnsi="Arial"/>
                <w:sz w:val="14"/>
                <w:szCs w:val="14"/>
                <w:i w:val="1"/>
                <w:iCs w:val="1"/>
                <w:color w:val="auto"/>
              </w:rPr>
              <w:t>Title of each class</w:t>
            </w:r>
          </w:p>
        </w:tc>
        <w:tc>
          <w:tcPr>
            <w:tcW w:w="1460" w:type="dxa"/>
            <w:vAlign w:val="bottom"/>
          </w:tcPr>
          <w:p>
            <w:pPr>
              <w:spacing w:after="0"/>
              <w:rPr>
                <w:sz w:val="24"/>
                <w:szCs w:val="24"/>
                <w:color w:val="auto"/>
              </w:rPr>
            </w:pPr>
          </w:p>
        </w:tc>
        <w:tc>
          <w:tcPr>
            <w:tcW w:w="3180" w:type="dxa"/>
            <w:vAlign w:val="bottom"/>
            <w:gridSpan w:val="2"/>
          </w:tcPr>
          <w:p>
            <w:pPr>
              <w:jc w:val="right"/>
              <w:ind w:right="320"/>
              <w:spacing w:after="0"/>
              <w:rPr>
                <w:sz w:val="20"/>
                <w:szCs w:val="20"/>
                <w:color w:val="auto"/>
              </w:rPr>
            </w:pPr>
            <w:r>
              <w:rPr>
                <w:rFonts w:ascii="Arial" w:cs="Arial" w:eastAsia="Arial" w:hAnsi="Arial"/>
                <w:sz w:val="14"/>
                <w:szCs w:val="14"/>
                <w:i w:val="1"/>
                <w:iCs w:val="1"/>
                <w:color w:val="auto"/>
              </w:rPr>
              <w:t>Name of exchange on which registered</w:t>
            </w:r>
          </w:p>
        </w:tc>
      </w:tr>
      <w:tr>
        <w:trPr>
          <w:trHeight w:val="190"/>
        </w:trPr>
        <w:tc>
          <w:tcPr>
            <w:tcW w:w="3600" w:type="dxa"/>
            <w:vAlign w:val="bottom"/>
          </w:tcPr>
          <w:p>
            <w:pPr>
              <w:jc w:val="center"/>
              <w:ind w:right="388"/>
              <w:spacing w:after="0"/>
              <w:rPr>
                <w:sz w:val="20"/>
                <w:szCs w:val="20"/>
                <w:color w:val="auto"/>
              </w:rPr>
            </w:pPr>
            <w:r>
              <w:rPr>
                <w:rFonts w:ascii="Arial" w:cs="Arial" w:eastAsia="Arial" w:hAnsi="Arial"/>
                <w:sz w:val="14"/>
                <w:szCs w:val="14"/>
                <w:b w:val="1"/>
                <w:bCs w:val="1"/>
                <w:color w:val="auto"/>
              </w:rPr>
              <w:t>ORDINARY SHARES, PAR VALUE €0.06 EACH</w:t>
            </w:r>
          </w:p>
        </w:tc>
        <w:tc>
          <w:tcPr>
            <w:tcW w:w="1460" w:type="dxa"/>
            <w:vAlign w:val="bottom"/>
          </w:tcPr>
          <w:p>
            <w:pPr>
              <w:ind w:left="780"/>
              <w:spacing w:after="0"/>
              <w:rPr>
                <w:sz w:val="20"/>
                <w:szCs w:val="20"/>
                <w:color w:val="auto"/>
              </w:rPr>
            </w:pPr>
            <w:r>
              <w:rPr>
                <w:rFonts w:ascii="Arial" w:cs="Arial" w:eastAsia="Arial" w:hAnsi="Arial"/>
                <w:sz w:val="14"/>
                <w:szCs w:val="14"/>
                <w:color w:val="auto"/>
              </w:rPr>
              <w:t>ICLR</w:t>
            </w:r>
          </w:p>
        </w:tc>
        <w:tc>
          <w:tcPr>
            <w:tcW w:w="3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7"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Securities registered or to be registered pursuant to section 12(g) of the Act:</w:t>
      </w:r>
    </w:p>
    <w:p>
      <w:pPr>
        <w:spacing w:after="0" w:line="14" w:lineRule="exact"/>
        <w:rPr>
          <w:sz w:val="24"/>
          <w:szCs w:val="24"/>
          <w:color w:val="auto"/>
        </w:rPr>
      </w:pPr>
    </w:p>
    <w:p>
      <w:pPr>
        <w:ind w:left="5020"/>
        <w:spacing w:after="0"/>
        <w:rPr>
          <w:sz w:val="20"/>
          <w:szCs w:val="20"/>
          <w:color w:val="auto"/>
        </w:rPr>
      </w:pPr>
      <w:r>
        <w:rPr>
          <w:rFonts w:ascii="Arial" w:cs="Arial" w:eastAsia="Arial" w:hAnsi="Arial"/>
          <w:sz w:val="14"/>
          <w:szCs w:val="14"/>
          <w:i w:val="1"/>
          <w:iCs w:val="1"/>
          <w:color w:val="auto"/>
        </w:rPr>
        <w:t>Title of each class</w:t>
      </w:r>
    </w:p>
    <w:p>
      <w:pPr>
        <w:spacing w:after="0" w:line="42" w:lineRule="exact"/>
        <w:rPr>
          <w:sz w:val="24"/>
          <w:szCs w:val="24"/>
          <w:color w:val="auto"/>
        </w:rPr>
      </w:pPr>
    </w:p>
    <w:p>
      <w:pPr>
        <w:ind w:left="5400"/>
        <w:spacing w:after="0"/>
        <w:rPr>
          <w:sz w:val="20"/>
          <w:szCs w:val="20"/>
          <w:color w:val="auto"/>
        </w:rPr>
      </w:pPr>
      <w:r>
        <w:rPr>
          <w:rFonts w:ascii="Arial" w:cs="Arial" w:eastAsia="Arial" w:hAnsi="Arial"/>
          <w:sz w:val="14"/>
          <w:szCs w:val="14"/>
          <w:color w:val="auto"/>
        </w:rPr>
        <w:t>NONE</w:t>
      </w:r>
    </w:p>
    <w:p>
      <w:pPr>
        <w:spacing w:after="0" w:line="28"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NONE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(Title of class)</w:t>
      </w:r>
    </w:p>
    <w:p>
      <w:pPr>
        <w:spacing w:after="0" w:line="124" w:lineRule="exact"/>
        <w:rPr>
          <w:sz w:val="24"/>
          <w:szCs w:val="24"/>
          <w:color w:val="auto"/>
        </w:rPr>
      </w:pPr>
    </w:p>
    <w:p>
      <w:pPr>
        <w:ind w:right="420"/>
        <w:spacing w:after="0" w:line="239"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 52,788,093 Ordinary Shares.</w:t>
      </w:r>
    </w:p>
    <w:p>
      <w:pPr>
        <w:spacing w:after="0" w:line="161" w:lineRule="exact"/>
        <w:tabs>
          <w:tab w:leader="none" w:pos="8200" w:val="left"/>
        </w:tabs>
        <w:rPr>
          <w:sz w:val="20"/>
          <w:szCs w:val="20"/>
          <w:color w:val="auto"/>
        </w:rPr>
      </w:pPr>
      <w:r>
        <w:rPr>
          <w:rFonts w:ascii="Arial" w:cs="Arial" w:eastAsia="Arial" w:hAnsi="Arial"/>
          <w:sz w:val="14"/>
          <w:szCs w:val="14"/>
          <w:color w:val="auto"/>
        </w:rPr>
        <w:t xml:space="preserve">Indicate by check mark if the registrant is a well-known seasoned issuer, as determined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2"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has submitted electronically and posted on its corporate Web site, if any, every Interactive Data File required to be submitted and</w:t>
      </w:r>
    </w:p>
    <w:p>
      <w:pPr>
        <w:sectPr>
          <w:pgSz w:w="11900" w:h="16838" w:orient="portrait"/>
          <w:cols w:equalWidth="0" w:num="1">
            <w:col w:w="11160"/>
          </w:cols>
          <w:pgMar w:left="320" w:top="801" w:right="419" w:bottom="1440" w:gutter="0" w:footer="0" w:header="0"/>
        </w:sectPr>
      </w:pPr>
    </w:p>
    <w:p>
      <w:pPr>
        <w:spacing w:after="0" w:line="155" w:lineRule="exact"/>
        <w:tabs>
          <w:tab w:leader="none" w:pos="5640" w:val="left"/>
        </w:tabs>
        <w:rPr>
          <w:sz w:val="20"/>
          <w:szCs w:val="20"/>
          <w:color w:val="auto"/>
        </w:rPr>
      </w:pPr>
      <w:r>
        <w:rPr>
          <w:rFonts w:ascii="Arial" w:cs="Arial" w:eastAsia="Arial" w:hAnsi="Arial"/>
          <w:sz w:val="14"/>
          <w:szCs w:val="14"/>
          <w:color w:val="auto"/>
        </w:rPr>
        <w:t xml:space="preserve">posted pursuant to Rule 405 of Regulation S-T during the preceding 12 months: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or a non- accelerated filer.</w:t>
      </w:r>
    </w:p>
    <w:p>
      <w:pPr>
        <w:spacing w:after="0" w:line="1" w:lineRule="exact"/>
        <w:rPr>
          <w:sz w:val="24"/>
          <w:szCs w:val="24"/>
          <w:color w:val="auto"/>
        </w:rPr>
      </w:pPr>
    </w:p>
    <w:p>
      <w:pPr>
        <w:spacing w:after="0" w:line="161" w:lineRule="exact"/>
        <w:tabs>
          <w:tab w:leader="none" w:pos="37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23" w:lineRule="exact"/>
        <w:rPr>
          <w:sz w:val="24"/>
          <w:szCs w:val="24"/>
          <w:color w:val="auto"/>
        </w:rPr>
      </w:pPr>
    </w:p>
    <w:p>
      <w:pPr>
        <w:sectPr>
          <w:pgSz w:w="11900" w:h="16838" w:orient="portrait"/>
          <w:cols w:equalWidth="0" w:num="2">
            <w:col w:w="7520" w:space="180"/>
            <w:col w:w="3460"/>
          </w:cols>
          <w:pgMar w:left="320" w:top="801" w:right="419" w:bottom="1440" w:gutter="0" w:footer="0" w:header="0"/>
          <w:type w:val="continuous"/>
        </w:sectPr>
      </w:pPr>
    </w:p>
    <w:p>
      <w:pPr>
        <w:ind w:right="80"/>
        <w:spacing w:after="0" w:line="223"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w:t>
      </w:r>
    </w:p>
    <w:p>
      <w:pPr>
        <w:ind w:right="480"/>
        <w:spacing w:after="0" w:line="16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which basis of accounting the registrant has used to prepare the financial statements included in this filing:</w:t>
      </w:r>
    </w:p>
    <w:p>
      <w:pPr>
        <w:spacing w:after="0" w:line="2" w:lineRule="exact"/>
        <w:rPr>
          <w:sz w:val="24"/>
          <w:szCs w:val="24"/>
          <w:color w:val="auto"/>
        </w:rPr>
      </w:pPr>
    </w:p>
    <w:p>
      <w:pPr>
        <w:ind w:left="2960" w:right="2480" w:hanging="2955"/>
        <w:spacing w:after="0" w:line="162" w:lineRule="exact"/>
        <w:tabs>
          <w:tab w:leader="none" w:pos="2940" w:val="left"/>
        </w:tabs>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International Financial Reporting Standards as issued Other </w:t>
      </w:r>
      <w:r>
        <w:rPr>
          <w:rFonts w:ascii="MS PGothic" w:cs="MS PGothic" w:eastAsia="MS PGothic" w:hAnsi="MS PGothic"/>
          <w:sz w:val="14"/>
          <w:szCs w:val="14"/>
          <w:color w:val="auto"/>
        </w:rPr>
        <w:t>☐</w:t>
      </w:r>
      <w:r>
        <w:rPr>
          <w:rFonts w:ascii="Arial" w:cs="Arial" w:eastAsia="Arial" w:hAnsi="Arial"/>
          <w:sz w:val="14"/>
          <w:szCs w:val="14"/>
          <w:color w:val="auto"/>
        </w:rPr>
        <w:t xml:space="preserve"> by the International Accounting Standards Board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82"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 </w:t>
      </w:r>
      <w:r>
        <w:rPr>
          <w:rFonts w:ascii="MS PGothic" w:cs="MS PGothic" w:eastAsia="MS PGothic" w:hAnsi="MS PGothic"/>
          <w:sz w:val="14"/>
          <w:szCs w:val="14"/>
          <w:color w:val="auto"/>
        </w:rPr>
        <w:t>☐</w:t>
      </w:r>
      <w:r>
        <w:rPr>
          <w:rFonts w:ascii="Arial" w:cs="Arial" w:eastAsia="Arial" w:hAnsi="Arial"/>
          <w:sz w:val="14"/>
          <w:szCs w:val="14"/>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01"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580" w:type="dxa"/>
            <w:vAlign w:val="bottom"/>
          </w:tcPr>
          <w:p>
            <w:pPr>
              <w:jc w:val="center"/>
              <w:ind w:right="679"/>
              <w:spacing w:after="0"/>
              <w:rPr>
                <w:sz w:val="20"/>
                <w:szCs w:val="20"/>
                <w:color w:val="auto"/>
              </w:rPr>
            </w:pPr>
            <w:r>
              <w:rPr>
                <w:rFonts w:ascii="Arial" w:cs="Arial" w:eastAsia="Arial" w:hAnsi="Arial"/>
                <w:sz w:val="16"/>
                <w:szCs w:val="16"/>
                <w:b w:val="1"/>
                <w:bCs w:val="1"/>
                <w:color w:val="auto"/>
              </w:rPr>
              <w:t>TABLE OF CONTENTS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r>
      <w:tr>
        <w:trPr>
          <w:trHeight w:val="447"/>
        </w:trPr>
        <w:tc>
          <w:tcPr>
            <w:tcW w:w="20" w:type="dxa"/>
            <w:vAlign w:val="bottom"/>
          </w:tcPr>
          <w:p>
            <w:pPr>
              <w:spacing w:after="0"/>
              <w:rPr>
                <w:sz w:val="24"/>
                <w:szCs w:val="24"/>
                <w:color w:val="auto"/>
              </w:rPr>
            </w:pPr>
          </w:p>
        </w:tc>
        <w:tc>
          <w:tcPr>
            <w:tcW w:w="10780" w:type="dxa"/>
            <w:vAlign w:val="bottom"/>
            <w:gridSpan w:val="2"/>
          </w:tcPr>
          <w:p>
            <w:pPr>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General Information</w:t>
              </w:r>
            </w:hyperlink>
          </w:p>
        </w:tc>
        <w:tc>
          <w:tcPr>
            <w:tcW w:w="400" w:type="dxa"/>
            <w:vAlign w:val="bottom"/>
            <w:tcBorders>
              <w:top w:val="single" w:sz="8" w:color="auto"/>
            </w:tcBorders>
          </w:tcPr>
          <w:p>
            <w:pPr>
              <w:jc w:val="right"/>
              <w:spacing w:after="0"/>
              <w:rPr>
                <w:rFonts w:ascii="Arial" w:cs="Arial" w:eastAsia="Arial" w:hAnsi="Arial"/>
                <w:sz w:val="16"/>
                <w:szCs w:val="16"/>
                <w:b w:val="1"/>
                <w:bCs w:val="1"/>
                <w:u w:val="single" w:color="auto"/>
                <w:color w:val="0000FF"/>
              </w:rPr>
            </w:pPr>
            <w:hyperlink w:anchor="page2">
              <w:r>
                <w:rPr>
                  <w:rFonts w:ascii="Arial" w:cs="Arial" w:eastAsia="Arial" w:hAnsi="Arial"/>
                  <w:sz w:val="16"/>
                  <w:szCs w:val="16"/>
                  <w:b w:val="1"/>
                  <w:bCs w:val="1"/>
                  <w:u w:val="single" w:color="auto"/>
                  <w:color w:val="0000FF"/>
                </w:rPr>
                <w:t>1</w:t>
              </w:r>
            </w:hyperlink>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780" w:type="dxa"/>
            <w:vAlign w:val="bottom"/>
            <w:gridSpan w:val="2"/>
          </w:tcPr>
          <w:p>
            <w:pPr>
              <w:spacing w:after="0"/>
              <w:rPr>
                <w:rFonts w:ascii="Arial" w:cs="Arial" w:eastAsia="Arial" w:hAnsi="Arial"/>
                <w:sz w:val="16"/>
                <w:szCs w:val="16"/>
                <w:b w:val="1"/>
                <w:bCs w:val="1"/>
                <w:u w:val="single" w:color="auto"/>
                <w:color w:val="0000FF"/>
              </w:rPr>
            </w:pPr>
            <w:hyperlink w:anchor="page3">
              <w:r>
                <w:rPr>
                  <w:rFonts w:ascii="Arial" w:cs="Arial" w:eastAsia="Arial" w:hAnsi="Arial"/>
                  <w:sz w:val="16"/>
                  <w:szCs w:val="16"/>
                  <w:b w:val="1"/>
                  <w:bCs w:val="1"/>
                  <w:u w:val="single" w:color="auto"/>
                  <w:color w:val="0000FF"/>
                </w:rPr>
                <w:t>Cautionary Statement</w:t>
              </w:r>
            </w:hyperlink>
          </w:p>
        </w:tc>
        <w:tc>
          <w:tcPr>
            <w:tcW w:w="400" w:type="dxa"/>
            <w:vAlign w:val="bottom"/>
          </w:tcPr>
          <w:p>
            <w:pPr>
              <w:jc w:val="right"/>
              <w:spacing w:after="0"/>
              <w:rPr>
                <w:rFonts w:ascii="Arial" w:cs="Arial" w:eastAsia="Arial" w:hAnsi="Arial"/>
                <w:sz w:val="16"/>
                <w:szCs w:val="16"/>
                <w:b w:val="1"/>
                <w:bCs w:val="1"/>
                <w:u w:val="single" w:color="auto"/>
                <w:color w:val="0000FF"/>
              </w:rPr>
            </w:pPr>
            <w:hyperlink w:anchor="page3">
              <w:r>
                <w:rPr>
                  <w:rFonts w:ascii="Arial" w:cs="Arial" w:eastAsia="Arial" w:hAnsi="Arial"/>
                  <w:sz w:val="16"/>
                  <w:szCs w:val="16"/>
                  <w:b w:val="1"/>
                  <w:bCs w:val="1"/>
                  <w:u w:val="single" w:color="auto"/>
                  <w:color w:val="0000FF"/>
                </w:rPr>
                <w:t>1</w:t>
              </w:r>
            </w:hyperlink>
          </w:p>
        </w:tc>
        <w:tc>
          <w:tcPr>
            <w:tcW w:w="40" w:type="dxa"/>
            <w:vAlign w:val="bottom"/>
          </w:tcPr>
          <w:p>
            <w:pPr>
              <w:spacing w:after="0"/>
              <w:rPr>
                <w:sz w:val="24"/>
                <w:szCs w:val="24"/>
                <w:color w:val="auto"/>
              </w:rPr>
            </w:pPr>
          </w:p>
        </w:tc>
      </w:tr>
      <w:tr>
        <w:trPr>
          <w:trHeight w:val="66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580" w:type="dxa"/>
            <w:vAlign w:val="bottom"/>
          </w:tcPr>
          <w:p>
            <w:pPr>
              <w:jc w:val="center"/>
              <w:ind w:right="699"/>
              <w:spacing w:after="0"/>
              <w:rPr>
                <w:sz w:val="20"/>
                <w:szCs w:val="20"/>
                <w:color w:val="auto"/>
              </w:rPr>
            </w:pPr>
            <w:r>
              <w:rPr>
                <w:rFonts w:ascii="Arial" w:cs="Arial" w:eastAsia="Arial" w:hAnsi="Arial"/>
                <w:sz w:val="16"/>
                <w:szCs w:val="16"/>
                <w:b w:val="1"/>
                <w:bCs w:val="1"/>
                <w:color w:val="auto"/>
                <w:w w:val="99"/>
              </w:rPr>
              <w:t>PART I</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3"/>
        </w:trPr>
        <w:tc>
          <w:tcPr>
            <w:tcW w:w="20" w:type="dxa"/>
            <w:vAlign w:val="bottom"/>
          </w:tcPr>
          <w:p>
            <w:pPr>
              <w:spacing w:after="0"/>
              <w:rPr>
                <w:sz w:val="24"/>
                <w:szCs w:val="24"/>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Item 1. Identity of Directors, Senior Management and Advisors</w:t>
              </w:r>
            </w:hyperlink>
          </w:p>
        </w:tc>
        <w:tc>
          <w:tcPr>
            <w:tcW w:w="40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3</w:t>
              </w:r>
            </w:hyperlink>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Item 2. Offer Statistics and Expected Timetable</w:t>
              </w:r>
            </w:hyperlink>
          </w:p>
        </w:tc>
        <w:tc>
          <w:tcPr>
            <w:tcW w:w="40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3</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Item 3. Key Information</w:t>
              </w:r>
            </w:hyperlink>
          </w:p>
        </w:tc>
        <w:tc>
          <w:tcPr>
            <w:tcW w:w="400" w:type="dxa"/>
            <w:vAlign w:val="bottom"/>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3</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Item 4. Information on the Company</w:t>
              </w:r>
            </w:hyperlink>
          </w:p>
        </w:tc>
        <w:tc>
          <w:tcPr>
            <w:tcW w:w="400" w:type="dxa"/>
            <w:vAlign w:val="bottom"/>
          </w:tcPr>
          <w:p>
            <w:pPr>
              <w:jc w:val="right"/>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21</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Item 4A. Unresolved Staff Comments</w:t>
              </w:r>
            </w:hyperlink>
          </w:p>
        </w:tc>
        <w:tc>
          <w:tcPr>
            <w:tcW w:w="400" w:type="dxa"/>
            <w:vAlign w:val="bottom"/>
          </w:tcPr>
          <w:p>
            <w:pPr>
              <w:jc w:val="right"/>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45</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Item 5. Operating and Financial Review and Prospects</w:t>
              </w:r>
            </w:hyperlink>
          </w:p>
        </w:tc>
        <w:tc>
          <w:tcPr>
            <w:tcW w:w="400" w:type="dxa"/>
            <w:vAlign w:val="bottom"/>
          </w:tcPr>
          <w:p>
            <w:pPr>
              <w:jc w:val="right"/>
              <w:spacing w:after="0"/>
              <w:rPr>
                <w:rFonts w:ascii="Arial" w:cs="Arial" w:eastAsia="Arial" w:hAnsi="Arial"/>
                <w:sz w:val="16"/>
                <w:szCs w:val="16"/>
                <w:u w:val="single" w:color="auto"/>
                <w:color w:val="0000FF"/>
              </w:rPr>
            </w:pPr>
            <w:hyperlink w:anchor="page47">
              <w:r>
                <w:rPr>
                  <w:rFonts w:ascii="Arial" w:cs="Arial" w:eastAsia="Arial" w:hAnsi="Arial"/>
                  <w:sz w:val="16"/>
                  <w:szCs w:val="16"/>
                  <w:u w:val="single" w:color="auto"/>
                  <w:color w:val="0000FF"/>
                </w:rPr>
                <w:t>46</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Item 6. Directors, Senior Management and Employees</w:t>
              </w:r>
            </w:hyperlink>
          </w:p>
        </w:tc>
        <w:tc>
          <w:tcPr>
            <w:tcW w:w="400" w:type="dxa"/>
            <w:vAlign w:val="bottom"/>
          </w:tcPr>
          <w:p>
            <w:pPr>
              <w:jc w:val="right"/>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59</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Item 7. Major Shareholders and Related Party Transactions</w:t>
              </w:r>
            </w:hyperlink>
          </w:p>
        </w:tc>
        <w:tc>
          <w:tcPr>
            <w:tcW w:w="400" w:type="dxa"/>
            <w:vAlign w:val="bottom"/>
          </w:tcPr>
          <w:p>
            <w:pPr>
              <w:jc w:val="right"/>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74</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Item 8. Financial Information</w:t>
              </w:r>
            </w:hyperlink>
          </w:p>
        </w:tc>
        <w:tc>
          <w:tcPr>
            <w:tcW w:w="400" w:type="dxa"/>
            <w:vAlign w:val="bottom"/>
          </w:tcPr>
          <w:p>
            <w:pPr>
              <w:jc w:val="right"/>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74</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Item 9. The Offer and Listing</w:t>
              </w:r>
            </w:hyperlink>
          </w:p>
        </w:tc>
        <w:tc>
          <w:tcPr>
            <w:tcW w:w="400" w:type="dxa"/>
            <w:vAlign w:val="bottom"/>
          </w:tcPr>
          <w:p>
            <w:pPr>
              <w:jc w:val="right"/>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75</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Item 10. Additional Information</w:t>
              </w:r>
            </w:hyperlink>
          </w:p>
        </w:tc>
        <w:tc>
          <w:tcPr>
            <w:tcW w:w="400" w:type="dxa"/>
            <w:vAlign w:val="bottom"/>
          </w:tcPr>
          <w:p>
            <w:pPr>
              <w:jc w:val="right"/>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75</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Item 11. Quantitative and Qualitative Disclosures about Market Risk</w:t>
              </w:r>
            </w:hyperlink>
          </w:p>
        </w:tc>
        <w:tc>
          <w:tcPr>
            <w:tcW w:w="400" w:type="dxa"/>
            <w:vAlign w:val="bottom"/>
          </w:tcPr>
          <w:p>
            <w:pPr>
              <w:jc w:val="right"/>
              <w:spacing w:after="0"/>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84</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Item 12. Description of Securities Other than Equity Securities</w:t>
              </w:r>
            </w:hyperlink>
          </w:p>
        </w:tc>
        <w:tc>
          <w:tcPr>
            <w:tcW w:w="40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tc>
        <w:tc>
          <w:tcPr>
            <w:tcW w:w="40" w:type="dxa"/>
            <w:vAlign w:val="bottom"/>
          </w:tcPr>
          <w:p>
            <w:pPr>
              <w:spacing w:after="0"/>
              <w:rPr>
                <w:sz w:val="18"/>
                <w:szCs w:val="18"/>
                <w:color w:val="auto"/>
              </w:rPr>
            </w:pPr>
          </w:p>
        </w:tc>
      </w:tr>
      <w:tr>
        <w:trPr>
          <w:trHeight w:val="48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580" w:type="dxa"/>
            <w:vAlign w:val="bottom"/>
          </w:tcPr>
          <w:p>
            <w:pPr>
              <w:ind w:left="4100"/>
              <w:spacing w:after="0"/>
              <w:rPr>
                <w:sz w:val="20"/>
                <w:szCs w:val="20"/>
                <w:color w:val="auto"/>
              </w:rPr>
            </w:pPr>
            <w:r>
              <w:rPr>
                <w:rFonts w:ascii="Arial" w:cs="Arial" w:eastAsia="Arial" w:hAnsi="Arial"/>
                <w:sz w:val="16"/>
                <w:szCs w:val="16"/>
                <w:b w:val="1"/>
                <w:bCs w:val="1"/>
                <w:color w:val="auto"/>
              </w:rPr>
              <w:t>PART II</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Item 13. Defaults, Dividend Arrearages and Delinquencies</w:t>
              </w:r>
            </w:hyperlink>
          </w:p>
        </w:tc>
        <w:tc>
          <w:tcPr>
            <w:tcW w:w="40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Item 14. Material Modifications to the Rights of Security Holders and Use of Proceeds</w:t>
              </w:r>
            </w:hyperlink>
          </w:p>
        </w:tc>
        <w:tc>
          <w:tcPr>
            <w:tcW w:w="40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Item 15. Controls and Procedures</w:t>
              </w:r>
            </w:hyperlink>
          </w:p>
        </w:tc>
        <w:tc>
          <w:tcPr>
            <w:tcW w:w="40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Item 16. Reserved</w:t>
              </w:r>
            </w:hyperlink>
          </w:p>
        </w:tc>
        <w:tc>
          <w:tcPr>
            <w:tcW w:w="40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Item 16A. Audit Committee Financial Expert</w:t>
              </w:r>
            </w:hyperlink>
          </w:p>
        </w:tc>
        <w:tc>
          <w:tcPr>
            <w:tcW w:w="40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Item 16B. Code of Ethical Conduct</w:t>
              </w:r>
            </w:hyperlink>
          </w:p>
        </w:tc>
        <w:tc>
          <w:tcPr>
            <w:tcW w:w="40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87</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Item 16C. Principal Accountant Fees and Services</w:t>
              </w:r>
            </w:hyperlink>
          </w:p>
        </w:tc>
        <w:tc>
          <w:tcPr>
            <w:tcW w:w="400" w:type="dxa"/>
            <w:vAlign w:val="bottom"/>
          </w:tcPr>
          <w:p>
            <w:pPr>
              <w:jc w:val="right"/>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87</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Item 16D. Exemptions from the Listing Standards for Audit Committees</w:t>
              </w:r>
            </w:hyperlink>
          </w:p>
        </w:tc>
        <w:tc>
          <w:tcPr>
            <w:tcW w:w="400" w:type="dxa"/>
            <w:vAlign w:val="bottom"/>
          </w:tcPr>
          <w:p>
            <w:pPr>
              <w:jc w:val="right"/>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87</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Item 16E. Purchases of Equity Securities by the Issuer and Affiliated Purchasers</w:t>
              </w:r>
            </w:hyperlink>
          </w:p>
        </w:tc>
        <w:tc>
          <w:tcPr>
            <w:tcW w:w="400" w:type="dxa"/>
            <w:vAlign w:val="bottom"/>
          </w:tcPr>
          <w:p>
            <w:pPr>
              <w:jc w:val="right"/>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88</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Item 16F. Changes in Registrant’s Certifying Accountant</w:t>
              </w:r>
            </w:hyperlink>
          </w:p>
        </w:tc>
        <w:tc>
          <w:tcPr>
            <w:tcW w:w="400" w:type="dxa"/>
            <w:vAlign w:val="bottom"/>
          </w:tcPr>
          <w:p>
            <w:pPr>
              <w:jc w:val="right"/>
              <w:spacing w:after="0"/>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90</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Item 16G. Corporate Governance</w:t>
              </w:r>
            </w:hyperlink>
          </w:p>
        </w:tc>
        <w:tc>
          <w:tcPr>
            <w:tcW w:w="400" w:type="dxa"/>
            <w:vAlign w:val="bottom"/>
          </w:tcPr>
          <w:p>
            <w:pPr>
              <w:jc w:val="right"/>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90</w:t>
              </w:r>
            </w:hyperlink>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Item 16H. Mine Safety Disclosure</w:t>
              </w:r>
            </w:hyperlink>
          </w:p>
        </w:tc>
        <w:tc>
          <w:tcPr>
            <w:tcW w:w="400" w:type="dxa"/>
            <w:vAlign w:val="bottom"/>
          </w:tcPr>
          <w:p>
            <w:pPr>
              <w:jc w:val="right"/>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90</w:t>
              </w:r>
            </w:hyperlink>
          </w:p>
        </w:tc>
        <w:tc>
          <w:tcPr>
            <w:tcW w:w="40" w:type="dxa"/>
            <w:vAlign w:val="bottom"/>
          </w:tcPr>
          <w:p>
            <w:pPr>
              <w:spacing w:after="0"/>
              <w:rPr>
                <w:sz w:val="18"/>
                <w:szCs w:val="18"/>
                <w:color w:val="auto"/>
              </w:rPr>
            </w:pPr>
          </w:p>
        </w:tc>
      </w:tr>
      <w:tr>
        <w:trPr>
          <w:trHeight w:val="48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580" w:type="dxa"/>
            <w:vAlign w:val="bottom"/>
          </w:tcPr>
          <w:p>
            <w:pPr>
              <w:jc w:val="center"/>
              <w:ind w:right="699"/>
              <w:spacing w:after="0"/>
              <w:rPr>
                <w:sz w:val="20"/>
                <w:szCs w:val="20"/>
                <w:color w:val="auto"/>
              </w:rPr>
            </w:pPr>
            <w:r>
              <w:rPr>
                <w:rFonts w:ascii="Arial" w:cs="Arial" w:eastAsia="Arial" w:hAnsi="Arial"/>
                <w:sz w:val="16"/>
                <w:szCs w:val="16"/>
                <w:b w:val="1"/>
                <w:bCs w:val="1"/>
                <w:color w:val="auto"/>
                <w:w w:val="97"/>
              </w:rPr>
              <w:t>PART III</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3"/>
        </w:trPr>
        <w:tc>
          <w:tcPr>
            <w:tcW w:w="20" w:type="dxa"/>
            <w:vAlign w:val="bottom"/>
          </w:tcPr>
          <w:p>
            <w:pPr>
              <w:spacing w:after="0"/>
              <w:rPr>
                <w:sz w:val="24"/>
                <w:szCs w:val="24"/>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Item 17. Financial Statements</w:t>
              </w:r>
            </w:hyperlink>
          </w:p>
        </w:tc>
        <w:tc>
          <w:tcPr>
            <w:tcW w:w="400" w:type="dxa"/>
            <w:vAlign w:val="bottom"/>
          </w:tcPr>
          <w:p>
            <w:pPr>
              <w:jc w:val="right"/>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90</w:t>
              </w:r>
            </w:hyperlink>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Item 18. Financial Statements</w:t>
              </w:r>
            </w:hyperlink>
          </w:p>
        </w:tc>
        <w:tc>
          <w:tcPr>
            <w:tcW w:w="400" w:type="dxa"/>
            <w:vAlign w:val="bottom"/>
          </w:tcPr>
          <w:p>
            <w:pPr>
              <w:jc w:val="right"/>
              <w:spacing w:after="0"/>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90</w:t>
              </w:r>
            </w:hyperlink>
          </w:p>
        </w:tc>
        <w:tc>
          <w:tcPr>
            <w:tcW w:w="4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0780" w:type="dxa"/>
            <w:vAlign w:val="bottom"/>
            <w:gridSpan w:val="2"/>
          </w:tcPr>
          <w:p>
            <w:pPr>
              <w:spacing w:after="0" w:line="181" w:lineRule="exact"/>
              <w:rPr>
                <w:rFonts w:ascii="Arial" w:cs="Arial" w:eastAsia="Arial" w:hAnsi="Arial"/>
                <w:sz w:val="16"/>
                <w:szCs w:val="16"/>
                <w:color w:val="0000FF"/>
              </w:rPr>
            </w:pPr>
            <w:hyperlink w:anchor="page92">
              <w:r>
                <w:rPr>
                  <w:rFonts w:ascii="Arial" w:cs="Arial" w:eastAsia="Arial" w:hAnsi="Arial"/>
                  <w:sz w:val="16"/>
                  <w:szCs w:val="16"/>
                  <w:color w:val="0000FF"/>
                </w:rPr>
                <w:t>Item 19. Exhibits</w:t>
              </w:r>
            </w:hyperlink>
          </w:p>
        </w:tc>
        <w:tc>
          <w:tcPr>
            <w:tcW w:w="400" w:type="dxa"/>
            <w:vAlign w:val="bottom"/>
          </w:tcPr>
          <w:p>
            <w:pPr>
              <w:jc w:val="right"/>
              <w:spacing w:after="0" w:line="181" w:lineRule="exact"/>
              <w:rPr>
                <w:rFonts w:ascii="Arial" w:cs="Arial" w:eastAsia="Arial" w:hAnsi="Arial"/>
                <w:sz w:val="16"/>
                <w:szCs w:val="16"/>
                <w:u w:val="single" w:color="auto"/>
                <w:color w:val="0000FF"/>
              </w:rPr>
            </w:pPr>
            <w:hyperlink w:anchor="page92">
              <w:r>
                <w:rPr>
                  <w:rFonts w:ascii="Arial" w:cs="Arial" w:eastAsia="Arial" w:hAnsi="Arial"/>
                  <w:sz w:val="16"/>
                  <w:szCs w:val="16"/>
                  <w:u w:val="single" w:color="auto"/>
                  <w:color w:val="0000FF"/>
                </w:rPr>
                <w:t>90</w:t>
              </w:r>
            </w:hyperlink>
          </w:p>
        </w:tc>
        <w:tc>
          <w:tcPr>
            <w:tcW w:w="4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200" w:type="dxa"/>
            <w:vAlign w:val="bottom"/>
            <w:tcBorders>
              <w:top w:val="single" w:sz="8" w:color="0000FF"/>
            </w:tcBorders>
          </w:tcPr>
          <w:p>
            <w:pPr>
              <w:spacing w:after="0"/>
              <w:rPr>
                <w:rFonts w:ascii="Arial" w:cs="Arial" w:eastAsia="Arial" w:hAnsi="Arial"/>
                <w:sz w:val="16"/>
                <w:szCs w:val="16"/>
                <w:u w:val="single" w:color="auto"/>
                <w:color w:val="0000FF"/>
              </w:rPr>
            </w:pPr>
            <w:hyperlink w:anchor="page150">
              <w:r>
                <w:rPr>
                  <w:rFonts w:ascii="Arial" w:cs="Arial" w:eastAsia="Arial" w:hAnsi="Arial"/>
                  <w:sz w:val="16"/>
                  <w:szCs w:val="16"/>
                  <w:u w:val="single" w:color="auto"/>
                  <w:color w:val="0000FF"/>
                </w:rPr>
                <w:t>Signatures</w:t>
              </w:r>
            </w:hyperlink>
          </w:p>
        </w:tc>
        <w:tc>
          <w:tcPr>
            <w:tcW w:w="9580" w:type="dxa"/>
            <w:vAlign w:val="bottom"/>
          </w:tcPr>
          <w:p>
            <w:pPr>
              <w:spacing w:after="0"/>
              <w:rPr>
                <w:sz w:val="20"/>
                <w:szCs w:val="20"/>
                <w:color w:val="auto"/>
              </w:rPr>
            </w:pPr>
          </w:p>
        </w:tc>
        <w:tc>
          <w:tcPr>
            <w:tcW w:w="400" w:type="dxa"/>
            <w:vAlign w:val="bottom"/>
          </w:tcPr>
          <w:p>
            <w:pPr>
              <w:jc w:val="right"/>
              <w:spacing w:after="0"/>
              <w:rPr>
                <w:rFonts w:ascii="Arial" w:cs="Arial" w:eastAsia="Arial" w:hAnsi="Arial"/>
                <w:sz w:val="16"/>
                <w:szCs w:val="16"/>
                <w:u w:val="single" w:color="auto"/>
                <w:color w:val="0000FF"/>
              </w:rPr>
            </w:pPr>
            <w:hyperlink w:anchor="page150">
              <w:r>
                <w:rPr>
                  <w:rFonts w:ascii="Arial" w:cs="Arial" w:eastAsia="Arial" w:hAnsi="Arial"/>
                  <w:sz w:val="16"/>
                  <w:szCs w:val="16"/>
                  <w:u w:val="single" w:color="auto"/>
                  <w:color w:val="0000FF"/>
                </w:rPr>
                <w:t>149</w:t>
              </w:r>
            </w:hyperlink>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780" w:type="dxa"/>
            <w:vAlign w:val="bottom"/>
            <w:gridSpan w:val="2"/>
          </w:tcPr>
          <w:p>
            <w:pPr>
              <w:spacing w:after="0"/>
              <w:rPr>
                <w:rFonts w:ascii="Arial" w:cs="Arial" w:eastAsia="Arial" w:hAnsi="Arial"/>
                <w:sz w:val="16"/>
                <w:szCs w:val="16"/>
                <w:u w:val="single" w:color="auto"/>
                <w:color w:val="0000FF"/>
              </w:rPr>
            </w:pPr>
            <w:hyperlink w:anchor="page151">
              <w:r>
                <w:rPr>
                  <w:rFonts w:ascii="Arial" w:cs="Arial" w:eastAsia="Arial" w:hAnsi="Arial"/>
                  <w:sz w:val="16"/>
                  <w:szCs w:val="16"/>
                  <w:u w:val="single" w:color="auto"/>
                  <w:color w:val="0000FF"/>
                </w:rPr>
                <w:t>Index to Exhibits</w:t>
              </w:r>
            </w:hyperlink>
          </w:p>
        </w:tc>
        <w:tc>
          <w:tcPr>
            <w:tcW w:w="400" w:type="dxa"/>
            <w:vAlign w:val="bottom"/>
          </w:tcPr>
          <w:p>
            <w:pPr>
              <w:jc w:val="right"/>
              <w:spacing w:after="0"/>
              <w:rPr>
                <w:rFonts w:ascii="Arial" w:cs="Arial" w:eastAsia="Arial" w:hAnsi="Arial"/>
                <w:sz w:val="16"/>
                <w:szCs w:val="16"/>
                <w:u w:val="single" w:color="auto"/>
                <w:color w:val="0000FF"/>
              </w:rPr>
            </w:pPr>
            <w:hyperlink w:anchor="page151">
              <w:r>
                <w:rPr>
                  <w:rFonts w:ascii="Arial" w:cs="Arial" w:eastAsia="Arial" w:hAnsi="Arial"/>
                  <w:sz w:val="16"/>
                  <w:szCs w:val="16"/>
                  <w:u w:val="single" w:color="auto"/>
                  <w:color w:val="0000FF"/>
                </w:rPr>
                <w:t>150</w:t>
              </w:r>
            </w:hyperlink>
          </w:p>
        </w:tc>
        <w:tc>
          <w:tcPr>
            <w:tcW w:w="40" w:type="dxa"/>
            <w:vAlign w:val="bottom"/>
          </w:tcPr>
          <w:p>
            <w:pPr>
              <w:spacing w:after="0"/>
              <w:rPr>
                <w:sz w:val="18"/>
                <w:szCs w:val="18"/>
                <w:color w:val="auto"/>
              </w:rPr>
            </w:pPr>
          </w:p>
        </w:tc>
      </w:tr>
      <w:tr>
        <w:trPr>
          <w:trHeight w:val="971"/>
        </w:trPr>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 Information</w:t>
      </w:r>
    </w:p>
    <w:p>
      <w:pPr>
        <w:spacing w:after="0" w:line="2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used herein, “ICON plc”, “ICON”, the “Company” and “we”, "our" or “us” refer to ICON public limited company and its consolidated subsidiaries, unless the context requires otherwise.</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this Form 20-F, references to "U.S. dollars", "U.S.$" or "$" are to the lawful currency of the United States, references to “euro” or “€” are to the European single currency adopted by nineteen members of the European Union, references to "pounds sterling", "sterling", "£", "pence" or "p" are to the lawful currency of the United Kingdom. ICON publishes its consolidated financial statements in U.S. dollars.</w:t>
      </w:r>
    </w:p>
    <w:p>
      <w:pPr>
        <w:spacing w:after="0" w:line="228" w:lineRule="exact"/>
        <w:rPr>
          <w:sz w:val="20"/>
          <w:szCs w:val="20"/>
          <w:color w:val="auto"/>
        </w:rPr>
      </w:pPr>
    </w:p>
    <w:p>
      <w:pPr>
        <w:ind w:right="60" w:firstLine="648"/>
        <w:spacing w:after="0" w:line="251" w:lineRule="auto"/>
        <w:rPr>
          <w:sz w:val="20"/>
          <w:szCs w:val="20"/>
          <w:color w:val="auto"/>
        </w:rPr>
      </w:pPr>
      <w:r>
        <w:rPr>
          <w:rFonts w:ascii="Arial" w:cs="Arial" w:eastAsia="Arial" w:hAnsi="Arial"/>
          <w:sz w:val="16"/>
          <w:szCs w:val="16"/>
          <w:color w:val="auto"/>
        </w:rPr>
        <w:t xml:space="preserve">On February 24, 2021, ICON announced it has entered into a definitive agreement to acquire PRA Health Sciences, Inc (‘PRAH’) in a cash and stock transaction, with the merger consideration per share being $80 in cash and 0.4125 of an ICON share. The transaction brings together two high-quality, innovative and growing organizations with similar cultures and a shared focus on high quality and efficient clinical trial execution from Phase I to post-approval studies. See </w:t>
      </w:r>
      <w:r>
        <w:rPr>
          <w:rFonts w:ascii="Arial" w:cs="Arial" w:eastAsia="Arial" w:hAnsi="Arial"/>
          <w:sz w:val="16"/>
          <w:szCs w:val="16"/>
          <w:b w:val="1"/>
          <w:bCs w:val="1"/>
          <w:color w:val="auto"/>
        </w:rPr>
        <w:t>Item 10C of this Form 20-F.</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our expectations concerning the impact of the novel coronavirus identified as 'COVID-19' on our operational results, competition and the continuing consolidation of the industry, the dependence on certain key executives, changes in the regulatory environment and other factors identified in the Company’s United States Securities and Exchange Commission filings and in the “Risk Factors” included on pages 7 through 21. The Company has no obligation under the PSLRA to update any forward looking statements and does not intend to do so.</w:t>
      </w:r>
    </w:p>
    <w:p>
      <w:pPr>
        <w:spacing w:after="0" w:line="21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In addition, we face certain risks and uncertainties with respect to our potential transaction with PRA Health Sciences, Inc. (“PRA”), including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or its directors; the effects of disruption to ICON’s business; restrictions during the pendency of the potential transaction that may impact ICON’s ability to pursue certain business opportunities or strategic transactions; the effect of this communication on ICON’s stock price; transaction costs; ICON’s ability to achieve the benefits from the proposed transaction; ICON’s ability to effectively integrate acquired operations into its own operations; the ability of ICON to retain and hire key personnel; unknown liabilities; and the diversion of management time on transaction-related issues.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25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for Investors and Stockholders</w:t>
      </w:r>
    </w:p>
    <w:p>
      <w:pPr>
        <w:spacing w:after="0" w:line="255"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spacing w:after="0" w:line="242" w:lineRule="auto"/>
        <w:rPr>
          <w:sz w:val="20"/>
          <w:szCs w:val="20"/>
          <w:color w:val="auto"/>
        </w:rPr>
      </w:pPr>
      <w:r>
        <w:rPr>
          <w:rFonts w:ascii="Arial" w:cs="Arial" w:eastAsia="Arial" w:hAnsi="Arial"/>
          <w:sz w:val="16"/>
          <w:szCs w:val="16"/>
          <w:color w:val="auto"/>
        </w:rPr>
        <w:t>SEC by PRA will be available free of charge on PRA’s website at https://www.prahs.com/. Additionally, copies may be obtained by contacting the investor relations departments of ICON or PRA.</w:t>
      </w:r>
    </w:p>
    <w:p>
      <w:pPr>
        <w:spacing w:after="0" w:line="22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this Form 20-F.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Part 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Identity of Directors, Senior Management and Advisors.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Offer Statistics and Expected Timetable.</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r>
        <w:rPr>
          <w:rFonts w:ascii="Arial" w:cs="Arial" w:eastAsia="Arial" w:hAnsi="Arial"/>
          <w:sz w:val="16"/>
          <w:szCs w:val="16"/>
          <w:b w:val="1"/>
          <w:bCs w:val="1"/>
          <w:i w:val="1"/>
          <w:iCs w:val="1"/>
          <w:color w:val="auto"/>
        </w:rPr>
        <w:t>. Key Information.</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Selected Historical Consolidated Financial Data for ICON plc</w:t>
      </w:r>
    </w:p>
    <w:p>
      <w:pPr>
        <w:spacing w:after="0" w:line="268" w:lineRule="exact"/>
        <w:rPr>
          <w:sz w:val="20"/>
          <w:szCs w:val="20"/>
          <w:color w:val="auto"/>
        </w:rPr>
      </w:pPr>
    </w:p>
    <w:p>
      <w:pPr>
        <w:jc w:val="both"/>
        <w:ind w:firstLine="192"/>
        <w:spacing w:after="0" w:line="253" w:lineRule="auto"/>
        <w:rPr>
          <w:sz w:val="20"/>
          <w:szCs w:val="20"/>
          <w:color w:val="auto"/>
        </w:rPr>
      </w:pPr>
      <w:r>
        <w:rPr>
          <w:rFonts w:ascii="Arial" w:cs="Arial" w:eastAsia="Arial" w:hAnsi="Arial"/>
          <w:sz w:val="16"/>
          <w:szCs w:val="16"/>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The financial statements and financial information in the sections following are prepared in accordance with the accounting policies (see </w:t>
      </w:r>
      <w:r>
        <w:rPr>
          <w:rFonts w:ascii="Arial" w:cs="Arial" w:eastAsia="Arial" w:hAnsi="Arial"/>
          <w:sz w:val="16"/>
          <w:szCs w:val="16"/>
          <w:i w:val="1"/>
          <w:iCs w:val="1"/>
          <w:color w:val="auto"/>
        </w:rPr>
        <w:t>note 2 -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in the consolidated financial statements). The significant changes in accounting policies adopted during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December 31, 2020 and December 31, 2019 are set-out in </w:t>
      </w:r>
      <w:r>
        <w:rPr>
          <w:rFonts w:ascii="Arial" w:cs="Arial" w:eastAsia="Arial" w:hAnsi="Arial"/>
          <w:sz w:val="16"/>
          <w:szCs w:val="16"/>
          <w:i w:val="1"/>
          <w:iCs w:val="1"/>
          <w:color w:val="auto"/>
        </w:rPr>
        <w:t>note 28 - Impact of change in accounting policies.</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year, as a result of the global spread of COVID-19, the Company has experienced a net negative impact on its operations. At this point in time, there continues to be significant uncertainty relating to the long-term effects of COVID-19 on our business. We have experienced restrictions on our ability to ensure laboratory samples are collected and analyzed on time, our ability to monitor our clinical trials, the ability of patients or other service providers to travel, and our ability to travel as a result of the outbreak.</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However, ICON has mobilized its vaccine resources to address the COVID-19 global threat, including its ability to conduct home-based trials to minimize infection. In addition, the Company has seen some offsetting positive business impact from COVID-19 and is currently providing clinical monitoring and safety oversight on more than 100 COVID-19 trials for both the private and government sectors.</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the year ended December 31, 2020, ICON provided clinical trial services to the Pfizer and BioNTech SE investigational COVID-19 vaccine program. ICON worked with Pfizer and 153 sites in the US, Europe and Latin America to ensure over 44,000 patients were recruited within four months for phase 3 of the trial, during the global pandemic, in one of the largest and most expeditious clinical trials ever performed. Trial capabilities were key to enabling agility and speed in the global study, which included a high level of remote clinical monitoring and source data verification in addition to on-site monitoring, safeguarding data quality and integrity in the evolving pandemic environment.</w:t>
      </w:r>
    </w:p>
    <w:p>
      <w:pPr>
        <w:spacing w:after="0" w:line="21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Revenue for the year ended December 31, 2020 decreased by $8.6 million, or 0.3%, to $2,797.3 million, compared to $2,805.8 million for the year ended December 31, 2019. Revenue decreased by 0.5% in constant currency. The decrease in revenues in the year ended December 31, 2020 reflected the impact the COVID-19 global pandemic has had on operations including: our ability to ensure laboratory samples are collected and analyzed on time, our ability to perform on-site monitoring of clinical trials, the ability of patients or other service providers to travel, and our ability to travel. This impact was most significant in late quarter one and quarter two, when the impact on sites was most pronounced. Certain cost saving measures were introduced in response to COVID-19 during this period. While the impact of COVID-19 and the resulting restrictions on travel and related operational activity continues, the Company has been involved in clinical monitoring and safety oversight on significant COVID-19 trials during the third and fourth quarters of 2020, which have offset in part the negative impact on activity experienced during the year. The Company has operated a task force during 2020 to lead our operational response to COVID-19. A key priority of the efforts of the task force has been to ensure the safety and well being of our people, supporting them in working from home and ensuring our people working at sites, and in labs are supported.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Site Network - Accellacare</w:t>
      </w:r>
    </w:p>
    <w:p>
      <w:pPr>
        <w:spacing w:after="0" w:line="2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September 3, 2020, ICON announced that it was launching Accellacare, a global clinical research network offering patients easier and faster access to innovative treatments and offering customers the option to deploy decentralized trials. The site network includes previously acquired PMG Research in the US and MeDiNova Research ("MeDiNova") in EMEA.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both"/>
        <w:ind w:firstLine="648"/>
        <w:spacing w:after="0" w:line="249" w:lineRule="auto"/>
        <w:rPr>
          <w:sz w:val="20"/>
          <w:szCs w:val="20"/>
          <w:color w:val="auto"/>
        </w:rPr>
      </w:pPr>
      <w:r>
        <w:rPr>
          <w:rFonts w:ascii="Arial" w:cs="Arial" w:eastAsia="Arial" w:hAnsi="Arial"/>
          <w:sz w:val="16"/>
          <w:szCs w:val="16"/>
          <w:color w:val="auto"/>
        </w:rPr>
        <w:t>Accellacare’s patient centric approach focuses on enhancing the patient experience either on site, or at home as part of integrated operations with CRN Holdings, LLC (trading as Symphony Clinical Research ("Symphony")), the leading global provider of at-home care and nursing for clinical trials owned by ICON. This cohesive approach is leading to higher patient recruitment and retention rates. Accellacare is also achieving faster study start-up for our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Oncology site network - Oncacare Limited</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Limited ("Oncacare"), with a third party. Oncacare operates as a specialized oncology site network in the US and EMEA regions. The new site network is focused on implementing a range of commercial models with specialist oncology healthcare providers in the US and EMEA, to accelerate the recruitment and retention of patients into oncology trials. The oncology site network operates as a joint venture between the Company and a third party company which has extensive experience in developing and running a site network.</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has invested $4.9 million to obtain a 49% interest in the voting share capital of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Consolidated Statement of Operations. See additional details in </w:t>
      </w:r>
      <w:r>
        <w:rPr>
          <w:rFonts w:ascii="Arial" w:cs="Arial" w:eastAsia="Arial" w:hAnsi="Arial"/>
          <w:sz w:val="16"/>
          <w:szCs w:val="16"/>
          <w:i w:val="1"/>
          <w:iCs w:val="1"/>
          <w:color w:val="auto"/>
        </w:rPr>
        <w:t>note 2 - Significant accounting policies.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third party in the joint venture has the right to sell the 51% majority voting share capital exclusively to the Company in an eighteen month period, commencing January 1, 2023 and the Company also has the right to acquire the 51% majority voting share capital from August 1, 2025 (see </w:t>
      </w:r>
      <w:r>
        <w:rPr>
          <w:rFonts w:ascii="Arial" w:cs="Arial" w:eastAsia="Arial" w:hAnsi="Arial"/>
          <w:sz w:val="16"/>
          <w:szCs w:val="16"/>
          <w:i w:val="1"/>
          <w:iCs w:val="1"/>
          <w:color w:val="auto"/>
        </w:rPr>
        <w:t>note 3 -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Investments </w:t>
      </w:r>
      <w:r>
        <w:rPr>
          <w:rFonts w:ascii="Arial" w:cs="Arial" w:eastAsia="Arial" w:hAnsi="Arial"/>
          <w:sz w:val="16"/>
          <w:szCs w:val="16"/>
          <w:color w:val="auto"/>
        </w:rPr>
        <w:t>in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refinancing</w:t>
      </w:r>
    </w:p>
    <w:p>
      <w:pPr>
        <w:spacing w:after="0" w:line="25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6"/>
          <w:szCs w:val="16"/>
          <w:color w:val="auto"/>
        </w:rPr>
        <w:t>On December 15, 2015, ICON Investments Five Unlimited Company issued Senior Notes, '2015 Senior Notes' for aggregate gross proceeds of $350.0 million in a private placement. The 2015 Senior Notes matured on December 15, 2020 and this debt was repaid in full. On December 8, 2020, ICON Investments Five Unlimited Company issued new senior notes, '2020 Senior Notes' for aggregate gross proceeds of $350.0 million in a private placement which was guaranteed by ICON plc and ICON Global Treasury Unlimited Company, a subsidiary of the Company. The 2020 Senior Notes were issued in two tranches; Series A Notes of $275.0 million which will mature on December 8, 2023 and Series B Notes of $75.0 million which will mature on December 8, 2025. Interest payable on the 2020 Senior Notes is fixed at 2.32% and 2.43% for Series A Notes and Series B Notes, respectively. The Company entered into an interest rate hedge in respect of the planned issuance of the 2020 Senior Notes in June 2020. The interest rate hedge was effective in accordance with Financial Accounting Standards Board (“FASB”)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interest rate hedge matured on July 9, 2020 when the interest rates on the issue of the 2020 Senior Notes were fixed. We hereby agree to furnish to the SEC, upon its request, a copy of any instrument defining the rights of holders of long-term debt of the Company or of its subsidiaries for which consolidated or unconsolidated financial statements are required to be filed.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Redemption of MeDiNova noncontrolling Interest</w:t>
      </w:r>
    </w:p>
    <w:p>
      <w:pPr>
        <w:spacing w:after="0" w:line="2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On May 23, 2019 a subsidiary of the Company, ICON Clinical Research (U.K.) Limited, acquired a majority shareholding in MeDiNova, a site network with research sites in key markets in Europe and Africa. ICON had the right to acquire the remaining shares in the company and on March 9, 2020 ICON exercised its option to call the outstanding shares in the noncontrolling interest to take 100% ownership of MeDiNova. Effective from this date, the noncontrolling interest was derecognized and a liability was recognized, representing the assessment of the redemption value of the noncontrolling interest. This liability was settled on July 17, 2020 for $43.9 million. The acquisition of MeDiNova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In calculating basic and diluted earnings per share, as required by US GAAP, the adjustment to reflect changes in the redemption amount of the noncontrolling interest is included in net income attributable to the Group until the redemption of the noncontrolling interest on March 9, 2020 (see </w:t>
      </w:r>
      <w:r>
        <w:rPr>
          <w:rFonts w:ascii="Arial" w:cs="Arial" w:eastAsia="Arial" w:hAnsi="Arial"/>
          <w:sz w:val="16"/>
          <w:szCs w:val="16"/>
          <w:i w:val="1"/>
          <w:iCs w:val="1"/>
          <w:color w:val="auto"/>
        </w:rPr>
        <w:t>note 26 - Net income per ordinary share</w:t>
      </w:r>
      <w:r>
        <w:rPr>
          <w:rFonts w:ascii="Arial" w:cs="Arial" w:eastAsia="Arial" w:hAnsi="Arial"/>
          <w:sz w:val="16"/>
          <w:szCs w:val="16"/>
          <w:color w:val="auto"/>
        </w:rPr>
        <w:t xml:space="preserve"> in the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w:t>
      </w:r>
    </w:p>
    <w:p>
      <w:pPr>
        <w:spacing w:after="0" w:line="264" w:lineRule="exact"/>
        <w:rPr>
          <w:sz w:val="20"/>
          <w:szCs w:val="20"/>
          <w:color w:val="auto"/>
        </w:rPr>
      </w:pPr>
    </w:p>
    <w:p>
      <w:pPr>
        <w:jc w:val="both"/>
        <w:ind w:firstLine="300"/>
        <w:spacing w:after="0" w:line="248" w:lineRule="auto"/>
        <w:rPr>
          <w:sz w:val="20"/>
          <w:szCs w:val="20"/>
          <w:color w:val="auto"/>
        </w:rPr>
      </w:pPr>
      <w:r>
        <w:rPr>
          <w:rFonts w:ascii="Arial" w:cs="Arial" w:eastAsia="Arial" w:hAnsi="Arial"/>
          <w:sz w:val="16"/>
          <w:szCs w:val="16"/>
          <w:color w:val="auto"/>
        </w:rPr>
        <w:t xml:space="preserve">On January 22, 2020 a subsidiary of the Company, ICON Investments Limited acquired 100% of the equity share capital of the MedPass Group ("MedPass").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 The total consideration for the acquisition of MedPass is $47.6 million.The acquisition of MedPass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(see </w:t>
      </w:r>
      <w:r>
        <w:rPr>
          <w:rFonts w:ascii="Arial" w:cs="Arial" w:eastAsia="Arial" w:hAnsi="Arial"/>
          <w:sz w:val="16"/>
          <w:szCs w:val="16"/>
          <w:i w:val="1"/>
          <w:iCs w:val="1"/>
          <w:color w:val="auto"/>
        </w:rPr>
        <w:t>note 4 - Goodwill</w:t>
      </w:r>
      <w:r>
        <w:rPr>
          <w:rFonts w:ascii="Arial" w:cs="Arial" w:eastAsia="Arial" w:hAnsi="Arial"/>
          <w:sz w:val="16"/>
          <w:szCs w:val="16"/>
          <w:color w:val="auto"/>
        </w:rPr>
        <w:t xml:space="preserve"> in the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Leases</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became effective for the Company with effect from January 1, 2019. The Company adopted the new standard as of January 1, 2019 under the cumulative-effect adjustment approach. Under this transition method, the new standard is applied without restatement of comparative period amounts. A lease liability and right-of-use asset have been recorded on the Consolidated Balance Sheet as at January 1, 2019 of $106.5 million (see </w:t>
      </w:r>
      <w:r>
        <w:rPr>
          <w:rFonts w:ascii="Arial" w:cs="Arial" w:eastAsia="Arial" w:hAnsi="Arial"/>
          <w:sz w:val="16"/>
          <w:szCs w:val="16"/>
          <w:i w:val="1"/>
          <w:iCs w:val="1"/>
          <w:color w:val="auto"/>
        </w:rPr>
        <w:t>note 2</w:t>
      </w:r>
    </w:p>
    <w:p>
      <w:pPr>
        <w:spacing w:after="0" w:line="1" w:lineRule="exact"/>
        <w:rPr>
          <w:sz w:val="20"/>
          <w:szCs w:val="20"/>
          <w:color w:val="auto"/>
        </w:rPr>
      </w:pPr>
    </w:p>
    <w:p>
      <w:pPr>
        <w:ind w:right="20" w:firstLine="8"/>
        <w:spacing w:after="0" w:line="260" w:lineRule="auto"/>
        <w:tabs>
          <w:tab w:leader="none" w:pos="108"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in the consolidated financial statements). The net operating cost of leases recorded during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2020 and December 31, 2019 was $30.1 million and $33.0 million, respectively (see </w:t>
      </w:r>
      <w:r>
        <w:rPr>
          <w:rFonts w:ascii="Arial" w:cs="Arial" w:eastAsia="Arial" w:hAnsi="Arial"/>
          <w:sz w:val="16"/>
          <w:szCs w:val="16"/>
          <w:i w:val="1"/>
          <w:iCs w:val="1"/>
          <w:color w:val="auto"/>
        </w:rPr>
        <w:t>note 22 - Operating leases</w:t>
      </w:r>
      <w:r>
        <w:rPr>
          <w:rFonts w:ascii="Arial" w:cs="Arial" w:eastAsia="Arial" w:hAnsi="Arial"/>
          <w:sz w:val="16"/>
          <w:szCs w:val="16"/>
          <w:color w:val="auto"/>
        </w:rPr>
        <w:t xml:space="preserve"> in the consolidated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20" w:type="dxa"/>
            <w:vAlign w:val="bottom"/>
          </w:tcPr>
          <w:p>
            <w:pPr>
              <w:spacing w:after="0"/>
              <w:rPr>
                <w:sz w:val="20"/>
                <w:szCs w:val="20"/>
                <w:color w:val="auto"/>
              </w:rPr>
            </w:pPr>
            <w:r>
              <w:rPr>
                <w:rFonts w:ascii="Arial" w:cs="Arial" w:eastAsia="Arial" w:hAnsi="Arial"/>
                <w:sz w:val="16"/>
                <w:szCs w:val="16"/>
                <w:i w:val="1"/>
                <w:iCs w:val="1"/>
                <w:color w:val="auto"/>
              </w:rPr>
              <w:t>Statement of operations and balance sheet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14"/>
        </w:trPr>
        <w:tc>
          <w:tcPr>
            <w:tcW w:w="4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80" w:type="dxa"/>
            <w:vAlign w:val="bottom"/>
            <w:gridSpan w:val="4"/>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15"/>
        </w:trPr>
        <w:tc>
          <w:tcPr>
            <w:tcW w:w="40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080" w:type="dxa"/>
            <w:vAlign w:val="bottom"/>
            <w:tcBorders>
              <w:bottom w:val="single" w:sz="8" w:color="auto"/>
            </w:tcBorders>
            <w:gridSpan w:val="4"/>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10"/>
        </w:trPr>
        <w:tc>
          <w:tcPr>
            <w:tcW w:w="4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r>
      <w:tr>
        <w:trPr>
          <w:trHeight w:val="210"/>
        </w:trPr>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20" w:type="dxa"/>
            <w:vAlign w:val="bottom"/>
            <w:gridSpan w:val="5"/>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(in thousands, except share and per share data)</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Statement of Operations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Revenue/gross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2,797,288</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2,805,839</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2,595,777</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2,402,321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2,364,956</w:t>
            </w:r>
          </w:p>
        </w:tc>
      </w:tr>
      <w:tr>
        <w:trPr>
          <w:trHeight w:val="22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Reimbursable expenses (2)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(643,882)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(698,469)</w:t>
            </w:r>
          </w:p>
        </w:tc>
      </w:tr>
      <w:tr>
        <w:trPr>
          <w:trHeight w:val="216"/>
        </w:trPr>
        <w:tc>
          <w:tcPr>
            <w:tcW w:w="4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1,758,439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1,666,487</w:t>
            </w:r>
          </w:p>
        </w:tc>
      </w:tr>
      <w:tr>
        <w:trPr>
          <w:trHeight w:val="213"/>
        </w:trPr>
        <w:tc>
          <w:tcPr>
            <w:tcW w:w="4020" w:type="dxa"/>
            <w:vAlign w:val="bottom"/>
          </w:tcPr>
          <w:p>
            <w:pPr>
              <w:ind w:left="140"/>
              <w:spacing w:after="0"/>
              <w:rPr>
                <w:sz w:val="20"/>
                <w:szCs w:val="20"/>
                <w:color w:val="auto"/>
              </w:rPr>
            </w:pPr>
            <w:r>
              <w:rPr>
                <w:rFonts w:ascii="Arial" w:cs="Arial" w:eastAsia="Arial" w:hAnsi="Arial"/>
                <w:sz w:val="16"/>
                <w:szCs w:val="16"/>
                <w:color w:val="auto"/>
              </w:rPr>
              <w:t>Costs and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9"/>
        </w:trPr>
        <w:tc>
          <w:tcPr>
            <w:tcW w:w="4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Direct costs (1)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1,979,883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1,974,135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1,818,220</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1,027,310</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961,333</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341,690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336,748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325,794</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323,741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325,726</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66,126</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61,550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65,916</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61,297</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59,575</w:t>
            </w:r>
          </w:p>
        </w:tc>
      </w:tr>
      <w:tr>
        <w:trPr>
          <w:trHeight w:val="180"/>
        </w:trPr>
        <w:tc>
          <w:tcPr>
            <w:tcW w:w="40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Restructuring charges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8"/>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(3),(4),(5),(6)</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12,490</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7,753</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8,159</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Total costs and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2,405,788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2,372,433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2,222,420</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1,420,101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1,354,793</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391,500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433,406</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373,357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338,338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311,694</w:t>
            </w:r>
          </w:p>
        </w:tc>
      </w:tr>
      <w:tr>
        <w:trPr>
          <w:trHeight w:val="22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(10,295)</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(6,417)</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(8,743)</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(11,522)</w:t>
            </w:r>
          </w:p>
        </w:tc>
      </w:tr>
      <w:tr>
        <w:trPr>
          <w:trHeight w:val="216"/>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before provision for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381,205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426,989</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364,614</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328,057</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300,172</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(47,875)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(51,133)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(41,958)</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(46,569)</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(37,993)</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of equity method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332,331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373,986</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322,656</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281,488</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262,179</w:t>
            </w:r>
          </w:p>
        </w:tc>
      </w:tr>
      <w:tr>
        <w:trPr>
          <w:trHeight w:val="20"/>
        </w:trPr>
        <w:tc>
          <w:tcPr>
            <w:tcW w:w="4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7"/>
        </w:trPr>
        <w:tc>
          <w:tcPr>
            <w:tcW w:w="402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Net income per ordinary share attributable to the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Group (7):</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r>
        <w:trPr>
          <w:trHeight w:val="210"/>
        </w:trPr>
        <w:tc>
          <w:tcPr>
            <w:tcW w:w="40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r>
      <w:tr>
        <w:trPr>
          <w:trHeight w:val="210"/>
        </w:trPr>
        <w:tc>
          <w:tcPr>
            <w:tcW w:w="4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53"/>
        </w:trPr>
        <w:tc>
          <w:tcPr>
            <w:tcW w:w="4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77"/>
        </w:trPr>
        <w:tc>
          <w:tcPr>
            <w:tcW w:w="402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Adjusted net income per Ordinary Share attributable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 the Group (8):</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r>
        <w:trPr>
          <w:trHeight w:val="210"/>
        </w:trPr>
        <w:tc>
          <w:tcPr>
            <w:tcW w:w="40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r>
      <w:tr>
        <w:trPr>
          <w:trHeight w:val="209"/>
        </w:trPr>
        <w:tc>
          <w:tcPr>
            <w:tcW w:w="4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r>
      <w:tr>
        <w:trPr>
          <w:trHeight w:val="253"/>
        </w:trPr>
        <w:tc>
          <w:tcPr>
            <w:tcW w:w="4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77"/>
        </w:trPr>
        <w:tc>
          <w:tcPr>
            <w:tcW w:w="402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Weighted average number</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4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of ordinary shares outstanding:</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r>
        <w:trPr>
          <w:trHeight w:val="209"/>
        </w:trPr>
        <w:tc>
          <w:tcPr>
            <w:tcW w:w="40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52,859,911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53,859,537</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54,118,764</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54,129,439</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55,248,900</w:t>
            </w:r>
          </w:p>
        </w:tc>
      </w:tr>
      <w:tr>
        <w:trPr>
          <w:trHeight w:val="210"/>
        </w:trPr>
        <w:tc>
          <w:tcPr>
            <w:tcW w:w="4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53,283,585</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54,333,461</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54,790,663</w:t>
            </w: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54,849,046</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56,407,136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980" w:type="dxa"/>
            <w:vAlign w:val="bottom"/>
            <w:tcBorders>
              <w:bottom w:val="single" w:sz="8" w:color="auto"/>
            </w:tcBorders>
            <w:gridSpan w:val="4"/>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09"/>
        </w:trPr>
        <w:tc>
          <w:tcPr>
            <w:tcW w:w="4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r>
      <w:tr>
        <w:trPr>
          <w:trHeight w:val="210"/>
        </w:trPr>
        <w:tc>
          <w:tcPr>
            <w:tcW w:w="4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840,305</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520,309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395,851</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282,859</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192,541</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49,628</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59,910</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77,589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68,046</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979,035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493,728</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719,560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534,960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463,552</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3,435,606</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2,907,512</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2,354,255</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2,146,618</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1,825,843</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Ordinary share capital</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4,692</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617,104</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577,961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529,642</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481,337</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438,126</w:t>
            </w:r>
          </w:p>
        </w:tc>
      </w:tr>
      <w:tr>
        <w:trPr>
          <w:trHeight w:val="226"/>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1,850,236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1,618,055</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1,354,281</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1,191,000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945,174</w:t>
            </w:r>
          </w:p>
        </w:tc>
      </w:tr>
    </w:tbl>
    <w:p>
      <w:pPr>
        <w:spacing w:after="0" w:line="200" w:lineRule="exact"/>
        <w:rPr>
          <w:sz w:val="20"/>
          <w:szCs w:val="20"/>
          <w:color w:val="auto"/>
        </w:rPr>
      </w:pPr>
    </w:p>
    <w:p>
      <w:pPr>
        <w:spacing w:after="0" w:line="299" w:lineRule="exact"/>
        <w:rPr>
          <w:sz w:val="20"/>
          <w:szCs w:val="20"/>
          <w:color w:val="auto"/>
        </w:rPr>
      </w:pPr>
    </w:p>
    <w:p>
      <w:pPr>
        <w:jc w:val="both"/>
        <w:ind w:left="340" w:hanging="332"/>
        <w:spacing w:after="0" w:line="251"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 the financial year ended December 31, 2018, 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on January 1, 2018. The new revenue recognition policies were applied in the preparation and presentation of the results for the twelve months ended December 31, 2018, the twelve months ended December 31, 2019 and the twelve months ended December 31, 2020. As ICON adopted the standard using the cumulative effect transition method, there was no restatement of comparative amounts. Therefore, the results for the year ended December 31, 2017 and previously reflect the provisions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Revenue as reported for the years ended December 31, 2017 and previously are gross revenues (inclusive of revenue from reimbursable expenses) or net revenues (exclusive of revenue from reimbursable expenses). This treatment is consistent with the adoption of ASC 606 from January 1, 2018 without restatement of comparatives. Reimbursable expenses are included within direct costs on adoption of ASC 606 on January 1, 2018 (see </w:t>
      </w:r>
      <w:r>
        <w:rPr>
          <w:rFonts w:ascii="Arial" w:cs="Arial" w:eastAsia="Arial" w:hAnsi="Arial"/>
          <w:sz w:val="16"/>
          <w:szCs w:val="16"/>
          <w:i w:val="1"/>
          <w:iCs w:val="1"/>
          <w:color w:val="auto"/>
        </w:rPr>
        <w:t>note 2 (c) Significant accounting policies</w:t>
      </w:r>
      <w:r>
        <w:rPr>
          <w:rFonts w:ascii="Arial" w:cs="Arial" w:eastAsia="Arial" w:hAnsi="Arial"/>
          <w:sz w:val="16"/>
          <w:szCs w:val="16"/>
          <w:color w:val="auto"/>
        </w:rPr>
        <w:t xml:space="preserve"> in the consolidated financial statements).</w:t>
      </w:r>
    </w:p>
    <w:p>
      <w:pPr>
        <w:spacing w:after="0" w:line="231" w:lineRule="exact"/>
        <w:rPr>
          <w:rFonts w:ascii="Arial" w:cs="Arial" w:eastAsia="Arial" w:hAnsi="Arial"/>
          <w:sz w:val="16"/>
          <w:szCs w:val="16"/>
          <w:color w:val="auto"/>
        </w:rPr>
      </w:pPr>
    </w:p>
    <w:p>
      <w:pPr>
        <w:jc w:val="both"/>
        <w:ind w:left="340" w:hanging="332"/>
        <w:spacing w:after="0" w:line="251"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Reimbursable expenses comprise investigator payments and certain other costs which are reimbursed by clients under terms specific to each contract to the investigators. Third party costs (reimbursable expenses) and the related revenue were separately presented on the face of the Consolidated Statement of Operations for periods up to and including the year ended December 31, 2017. With effect from January 1, 2018, they are included with direct costs</w:t>
      </w:r>
      <w:r>
        <w:rPr>
          <w:rFonts w:ascii="Arial" w:cs="Arial" w:eastAsia="Arial" w:hAnsi="Arial"/>
          <w:sz w:val="16"/>
          <w:szCs w:val="16"/>
          <w:i w:val="1"/>
          <w:iCs w:val="1"/>
          <w:color w:val="auto"/>
        </w:rPr>
        <w:t>.</w:t>
      </w:r>
    </w:p>
    <w:p>
      <w:pPr>
        <w:spacing w:after="0" w:line="229"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 restructuring charge of $18.1 million was recognized during the year ended December 31, 2020, under a restructuring plan adopted following a review of operations. The restructuring plan reflected resource rationalization across the business to improve resource utilization (see </w:t>
      </w:r>
      <w:r>
        <w:rPr>
          <w:rFonts w:ascii="Arial" w:cs="Arial" w:eastAsia="Arial" w:hAnsi="Arial"/>
          <w:sz w:val="16"/>
          <w:szCs w:val="16"/>
          <w:i w:val="1"/>
          <w:iCs w:val="1"/>
          <w:color w:val="auto"/>
        </w:rPr>
        <w:t>note 14 -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charges </w:t>
      </w:r>
      <w:r>
        <w:rPr>
          <w:rFonts w:ascii="Arial" w:cs="Arial" w:eastAsia="Arial" w:hAnsi="Arial"/>
          <w:sz w:val="16"/>
          <w:szCs w:val="16"/>
          <w:color w:val="auto"/>
        </w:rPr>
        <w:t>in the consolidated financial statements)</w:t>
      </w:r>
      <w:r>
        <w:rPr>
          <w:rFonts w:ascii="Arial" w:cs="Arial" w:eastAsia="Arial" w:hAnsi="Arial"/>
          <w:sz w:val="16"/>
          <w:szCs w:val="16"/>
          <w:i w:val="1"/>
          <w:iCs w:val="1"/>
          <w:color w:val="auto"/>
        </w:rPr>
        <w:t>.</w:t>
      </w:r>
    </w:p>
    <w:p>
      <w:pPr>
        <w:spacing w:after="0" w:line="228"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 restructuring charge of $12.5 million was recognized during the year ended December 31, 2018, under a restructuring plan adopted following a review of operations. The restructuring plan reflected resource rationalization across the business to improve resource utilization (see </w:t>
      </w:r>
      <w:r>
        <w:rPr>
          <w:rFonts w:ascii="Arial" w:cs="Arial" w:eastAsia="Arial" w:hAnsi="Arial"/>
          <w:sz w:val="16"/>
          <w:szCs w:val="16"/>
          <w:i w:val="1"/>
          <w:iCs w:val="1"/>
          <w:color w:val="auto"/>
        </w:rPr>
        <w:t>note 14 -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charges </w:t>
      </w:r>
      <w:r>
        <w:rPr>
          <w:rFonts w:ascii="Arial" w:cs="Arial" w:eastAsia="Arial" w:hAnsi="Arial"/>
          <w:sz w:val="16"/>
          <w:szCs w:val="16"/>
          <w:color w:val="auto"/>
        </w:rPr>
        <w:t>in the consolidated financial statements)</w:t>
      </w:r>
      <w:r>
        <w:rPr>
          <w:rFonts w:ascii="Arial" w:cs="Arial" w:eastAsia="Arial" w:hAnsi="Arial"/>
          <w:sz w:val="16"/>
          <w:szCs w:val="16"/>
          <w:i w:val="1"/>
          <w:iCs w:val="1"/>
          <w:color w:val="auto"/>
        </w:rPr>
        <w:t>.</w:t>
      </w:r>
    </w:p>
    <w:p>
      <w:pPr>
        <w:spacing w:after="0" w:line="228" w:lineRule="exact"/>
        <w:rPr>
          <w:rFonts w:ascii="Arial" w:cs="Arial" w:eastAsia="Arial" w:hAnsi="Arial"/>
          <w:sz w:val="16"/>
          <w:szCs w:val="16"/>
          <w:color w:val="auto"/>
        </w:rPr>
      </w:pPr>
    </w:p>
    <w:p>
      <w:pPr>
        <w:ind w:left="340" w:hanging="332"/>
        <w:spacing w:after="0" w:line="260"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w:t>
      </w:r>
      <w:r>
        <w:rPr>
          <w:rFonts w:ascii="Arial" w:cs="Arial" w:eastAsia="Arial" w:hAnsi="Arial"/>
          <w:sz w:val="16"/>
          <w:szCs w:val="16"/>
          <w:i w:val="1"/>
          <w:iCs w:val="1"/>
          <w:color w:val="auto"/>
        </w:rPr>
        <w:t>.</w:t>
      </w:r>
    </w:p>
    <w:p>
      <w:pPr>
        <w:spacing w:after="0" w:line="222" w:lineRule="exact"/>
        <w:rPr>
          <w:rFonts w:ascii="Arial" w:cs="Arial" w:eastAsia="Arial" w:hAnsi="Arial"/>
          <w:sz w:val="16"/>
          <w:szCs w:val="16"/>
          <w:color w:val="auto"/>
        </w:rPr>
      </w:pPr>
    </w:p>
    <w:p>
      <w:pPr>
        <w:jc w:val="both"/>
        <w:ind w:left="340" w:hanging="332"/>
        <w:spacing w:after="0" w:line="253"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A restructuring charge of $8.2 million was recognized during the year ended December 31, 2016 under a restructuring plan adopted following a review of operations. The restructuring plan includes resource rationalizations in certain areas of the business to improve resource utilization and improve operational effectiveness.</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per ordinary share is based on the weighted average number of outstanding ordinary shares. Diluted net income per share includes potential ordinary shares from the exercise of options, RSUs and PSUs outstanding.</w:t>
      </w:r>
    </w:p>
    <w:p>
      <w:pPr>
        <w:spacing w:after="0" w:line="222" w:lineRule="exact"/>
        <w:rPr>
          <w:rFonts w:ascii="Arial" w:cs="Arial" w:eastAsia="Arial" w:hAnsi="Arial"/>
          <w:sz w:val="16"/>
          <w:szCs w:val="16"/>
          <w:color w:val="auto"/>
        </w:rPr>
      </w:pPr>
    </w:p>
    <w:p>
      <w:pPr>
        <w:jc w:val="both"/>
        <w:ind w:left="340" w:hanging="332"/>
        <w:spacing w:after="0" w:line="250"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Adjusted net income per ordinary share reflects the add back of the adjustment to bring the noncontrolling interest in MeDiNova to the expected redemption amount. The value of the accretion recorded directly to equity of $4.5 million has been excluded from net income for the year ended December 31, 2020 ($5.0 million has been excluded from net income for the year ended December 31, 2019) when calculating adjusted net income per ordinary share attributable to the Group (non-GAAP). This redemption value is required to be included in the calculation of EPS (GAAP). (See </w:t>
      </w:r>
      <w:r>
        <w:rPr>
          <w:rFonts w:ascii="Arial" w:cs="Arial" w:eastAsia="Arial" w:hAnsi="Arial"/>
          <w:sz w:val="16"/>
          <w:szCs w:val="16"/>
          <w:i w:val="1"/>
          <w:iCs w:val="1"/>
          <w:color w:val="auto"/>
        </w:rPr>
        <w:t>note 26 -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Income per Ordinary Share </w:t>
      </w:r>
      <w:r>
        <w:rPr>
          <w:rFonts w:ascii="Arial" w:cs="Arial" w:eastAsia="Arial" w:hAnsi="Arial"/>
          <w:sz w:val="16"/>
          <w:szCs w:val="16"/>
          <w:color w:val="auto"/>
        </w:rPr>
        <w:t>in the consolidated financial statements)</w:t>
      </w:r>
      <w:r>
        <w:rPr>
          <w:rFonts w:ascii="Arial" w:cs="Arial" w:eastAsia="Arial" w:hAnsi="Arial"/>
          <w:sz w:val="16"/>
          <w:szCs w:val="16"/>
          <w:i w:val="1"/>
          <w:iCs w:val="1"/>
          <w:color w:val="auto"/>
        </w:rPr>
        <w:t>.</w:t>
      </w:r>
    </w:p>
    <w:p>
      <w:pPr>
        <w:spacing w:after="0" w:line="210" w:lineRule="exact"/>
        <w:rPr>
          <w:sz w:val="20"/>
          <w:szCs w:val="20"/>
          <w:color w:val="auto"/>
        </w:rPr>
      </w:pPr>
    </w:p>
    <w:p>
      <w:pPr>
        <w:ind w:left="180" w:right="8100" w:firstLine="152"/>
        <w:spacing w:after="0" w:line="286" w:lineRule="auto"/>
        <w:tabs>
          <w:tab w:leader="none" w:pos="64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spacing w:after="0" w:line="182" w:lineRule="exact"/>
        <w:rPr>
          <w:rFonts w:ascii="Arial" w:cs="Arial" w:eastAsia="Arial" w:hAnsi="Arial"/>
          <w:sz w:val="16"/>
          <w:szCs w:val="16"/>
          <w:b w:val="1"/>
          <w:bCs w:val="1"/>
          <w:color w:val="auto"/>
        </w:rPr>
      </w:pPr>
    </w:p>
    <w:p>
      <w:pPr>
        <w:ind w:left="180" w:right="7340" w:firstLine="152"/>
        <w:spacing w:after="0" w:line="286" w:lineRule="auto"/>
        <w:tabs>
          <w:tab w:leader="none" w:pos="64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Reasons for the offer and use of proceeds </w:t>
      </w:r>
      <w:r>
        <w:rPr>
          <w:rFonts w:ascii="Arial" w:cs="Arial" w:eastAsia="Arial" w:hAnsi="Arial"/>
          <w:sz w:val="16"/>
          <w:szCs w:val="16"/>
          <w:color w:val="auto"/>
        </w:rPr>
        <w:t>Not applicable</w:t>
      </w:r>
    </w:p>
    <w:p>
      <w:pPr>
        <w:sectPr>
          <w:pgSz w:w="11900" w:h="16838" w:orient="portrait"/>
          <w:cols w:equalWidth="0" w:num="1">
            <w:col w:w="11240"/>
          </w:cols>
          <w:pgMar w:left="320" w:top="10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8" w:name="page9"/>
    <w:bookmarkEnd w:id="8"/>
    <w:p>
      <w:pPr>
        <w:ind w:left="340"/>
        <w:spacing w:after="0"/>
        <w:tabs>
          <w:tab w:leader="none" w:pos="64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5"/>
          <w:szCs w:val="15"/>
          <w:b w:val="1"/>
          <w:bCs w:val="1"/>
          <w:color w:val="auto"/>
        </w:rPr>
        <w:t>Risk Factors</w:t>
      </w:r>
    </w:p>
    <w:p>
      <w:pPr>
        <w:spacing w:after="0" w:line="268" w:lineRule="exact"/>
        <w:rPr>
          <w:sz w:val="20"/>
          <w:szCs w:val="20"/>
          <w:color w:val="auto"/>
        </w:rPr>
      </w:pPr>
    </w:p>
    <w:p>
      <w:pPr>
        <w:jc w:val="both"/>
        <w:ind w:right="20" w:firstLine="282"/>
        <w:spacing w:after="0" w:line="260" w:lineRule="auto"/>
        <w:rPr>
          <w:sz w:val="20"/>
          <w:szCs w:val="20"/>
          <w:color w:val="auto"/>
        </w:rPr>
      </w:pPr>
      <w:r>
        <w:rPr>
          <w:rFonts w:ascii="Arial" w:cs="Arial" w:eastAsia="Arial" w:hAnsi="Arial"/>
          <w:sz w:val="16"/>
          <w:szCs w:val="16"/>
          <w:color w:val="auto"/>
        </w:rPr>
        <w:t>Various risk factors that are relevant to our business and the services we provide are outlined below. The occurrence of any of these events may materially and adversely affect our business operations, financial condition and results of operations and future prospects.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Business and Operations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depend on a limited number of customers and a loss of, or significant decrease in business from one or more of them could affect our business.</w:t>
      </w:r>
    </w:p>
    <w:p>
      <w:pPr>
        <w:spacing w:after="0" w:line="149" w:lineRule="exact"/>
        <w:rPr>
          <w:sz w:val="20"/>
          <w:szCs w:val="20"/>
          <w:color w:val="auto"/>
        </w:rPr>
      </w:pPr>
    </w:p>
    <w:p>
      <w:pPr>
        <w:jc w:val="both"/>
        <w:ind w:firstLine="203"/>
        <w:spacing w:after="0" w:line="248" w:lineRule="auto"/>
        <w:rPr>
          <w:sz w:val="20"/>
          <w:szCs w:val="20"/>
          <w:color w:val="auto"/>
        </w:rPr>
      </w:pPr>
      <w:r>
        <w:rPr>
          <w:rFonts w:ascii="Arial" w:cs="Arial" w:eastAsia="Arial" w:hAnsi="Arial"/>
          <w:sz w:val="16"/>
          <w:szCs w:val="16"/>
          <w:color w:val="auto"/>
        </w:rPr>
        <w:t xml:space="preserve">During the year ended December 31, 2020, 39.1% of our revenues were derived from our top five customers, with one customer individually contributing more than 10% of our revenues during the period. This customer represented a strategic partnership with a large global pharmaceutical company and contributed 12.1% of revenue for the year. During the year ended December 31, 2019, 37.6% of our revenues were derived from our top five customers, with two customers contributing more than 10% of our revenues during the period (the largest contributing 12.5% and the second largest contributing 10.2%). No other customer contributed more than 10% of our revenues during this period. During the year ended December 31, 2018, 39.5% of our revenues were derived from our top five customers, with one customer contributing more than 10% of our revenues during the period (13.6%). No other customer contributed more than 10% of our revenues during this period (see </w:t>
      </w:r>
      <w:r>
        <w:rPr>
          <w:rFonts w:ascii="Arial" w:cs="Arial" w:eastAsia="Arial" w:hAnsi="Arial"/>
          <w:sz w:val="16"/>
          <w:szCs w:val="16"/>
          <w:i w:val="1"/>
          <w:iCs w:val="1"/>
          <w:color w:val="auto"/>
        </w:rPr>
        <w:t>note 16 - Disaggregation of revenue</w:t>
      </w:r>
      <w:r>
        <w:rPr>
          <w:rFonts w:ascii="Arial" w:cs="Arial" w:eastAsia="Arial" w:hAnsi="Arial"/>
          <w:sz w:val="16"/>
          <w:szCs w:val="16"/>
          <w:color w:val="auto"/>
        </w:rPr>
        <w:t xml:space="preserve"> in the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 If we lose clients, we may not be able to attract new ones and if we lose individual projects, we may not be able to replace them. The loss of, or a significant decrease in business from one or more of these key customers could have a material adverse impact on our results of operations and financial results.</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financial results may be adversely impacted if we under price our contracts, overrun our cost estimates or fail to receive approval for or experience delays in documenting change orders.</w:t>
      </w:r>
    </w:p>
    <w:p>
      <w:pPr>
        <w:spacing w:after="0" w:line="149"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16"/>
          <w:szCs w:val="16"/>
          <w:color w:val="auto"/>
        </w:rPr>
        <w:t>Many of our contracts are long-term fixed price or fixed unit price contracts for services. As a result, variations in the timing and progress of large contracts may materially adversely affect our results of operations. Revenue recognized on these service contracts are based on an assessment of progress towards completion being the cost of time and other third party costs as a percentage of total estimated time and other third 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235" w:lineRule="exact"/>
        <w:rPr>
          <w:sz w:val="20"/>
          <w:szCs w:val="20"/>
          <w:color w:val="auto"/>
        </w:rPr>
      </w:pPr>
    </w:p>
    <w:p>
      <w:pPr>
        <w:jc w:val="both"/>
        <w:ind w:firstLine="295"/>
        <w:spacing w:after="0" w:line="250" w:lineRule="auto"/>
        <w:rPr>
          <w:sz w:val="20"/>
          <w:szCs w:val="20"/>
          <w:color w:val="auto"/>
        </w:rPr>
      </w:pPr>
      <w:r>
        <w:rPr>
          <w:rFonts w:ascii="Arial" w:cs="Arial" w:eastAsia="Arial" w:hAnsi="Arial"/>
          <w:sz w:val="16"/>
          <w:szCs w:val="16"/>
          <w:color w:val="auto"/>
        </w:rPr>
        <w:t>We bear the risk of cost overruns unless the scope of activity is revised from the contract specifications and we are able to negotiate a contract modification. We endeavor to ensure that any changes in scope are appropriately monitored and change orders or contract modifications are promptly negotiated and documented for changes in scope.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potential loss or delay of our large contracts or of multiple contracts could adversely affect our results.</w:t>
      </w:r>
    </w:p>
    <w:p>
      <w:pPr>
        <w:spacing w:after="0" w:line="268" w:lineRule="exact"/>
        <w:rPr>
          <w:sz w:val="20"/>
          <w:szCs w:val="20"/>
          <w:color w:val="auto"/>
        </w:rPr>
      </w:pPr>
    </w:p>
    <w:p>
      <w:pPr>
        <w:jc w:val="both"/>
        <w:ind w:firstLine="182"/>
        <w:spacing w:after="0" w:line="253" w:lineRule="auto"/>
        <w:rPr>
          <w:sz w:val="20"/>
          <w:szCs w:val="20"/>
          <w:color w:val="auto"/>
        </w:rPr>
      </w:pPr>
      <w:r>
        <w:rPr>
          <w:rFonts w:ascii="Arial" w:cs="Arial" w:eastAsia="Arial" w:hAnsi="Arial"/>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7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failure of products being tested to satisfy safety or efficacy requirements;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unexpected or undesired clinical results of the product;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decision that a particular study is no longer necessary or viable;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poor project performance, quality concerns, insufficient patient enrollment or investigator recruitment; and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production problems resulting in shortages of the drug.</w:t>
      </w:r>
    </w:p>
    <w:p>
      <w:pPr>
        <w:spacing w:after="0" w:line="194" w:lineRule="exact"/>
        <w:rPr>
          <w:sz w:val="20"/>
          <w:szCs w:val="20"/>
          <w:color w:val="auto"/>
        </w:rPr>
      </w:pPr>
    </w:p>
    <w:p>
      <w:pPr>
        <w:jc w:val="both"/>
        <w:ind w:firstLine="255"/>
        <w:spacing w:after="0" w:line="250" w:lineRule="auto"/>
        <w:rPr>
          <w:sz w:val="20"/>
          <w:szCs w:val="20"/>
          <w:color w:val="auto"/>
        </w:rPr>
      </w:pPr>
      <w:r>
        <w:rPr>
          <w:rFonts w:ascii="Arial" w:cs="Arial" w:eastAsia="Arial" w:hAnsi="Arial"/>
          <w:sz w:val="16"/>
          <w:szCs w:val="16"/>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utilization rates. In addition, we may not realize the full benefits of our unsatisfied performance obligation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203" w:lineRule="exact"/>
        <w:rPr>
          <w:sz w:val="20"/>
          <w:szCs w:val="20"/>
          <w:color w:val="auto"/>
        </w:rPr>
      </w:pPr>
    </w:p>
    <w:p>
      <w:pPr>
        <w:jc w:val="both"/>
        <w:ind w:firstLine="199"/>
        <w:spacing w:after="0" w:line="253" w:lineRule="auto"/>
        <w:rPr>
          <w:sz w:val="20"/>
          <w:szCs w:val="20"/>
          <w:color w:val="auto"/>
        </w:rPr>
      </w:pPr>
      <w:r>
        <w:rPr>
          <w:rFonts w:ascii="Arial" w:cs="Arial" w:eastAsia="Arial" w:hAnsi="Arial"/>
          <w:sz w:val="16"/>
          <w:szCs w:val="16"/>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successfully develop and market new services or enter new markets, our growth, results of operations or financial condition could be adversely affected.</w:t>
      </w:r>
    </w:p>
    <w:p>
      <w:pPr>
        <w:spacing w:after="0" w:line="203" w:lineRule="exact"/>
        <w:rPr>
          <w:sz w:val="20"/>
          <w:szCs w:val="20"/>
          <w:color w:val="auto"/>
        </w:rPr>
      </w:pPr>
    </w:p>
    <w:p>
      <w:pPr>
        <w:jc w:val="both"/>
        <w:ind w:firstLine="199"/>
        <w:spacing w:after="0" w:line="250" w:lineRule="auto"/>
        <w:rPr>
          <w:sz w:val="20"/>
          <w:szCs w:val="20"/>
          <w:color w:val="auto"/>
        </w:rPr>
      </w:pPr>
      <w:r>
        <w:rPr>
          <w:rFonts w:ascii="Arial" w:cs="Arial" w:eastAsia="Arial" w:hAnsi="Arial"/>
          <w:sz w:val="16"/>
          <w:szCs w:val="16"/>
          <w:color w:val="auto"/>
        </w:rPr>
        <w:t>A key element of our growth strategy is the successful development and marketing of new services or entering new markets that complement or expand our existing business. As we develop new services or enter new markets, we may not have or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attract or retain key personnel, our performance may suffer.</w:t>
      </w:r>
    </w:p>
    <w:p>
      <w:pPr>
        <w:spacing w:after="0" w:line="214" w:lineRule="exact"/>
        <w:rPr>
          <w:sz w:val="20"/>
          <w:szCs w:val="20"/>
          <w:color w:val="auto"/>
        </w:rPr>
      </w:pPr>
    </w:p>
    <w:p>
      <w:pPr>
        <w:jc w:val="both"/>
        <w:ind w:firstLine="205"/>
        <w:spacing w:after="0" w:line="250" w:lineRule="auto"/>
        <w:rPr>
          <w:sz w:val="20"/>
          <w:szCs w:val="20"/>
          <w:color w:val="auto"/>
        </w:rPr>
      </w:pPr>
      <w:r>
        <w:rPr>
          <w:rFonts w:ascii="Arial" w:cs="Arial" w:eastAsia="Arial" w:hAnsi="Arial"/>
          <w:sz w:val="16"/>
          <w:szCs w:val="16"/>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the ability to recruit suitable willing patients.</w:t>
      </w:r>
    </w:p>
    <w:p>
      <w:pPr>
        <w:spacing w:after="0" w:line="268" w:lineRule="exact"/>
        <w:rPr>
          <w:sz w:val="20"/>
          <w:szCs w:val="20"/>
          <w:color w:val="auto"/>
        </w:rPr>
      </w:pPr>
    </w:p>
    <w:p>
      <w:pPr>
        <w:jc w:val="both"/>
        <w:ind w:firstLine="203"/>
        <w:spacing w:after="0" w:line="250" w:lineRule="auto"/>
        <w:rPr>
          <w:sz w:val="20"/>
          <w:szCs w:val="20"/>
          <w:color w:val="auto"/>
        </w:rPr>
      </w:pPr>
      <w:r>
        <w:rPr>
          <w:rFonts w:ascii="Arial" w:cs="Arial" w:eastAsia="Arial" w:hAnsi="Arial"/>
          <w:sz w:val="16"/>
          <w:szCs w:val="16"/>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230" w:lineRule="exact"/>
        <w:rPr>
          <w:sz w:val="20"/>
          <w:szCs w:val="20"/>
          <w:color w:val="auto"/>
        </w:rPr>
      </w:pPr>
    </w:p>
    <w:p>
      <w:pPr>
        <w:jc w:val="both"/>
        <w:ind w:firstLine="273"/>
        <w:spacing w:after="0" w:line="250" w:lineRule="auto"/>
        <w:rPr>
          <w:sz w:val="20"/>
          <w:szCs w:val="20"/>
          <w:color w:val="auto"/>
        </w:rPr>
      </w:pPr>
      <w:r>
        <w:rPr>
          <w:rFonts w:ascii="Arial" w:cs="Arial" w:eastAsia="Arial" w:hAnsi="Arial"/>
          <w:sz w:val="16"/>
          <w:szCs w:val="16"/>
          <w:color w:val="auto"/>
        </w:rPr>
        <w:t>The Company is focused on continuing to develop its expertise in patient recruitment and on September 3, 2020, announced that it was launching Accellacare, a global clinical research network offering patients easier and faster access to innovative treatments and offering customers the option to deploy decentralized trails. The site network includes PMG Research in the US and MeDiNova in EMEA.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Improved site selection is achieved through:</w:t>
      </w:r>
    </w:p>
    <w:p>
      <w:pPr>
        <w:spacing w:after="0" w:line="24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leading technology to identify where the patients are that match the protocol;</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assessment of the qualification of sites based on real data;</w:t>
      </w:r>
    </w:p>
    <w:p>
      <w:pPr>
        <w:spacing w:after="0" w:line="5" w:lineRule="exact"/>
        <w:rPr>
          <w:rFonts w:ascii="Arial" w:cs="Arial" w:eastAsia="Arial" w:hAnsi="Arial"/>
          <w:sz w:val="16"/>
          <w:szCs w:val="16"/>
          <w:color w:val="auto"/>
        </w:rPr>
      </w:pPr>
    </w:p>
    <w:p>
      <w:pPr>
        <w:ind w:left="340" w:hanging="332"/>
        <w:spacing w:after="0" w:line="260"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partnerships with leading technology vendors such as Intel, EHR4CR and TriNeTX and developing the capability to enable EMR interrogation into clinical insights such as sub-populations and larger pre-screened pool where the technology and regulations are enabled.</w:t>
      </w:r>
    </w:p>
    <w:p>
      <w:pPr>
        <w:spacing w:after="0" w:line="222" w:lineRule="exact"/>
        <w:rPr>
          <w:sz w:val="20"/>
          <w:szCs w:val="20"/>
          <w:color w:val="auto"/>
        </w:rPr>
      </w:pPr>
    </w:p>
    <w:p>
      <w:pPr>
        <w:jc w:val="both"/>
        <w:ind w:firstLine="179"/>
        <w:spacing w:after="0" w:line="250" w:lineRule="auto"/>
        <w:rPr>
          <w:sz w:val="20"/>
          <w:szCs w:val="20"/>
          <w:color w:val="auto"/>
        </w:rPr>
      </w:pPr>
      <w:r>
        <w:rPr>
          <w:rFonts w:ascii="Arial" w:cs="Arial" w:eastAsia="Arial" w:hAnsi="Arial"/>
          <w:sz w:val="16"/>
          <w:szCs w:val="16"/>
          <w:color w:val="auto"/>
        </w:rPr>
        <w:t>The burden on the site, in ensuring patient enrollment and engagement, is achieved through integrated site networks. ICON have a number of site alliance partners. During 2018, we enhanced our site and patient recruitment capabilities with an expansion of the PMG Research network through a partnership with the DuPage Medical Group. During 2019, we further enhanced our site and patient recruitment abilities through the strategic acquisitions of MeDiNova and Symphony. We also use digital solutions to drive site performance, including pre-screening, eConsent, learning management, document tracking and management with key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our ability to recruit suitable willing investigators.</w:t>
      </w:r>
    </w:p>
    <w:p>
      <w:pPr>
        <w:spacing w:after="0" w:line="268" w:lineRule="exact"/>
        <w:rPr>
          <w:sz w:val="20"/>
          <w:szCs w:val="20"/>
          <w:color w:val="auto"/>
        </w:rPr>
      </w:pPr>
    </w:p>
    <w:p>
      <w:pPr>
        <w:jc w:val="both"/>
        <w:ind w:firstLine="205"/>
        <w:spacing w:after="0" w:line="250" w:lineRule="auto"/>
        <w:rPr>
          <w:sz w:val="20"/>
          <w:szCs w:val="20"/>
          <w:color w:val="auto"/>
        </w:rPr>
      </w:pPr>
      <w:r>
        <w:rPr>
          <w:rFonts w:ascii="Arial" w:cs="Arial" w:eastAsia="Arial" w:hAnsi="Arial"/>
          <w:sz w:val="16"/>
          <w:szCs w:val="16"/>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 parties for important products and services.</w:t>
      </w:r>
    </w:p>
    <w:p>
      <w:pPr>
        <w:spacing w:after="0" w:line="214" w:lineRule="exact"/>
        <w:rPr>
          <w:sz w:val="20"/>
          <w:szCs w:val="20"/>
          <w:color w:val="auto"/>
        </w:rPr>
      </w:pPr>
    </w:p>
    <w:p>
      <w:pPr>
        <w:jc w:val="both"/>
        <w:ind w:firstLine="212"/>
        <w:spacing w:after="0" w:line="251" w:lineRule="auto"/>
        <w:rPr>
          <w:sz w:val="20"/>
          <w:szCs w:val="20"/>
          <w:color w:val="auto"/>
        </w:rPr>
      </w:pPr>
      <w:r>
        <w:rPr>
          <w:rFonts w:ascii="Arial" w:cs="Arial" w:eastAsia="Arial" w:hAnsi="Arial"/>
          <w:sz w:val="16"/>
          <w:szCs w:val="16"/>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Climate change, extreme weather events, earthquakes and other natural disasters could adversely affect our business.</w:t>
      </w:r>
    </w:p>
    <w:p>
      <w:pPr>
        <w:spacing w:after="0" w:line="268" w:lineRule="exact"/>
        <w:rPr>
          <w:sz w:val="20"/>
          <w:szCs w:val="20"/>
          <w:color w:val="auto"/>
        </w:rPr>
      </w:pPr>
    </w:p>
    <w:p>
      <w:pPr>
        <w:jc w:val="both"/>
        <w:ind w:firstLine="189"/>
        <w:spacing w:after="0" w:line="249" w:lineRule="auto"/>
        <w:rPr>
          <w:sz w:val="20"/>
          <w:szCs w:val="20"/>
          <w:color w:val="auto"/>
        </w:rPr>
      </w:pPr>
      <w:r>
        <w:rPr>
          <w:rFonts w:ascii="Arial" w:cs="Arial" w:eastAsia="Arial" w:hAnsi="Arial"/>
          <w:sz w:val="16"/>
          <w:szCs w:val="16"/>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disease outbreak, epidemic or pandemic such as COVID-19, could adversely affect our business performance.</w:t>
      </w:r>
    </w:p>
    <w:p>
      <w:pPr>
        <w:spacing w:after="0" w:line="268" w:lineRule="exact"/>
        <w:rPr>
          <w:sz w:val="20"/>
          <w:szCs w:val="20"/>
          <w:color w:val="auto"/>
        </w:rPr>
      </w:pPr>
    </w:p>
    <w:p>
      <w:pPr>
        <w:jc w:val="both"/>
        <w:ind w:firstLine="187"/>
        <w:spacing w:after="0" w:line="251" w:lineRule="auto"/>
        <w:rPr>
          <w:sz w:val="20"/>
          <w:szCs w:val="20"/>
          <w:color w:val="auto"/>
        </w:rPr>
      </w:pPr>
      <w:r>
        <w:rPr>
          <w:rFonts w:ascii="Arial" w:cs="Arial" w:eastAsia="Arial" w:hAnsi="Arial"/>
          <w:sz w:val="16"/>
          <w:szCs w:val="16"/>
          <w:color w:val="auto"/>
        </w:rPr>
        <w:t>A disease outbreak, such as influenza, coronavirus, or other biological attack could negatively impact our operations. We could experience restrictions on our ability to travel, or the ability of patients or other service providers to travel, to monitor our clinical trials and to ensure laboratory samples are collected and analyzed on time as a result of an outbreak. The potential impact of an epidemic or pandemic may also result in increased operating costs and result in a requirement to increase investment in impact prevention.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COVID-19 has, and may continue to, adversely affect our business performance, and could adversely affect the economies and financial markets worldwide, resulting in an economic downturn that could impact our business, financial condition and results of operations. The Company has experienced a negative impact on our operations as a result of the global spread of COVID-19, including restrictions on our ability to ensure laboratory samples are collected and analyzed on time, our ability to monitor our clinical trials, the ability of patients or other service providers to travel, and our ability to travel. We have also experienced costs associated with impact prevention.</w:t>
      </w:r>
    </w:p>
    <w:p>
      <w:pPr>
        <w:spacing w:after="0" w:line="230" w:lineRule="exact"/>
        <w:rPr>
          <w:sz w:val="20"/>
          <w:szCs w:val="20"/>
          <w:color w:val="auto"/>
        </w:rPr>
      </w:pPr>
    </w:p>
    <w:p>
      <w:pPr>
        <w:jc w:val="both"/>
        <w:ind w:firstLine="186"/>
        <w:spacing w:after="0" w:line="248" w:lineRule="auto"/>
        <w:rPr>
          <w:sz w:val="20"/>
          <w:szCs w:val="20"/>
          <w:color w:val="auto"/>
        </w:rPr>
      </w:pPr>
      <w:r>
        <w:rPr>
          <w:rFonts w:ascii="Arial" w:cs="Arial" w:eastAsia="Arial" w:hAnsi="Arial"/>
          <w:sz w:val="16"/>
          <w:szCs w:val="16"/>
          <w:color w:val="auto"/>
        </w:rPr>
        <w:t>The COVID-19 outbreak continues to evolve. While our site network and office facilities have begun to re-open on a phased basis, the extent to which the outbreak may continue to impact our business will depend on future developments, which are highly uncertain and cannot be predicted with confidence, such as the ultimate geographic spread of COVID-19, additional phases of the outbreak, travel restrictions and actions to contain the outbreak or treat its impact, such as social distancing and quarantines or lock-downs, business closures or business disruptions and the effectiveness of actions taken throughout the world to contain and treat the disease. We may also be required or choose to take temporary measures to again take temporary precautionary measures intended to help minimize the risk of infection from the virus for our employees, including temporarily requiring all employees to work remotely, suspending all non-essential travel worldwide and discouraging attendance at industry events, industry and other conferences, and in-person work-related meetings, which could negatively affect our business and cannot presently be predicted with confidence.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ind w:firstLine="45"/>
        <w:spacing w:after="0" w:line="266" w:lineRule="auto"/>
        <w:rPr>
          <w:sz w:val="20"/>
          <w:szCs w:val="20"/>
          <w:color w:val="auto"/>
        </w:rPr>
      </w:pPr>
      <w:r>
        <w:rPr>
          <w:rFonts w:ascii="Arial" w:cs="Arial" w:eastAsia="Arial" w:hAnsi="Arial"/>
          <w:sz w:val="16"/>
          <w:szCs w:val="16"/>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218" w:lineRule="exact"/>
        <w:rPr>
          <w:sz w:val="20"/>
          <w:szCs w:val="20"/>
          <w:color w:val="auto"/>
        </w:rPr>
      </w:pPr>
    </w:p>
    <w:p>
      <w:pPr>
        <w:jc w:val="both"/>
        <w:ind w:firstLine="256"/>
        <w:spacing w:after="0" w:line="250" w:lineRule="auto"/>
        <w:rPr>
          <w:sz w:val="20"/>
          <w:szCs w:val="20"/>
          <w:color w:val="auto"/>
        </w:rPr>
      </w:pPr>
      <w:r>
        <w:rPr>
          <w:rFonts w:ascii="Arial" w:cs="Arial" w:eastAsia="Arial" w:hAnsi="Arial"/>
          <w:sz w:val="16"/>
          <w:szCs w:val="16"/>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230" w:lineRule="exact"/>
        <w:rPr>
          <w:sz w:val="20"/>
          <w:szCs w:val="20"/>
          <w:color w:val="auto"/>
        </w:rPr>
      </w:pPr>
    </w:p>
    <w:p>
      <w:pPr>
        <w:ind w:left="960" w:hanging="30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disruption or failure of data centers, telecommunications facilities or other key infrastructure platforms;</w:t>
      </w:r>
    </w:p>
    <w:p>
      <w:pPr>
        <w:spacing w:after="0" w:line="5" w:lineRule="exact"/>
        <w:rPr>
          <w:rFonts w:ascii="Arial" w:cs="Arial" w:eastAsia="Arial" w:hAnsi="Arial"/>
          <w:sz w:val="16"/>
          <w:szCs w:val="16"/>
          <w:color w:val="auto"/>
        </w:rPr>
      </w:pPr>
    </w:p>
    <w:p>
      <w:pPr>
        <w:ind w:left="980" w:hanging="324"/>
        <w:spacing w:after="0" w:line="246" w:lineRule="auto"/>
        <w:tabs>
          <w:tab w:leader="none" w:pos="969"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security breaches, cyber-attacks or other failures or malfunctions in our application or information systems or their associated hardware or other systems that we have access to or that we rely upon or that have access to our systems;</w:t>
      </w:r>
    </w:p>
    <w:p>
      <w:pPr>
        <w:ind w:left="960" w:hanging="30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security breaches, cyber-attacks or malfunctions with key suppliers or partners who we rely on to provide services to customers; and</w:t>
      </w:r>
    </w:p>
    <w:p>
      <w:pPr>
        <w:spacing w:after="0" w:line="5" w:lineRule="exact"/>
        <w:rPr>
          <w:rFonts w:ascii="Arial" w:cs="Arial" w:eastAsia="Arial" w:hAnsi="Arial"/>
          <w:sz w:val="16"/>
          <w:szCs w:val="16"/>
          <w:color w:val="auto"/>
        </w:rPr>
      </w:pPr>
    </w:p>
    <w:p>
      <w:pPr>
        <w:ind w:left="960" w:hanging="30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excessive costs, excessive delays or other deficiencies in or problems with systems development and deployment.</w:t>
      </w:r>
    </w:p>
    <w:p>
      <w:pPr>
        <w:spacing w:after="0" w:line="248" w:lineRule="exact"/>
        <w:rPr>
          <w:sz w:val="20"/>
          <w:szCs w:val="20"/>
          <w:color w:val="auto"/>
        </w:rPr>
      </w:pPr>
    </w:p>
    <w:p>
      <w:pPr>
        <w:jc w:val="both"/>
        <w:ind w:firstLine="179"/>
        <w:spacing w:after="0" w:line="253" w:lineRule="auto"/>
        <w:rPr>
          <w:sz w:val="20"/>
          <w:szCs w:val="20"/>
          <w:color w:val="auto"/>
        </w:rPr>
      </w:pPr>
      <w:r>
        <w:rPr>
          <w:rFonts w:ascii="Arial" w:cs="Arial" w:eastAsia="Arial" w:hAnsi="Arial"/>
          <w:sz w:val="16"/>
          <w:szCs w:val="16"/>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as well as reputational harm.</w:t>
      </w:r>
    </w:p>
    <w:p>
      <w:pPr>
        <w:spacing w:after="0" w:line="228" w:lineRule="exact"/>
        <w:rPr>
          <w:sz w:val="20"/>
          <w:szCs w:val="20"/>
          <w:color w:val="auto"/>
        </w:rPr>
      </w:pPr>
    </w:p>
    <w:p>
      <w:pPr>
        <w:jc w:val="both"/>
        <w:ind w:firstLine="203"/>
        <w:spacing w:after="0" w:line="248" w:lineRule="auto"/>
        <w:rPr>
          <w:sz w:val="20"/>
          <w:szCs w:val="20"/>
          <w:color w:val="auto"/>
        </w:rPr>
      </w:pPr>
      <w:r>
        <w:rPr>
          <w:rFonts w:ascii="Arial" w:cs="Arial" w:eastAsia="Arial" w:hAnsi="Arial"/>
          <w:sz w:val="16"/>
          <w:szCs w:val="16"/>
          <w:color w:val="auto"/>
        </w:rPr>
        <w:t>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80" w:lineRule="exact"/>
        <w:rPr>
          <w:sz w:val="20"/>
          <w:szCs w:val="20"/>
          <w:color w:val="auto"/>
        </w:rPr>
      </w:pPr>
    </w:p>
    <w:p>
      <w:pPr>
        <w:jc w:val="both"/>
        <w:ind w:firstLine="293"/>
        <w:spacing w:after="0" w:line="248" w:lineRule="auto"/>
        <w:rPr>
          <w:sz w:val="20"/>
          <w:szCs w:val="20"/>
          <w:color w:val="auto"/>
        </w:rPr>
      </w:pPr>
      <w:r>
        <w:rPr>
          <w:rFonts w:ascii="Arial" w:cs="Arial" w:eastAsia="Arial" w:hAnsi="Arial"/>
          <w:sz w:val="16"/>
          <w:szCs w:val="16"/>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information systems and those of third parties which we utilize may face increased cybersecurity risks due to the COVID-19 pandemic, including from the significant number of employees that are working remotely or otherwise impacted by stay-at-home orders. Additional remote access points provide new potential vulnerabilities to cybercriminals. Employees of ICON and third parties may be more susceptible to social engineering efforts, and to phishing attempts which can disguise malware as a legitimate effort to circulate important information relating to COVID-19.</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Upgrading the information systems that support our operating processes and evolving the technology platform for our services pose risks to our business.</w:t>
      </w:r>
    </w:p>
    <w:p>
      <w:pPr>
        <w:spacing w:after="0" w:line="203" w:lineRule="exact"/>
        <w:rPr>
          <w:sz w:val="20"/>
          <w:szCs w:val="20"/>
          <w:color w:val="auto"/>
        </w:rPr>
      </w:pPr>
    </w:p>
    <w:p>
      <w:pPr>
        <w:jc w:val="both"/>
        <w:ind w:firstLine="208"/>
        <w:spacing w:after="0" w:line="251" w:lineRule="auto"/>
        <w:rPr>
          <w:sz w:val="20"/>
          <w:szCs w:val="20"/>
          <w:color w:val="auto"/>
        </w:rPr>
      </w:pPr>
      <w:r>
        <w:rPr>
          <w:rFonts w:ascii="Arial" w:cs="Arial" w:eastAsia="Arial" w:hAnsi="Arial"/>
          <w:sz w:val="16"/>
          <w:szCs w:val="16"/>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ind w:firstLine="253"/>
        <w:spacing w:after="0" w:line="250" w:lineRule="auto"/>
        <w:rPr>
          <w:sz w:val="20"/>
          <w:szCs w:val="20"/>
          <w:color w:val="auto"/>
        </w:rPr>
      </w:pPr>
      <w:r>
        <w:rPr>
          <w:rFonts w:ascii="Arial" w:cs="Arial" w:eastAsia="Arial" w:hAnsi="Arial"/>
          <w:sz w:val="16"/>
          <w:szCs w:val="16"/>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216" w:lineRule="exact"/>
        <w:rPr>
          <w:sz w:val="20"/>
          <w:szCs w:val="20"/>
          <w:color w:val="auto"/>
        </w:rPr>
      </w:pPr>
    </w:p>
    <w:p>
      <w:pPr>
        <w:jc w:val="both"/>
        <w:ind w:firstLine="197"/>
        <w:spacing w:after="0" w:line="232" w:lineRule="auto"/>
        <w:rPr>
          <w:sz w:val="20"/>
          <w:szCs w:val="20"/>
          <w:color w:val="auto"/>
        </w:rPr>
      </w:pPr>
      <w:r>
        <w:rPr>
          <w:rFonts w:ascii="Arial" w:cs="Arial" w:eastAsia="Arial" w:hAnsi="Arial"/>
          <w:sz w:val="16"/>
          <w:szCs w:val="16"/>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We are continuing to develop opportunities for automation across ICON using state of the art automation tools including Robotic Process Automation (RPA), the development of new applications and capabilities, and enabling deeper integration across our digital ecosystem. If we do not keep pace with rapid technological changes in the CRO industry, our products and services may become less competitive or even obsolete. This applies in particular to our ICONIK, Firecrest, ADDPLAN and One Search services. Also, increased requirements for investment in information technology may negatively impact our financial condition, including profitability.</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meet productivity objectives under our business improvement objectives could adversely impact our competitiveness and therefore our operating results.</w:t>
      </w:r>
    </w:p>
    <w:p>
      <w:pPr>
        <w:spacing w:after="0" w:line="203" w:lineRule="exact"/>
        <w:rPr>
          <w:sz w:val="20"/>
          <w:szCs w:val="20"/>
          <w:color w:val="auto"/>
        </w:rPr>
      </w:pPr>
    </w:p>
    <w:p>
      <w:pPr>
        <w:jc w:val="both"/>
        <w:ind w:firstLine="274"/>
        <w:spacing w:after="0" w:line="250" w:lineRule="auto"/>
        <w:rPr>
          <w:sz w:val="20"/>
          <w:szCs w:val="20"/>
          <w:color w:val="auto"/>
        </w:rPr>
      </w:pPr>
      <w:r>
        <w:rPr>
          <w:rFonts w:ascii="Arial" w:cs="Arial" w:eastAsia="Arial" w:hAnsi="Arial"/>
          <w:sz w:val="16"/>
          <w:szCs w:val="16"/>
          <w:color w:val="auto"/>
        </w:rPr>
        <w:t>We continue to pursue business transformation initiatives to embed technology and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203" w:lineRule="exact"/>
        <w:rPr>
          <w:sz w:val="20"/>
          <w:szCs w:val="20"/>
          <w:color w:val="auto"/>
        </w:rPr>
      </w:pPr>
    </w:p>
    <w:p>
      <w:pPr>
        <w:jc w:val="both"/>
        <w:ind w:firstLine="196"/>
        <w:spacing w:after="0" w:line="251" w:lineRule="auto"/>
        <w:rPr>
          <w:sz w:val="20"/>
          <w:szCs w:val="20"/>
          <w:color w:val="auto"/>
        </w:rPr>
      </w:pPr>
      <w:r>
        <w:rPr>
          <w:rFonts w:ascii="Arial" w:cs="Arial" w:eastAsia="Arial" w:hAnsi="Arial"/>
          <w:sz w:val="16"/>
          <w:szCs w:val="16"/>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and invalidation of the trial and/or liability claims against the Company, amongst other things, any of which could have a material effect on our financial condition and operations.</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A failure to identify and successfully close and integrate strategic acquisition targets could adversely impact our ongoing business and financial results.</w:t>
      </w:r>
    </w:p>
    <w:p>
      <w:pPr>
        <w:spacing w:after="0" w:line="20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6"/>
          <w:szCs w:val="16"/>
          <w:color w:val="auto"/>
        </w:rPr>
        <w:t>We have made a number of acquisitions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74"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effectively and quickly assimilate the operations and services or products of the acquired company or business;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integrate acquired personnel;</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retain and motivate key employees;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retain customers; and</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minimize the diversion of management's attention from other business concerns.</w:t>
      </w:r>
    </w:p>
    <w:p>
      <w:pPr>
        <w:spacing w:after="0" w:line="248" w:lineRule="exact"/>
        <w:rPr>
          <w:sz w:val="20"/>
          <w:szCs w:val="20"/>
          <w:color w:val="auto"/>
        </w:rPr>
      </w:pPr>
    </w:p>
    <w:p>
      <w:pPr>
        <w:jc w:val="both"/>
        <w:ind w:firstLine="194"/>
        <w:spacing w:after="0" w:line="260" w:lineRule="auto"/>
        <w:rPr>
          <w:sz w:val="20"/>
          <w:szCs w:val="20"/>
          <w:color w:val="auto"/>
        </w:rPr>
      </w:pPr>
      <w:r>
        <w:rPr>
          <w:rFonts w:ascii="Arial" w:cs="Arial" w:eastAsia="Arial" w:hAnsi="Arial"/>
          <w:sz w:val="16"/>
          <w:szCs w:val="16"/>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Improper performance of our services.</w:t>
      </w:r>
    </w:p>
    <w:p>
      <w:pPr>
        <w:spacing w:after="0" w:line="268" w:lineRule="exact"/>
        <w:rPr>
          <w:sz w:val="20"/>
          <w:szCs w:val="20"/>
          <w:color w:val="auto"/>
        </w:rPr>
      </w:pPr>
    </w:p>
    <w:p>
      <w:pPr>
        <w:jc w:val="both"/>
        <w:ind w:firstLine="285"/>
        <w:spacing w:after="0" w:line="250" w:lineRule="auto"/>
        <w:rPr>
          <w:sz w:val="20"/>
          <w:szCs w:val="20"/>
          <w:color w:val="auto"/>
        </w:rPr>
      </w:pPr>
      <w:r>
        <w:rPr>
          <w:rFonts w:ascii="Arial" w:cs="Arial" w:eastAsia="Arial" w:hAnsi="Arial"/>
          <w:sz w:val="16"/>
          <w:szCs w:val="16"/>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203" w:lineRule="exact"/>
        <w:rPr>
          <w:sz w:val="20"/>
          <w:szCs w:val="20"/>
          <w:color w:val="auto"/>
        </w:rPr>
      </w:pPr>
    </w:p>
    <w:p>
      <w:pPr>
        <w:jc w:val="both"/>
        <w:ind w:firstLine="236"/>
        <w:spacing w:after="0" w:line="247"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only a limited ability to protect our intellectual property rights and these rights are important to our success.</w:t>
      </w:r>
    </w:p>
    <w:p>
      <w:pPr>
        <w:spacing w:after="0" w:line="268" w:lineRule="exact"/>
        <w:rPr>
          <w:sz w:val="20"/>
          <w:szCs w:val="20"/>
          <w:color w:val="auto"/>
        </w:rPr>
      </w:pPr>
    </w:p>
    <w:p>
      <w:pPr>
        <w:jc w:val="both"/>
        <w:ind w:firstLine="250"/>
        <w:spacing w:after="0" w:line="248"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biopharmaceutical industry has a history of patent and other intellectual property litigation and we might be involved in costly intellectual property lawsuits.</w:t>
      </w:r>
    </w:p>
    <w:p>
      <w:pPr>
        <w:spacing w:after="0" w:line="203" w:lineRule="exact"/>
        <w:rPr>
          <w:sz w:val="20"/>
          <w:szCs w:val="20"/>
          <w:color w:val="auto"/>
        </w:rPr>
      </w:pPr>
    </w:p>
    <w:p>
      <w:pPr>
        <w:jc w:val="both"/>
        <w:ind w:firstLine="177"/>
        <w:spacing w:after="0" w:line="249"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act as authorized representative and legal representative for some clients pursuant to certain EU legislation.</w:t>
      </w:r>
    </w:p>
    <w:p>
      <w:pPr>
        <w:spacing w:after="0" w:line="268" w:lineRule="exact"/>
        <w:rPr>
          <w:sz w:val="20"/>
          <w:szCs w:val="20"/>
          <w:color w:val="auto"/>
        </w:rPr>
      </w:pPr>
    </w:p>
    <w:p>
      <w:pPr>
        <w:jc w:val="both"/>
        <w:ind w:firstLine="290"/>
        <w:spacing w:after="0" w:line="251" w:lineRule="auto"/>
        <w:rPr>
          <w:sz w:val="20"/>
          <w:szCs w:val="20"/>
          <w:color w:val="auto"/>
        </w:rPr>
      </w:pPr>
      <w:r>
        <w:rPr>
          <w:rFonts w:ascii="Arial" w:cs="Arial" w:eastAsia="Arial" w:hAnsi="Arial"/>
          <w:sz w:val="16"/>
          <w:szCs w:val="16"/>
          <w:color w:val="auto"/>
        </w:rPr>
        <w:t>We act as authorized representative pursuant to Medical Devices Directive 93/42/EEC (“MDD”) and Active Implantable Medical Devices Directive 90/385/EEC (“AIMD”) for certain clients who are located outside of the European Union. Medical Devices Regulation 2017/745 (“MDR”) replaced MDD on May 26, 2020 and provides for increased responsibility, and accordingly increased risk, for authorized representatives. As authorized representative, we act on behalf of medical device manufacturers in relation to specified tasks with regard to their obligations under MDR.</w:t>
      </w:r>
    </w:p>
    <w:p>
      <w:pPr>
        <w:spacing w:after="0" w:line="229" w:lineRule="exact"/>
        <w:rPr>
          <w:sz w:val="20"/>
          <w:szCs w:val="20"/>
          <w:color w:val="auto"/>
        </w:rPr>
      </w:pPr>
    </w:p>
    <w:p>
      <w:pPr>
        <w:jc w:val="both"/>
        <w:ind w:firstLine="189"/>
        <w:spacing w:after="0" w:line="253" w:lineRule="auto"/>
        <w:rPr>
          <w:sz w:val="20"/>
          <w:szCs w:val="20"/>
          <w:color w:val="auto"/>
        </w:rPr>
      </w:pPr>
      <w:r>
        <w:rPr>
          <w:rFonts w:ascii="Arial" w:cs="Arial" w:eastAsia="Arial" w:hAnsi="Arial"/>
          <w:sz w:val="16"/>
          <w:szCs w:val="16"/>
          <w:color w:val="auto"/>
        </w:rPr>
        <w:t>We also act as legal representative pursuant to MDD and AIMD, and will continue to do so pursuant to MDR, for certain clients who are located outside of the European Union with respect to clinical trials being carried out by those clients in the European Union. As legal representative, we are responsible for ensuring compliance with the client’s obligations pursuant to MDR and we are the addressee for all communications with the client provided for under MDR.</w:t>
      </w:r>
    </w:p>
    <w:p>
      <w:pPr>
        <w:spacing w:after="0" w:line="174" w:lineRule="exact"/>
        <w:rPr>
          <w:sz w:val="20"/>
          <w:szCs w:val="20"/>
          <w:color w:val="auto"/>
        </w:rPr>
      </w:pPr>
    </w:p>
    <w:p>
      <w:pPr>
        <w:jc w:val="both"/>
        <w:ind w:firstLine="182"/>
        <w:spacing w:after="0" w:line="251" w:lineRule="auto"/>
        <w:rPr>
          <w:sz w:val="20"/>
          <w:szCs w:val="20"/>
          <w:color w:val="auto"/>
        </w:rPr>
      </w:pPr>
      <w:r>
        <w:rPr>
          <w:rFonts w:ascii="Arial" w:cs="Arial" w:eastAsia="Arial" w:hAnsi="Arial"/>
          <w:sz w:val="16"/>
          <w:szCs w:val="16"/>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fulfill its obligations in relation to their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6"/>
          <w:szCs w:val="16"/>
          <w:b w:val="1"/>
          <w:bCs w:val="1"/>
          <w:u w:val="single" w:color="auto"/>
          <w:color w:val="auto"/>
        </w:rPr>
        <w:t>Risk Related to Our Industry</w:t>
      </w:r>
    </w:p>
    <w:p>
      <w:pPr>
        <w:spacing w:after="0" w:line="24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Outsourcing trends in the pharmaceutical, biotechnology and medical device industries and changes in spending and research and development budgets could adversely affect our operating results and growth rates.</w:t>
      </w:r>
    </w:p>
    <w:p>
      <w:pPr>
        <w:spacing w:after="0" w:line="203" w:lineRule="exact"/>
        <w:rPr>
          <w:sz w:val="20"/>
          <w:szCs w:val="20"/>
          <w:color w:val="auto"/>
        </w:rPr>
      </w:pPr>
    </w:p>
    <w:p>
      <w:pPr>
        <w:jc w:val="both"/>
        <w:ind w:firstLine="195"/>
        <w:spacing w:after="0" w:line="250" w:lineRule="auto"/>
        <w:rPr>
          <w:sz w:val="20"/>
          <w:szCs w:val="20"/>
          <w:color w:val="auto"/>
        </w:rPr>
      </w:pPr>
      <w:r>
        <w:rPr>
          <w:rFonts w:ascii="Arial" w:cs="Arial" w:eastAsia="Arial" w:hAnsi="Arial"/>
          <w:sz w:val="16"/>
          <w:szCs w:val="16"/>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230" w:lineRule="exact"/>
        <w:rPr>
          <w:sz w:val="20"/>
          <w:szCs w:val="20"/>
          <w:color w:val="auto"/>
        </w:rPr>
      </w:pPr>
    </w:p>
    <w:p>
      <w:pPr>
        <w:ind w:left="900" w:hanging="406"/>
        <w:spacing w:after="0" w:line="246" w:lineRule="auto"/>
        <w:tabs>
          <w:tab w:leader="none" w:pos="8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pharmaceutical, biotechnology or medical device companies expanded upon their in-house clinical or development capabilities, they would be less likely to utilize our services;</w:t>
      </w:r>
    </w:p>
    <w:p>
      <w:pPr>
        <w:ind w:left="900" w:right="20" w:hanging="406"/>
        <w:spacing w:after="0" w:line="246" w:lineRule="auto"/>
        <w:tabs>
          <w:tab w:leader="none" w:pos="8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governmental regulations were changed, it could affect the ability of our clients to operate profitably, which may lead to a decrease in research spending and therefore this could have a material adverse effect on our business; and</w:t>
      </w:r>
    </w:p>
    <w:p>
      <w:pPr>
        <w:ind w:left="880" w:hanging="386"/>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unfavorable economic conditions or disruptions in the credit and capital markets negatively impacted our clients.</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Large pharmaceutical companies are increasingly consolidating their vendor base and entering strategic partnership arrangements with a limited number of outsource providers.</w:t>
      </w:r>
    </w:p>
    <w:p>
      <w:pPr>
        <w:spacing w:after="0" w:line="203" w:lineRule="exact"/>
        <w:rPr>
          <w:sz w:val="20"/>
          <w:szCs w:val="20"/>
          <w:color w:val="auto"/>
        </w:rPr>
      </w:pPr>
    </w:p>
    <w:p>
      <w:pPr>
        <w:jc w:val="both"/>
        <w:ind w:firstLine="239"/>
        <w:spacing w:after="0" w:line="250" w:lineRule="auto"/>
        <w:rPr>
          <w:sz w:val="20"/>
          <w:szCs w:val="20"/>
          <w:color w:val="auto"/>
        </w:rPr>
      </w:pPr>
      <w:r>
        <w:rPr>
          <w:rFonts w:ascii="Arial" w:cs="Arial" w:eastAsia="Arial" w:hAnsi="Arial"/>
          <w:sz w:val="16"/>
          <w:szCs w:val="16"/>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68"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and dynamic market.</w:t>
      </w:r>
    </w:p>
    <w:p>
      <w:pPr>
        <w:spacing w:after="0" w:line="268" w:lineRule="exact"/>
        <w:rPr>
          <w:sz w:val="20"/>
          <w:szCs w:val="20"/>
          <w:color w:val="auto"/>
        </w:rPr>
      </w:pPr>
    </w:p>
    <w:p>
      <w:pPr>
        <w:jc w:val="both"/>
        <w:ind w:firstLine="265"/>
        <w:spacing w:after="0" w:line="251" w:lineRule="auto"/>
        <w:rPr>
          <w:sz w:val="20"/>
          <w:szCs w:val="20"/>
          <w:color w:val="auto"/>
        </w:rPr>
      </w:pPr>
      <w:r>
        <w:rPr>
          <w:rFonts w:ascii="Arial" w:cs="Arial" w:eastAsia="Arial" w:hAnsi="Arial"/>
          <w:sz w:val="16"/>
          <w:szCs w:val="16"/>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could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229" w:lineRule="exact"/>
        <w:rPr>
          <w:sz w:val="20"/>
          <w:szCs w:val="20"/>
          <w:color w:val="auto"/>
        </w:rPr>
      </w:pPr>
    </w:p>
    <w:p>
      <w:pPr>
        <w:jc w:val="both"/>
        <w:ind w:firstLine="214"/>
        <w:spacing w:after="0" w:line="260" w:lineRule="auto"/>
        <w:rPr>
          <w:sz w:val="20"/>
          <w:szCs w:val="20"/>
          <w:color w:val="auto"/>
        </w:rPr>
      </w:pPr>
      <w:r>
        <w:rPr>
          <w:rFonts w:ascii="Arial" w:cs="Arial" w:eastAsia="Arial" w:hAnsi="Arial"/>
          <w:sz w:val="16"/>
          <w:szCs w:val="16"/>
          <w:color w:val="auto"/>
        </w:rPr>
        <w:t>The type and depth of services provided by CROs has changed in recent years. Failure to develop and market new services or expand existing service offerings could adversely affect our business and operations.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New entrants may also enter the market which would further increase competition and could adversely affect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We may be adversely affected by industry, customer or therapeutic concentration.</w:t>
      </w:r>
    </w:p>
    <w:p>
      <w:pPr>
        <w:spacing w:after="0" w:line="187"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16"/>
          <w:szCs w:val="16"/>
          <w:color w:val="auto"/>
        </w:rPr>
        <w:t>We provide services to biopharmaceutical, biotechnology, medical device and government organizations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favorable to us than they have been historically.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Financial Results and Financial Position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122" w:lineRule="exact"/>
        <w:rPr>
          <w:sz w:val="20"/>
          <w:szCs w:val="20"/>
          <w:color w:val="auto"/>
        </w:rPr>
      </w:pPr>
    </w:p>
    <w:p>
      <w:pPr>
        <w:jc w:val="both"/>
        <w:ind w:firstLine="180"/>
        <w:spacing w:after="0" w:line="249" w:lineRule="auto"/>
        <w:rPr>
          <w:sz w:val="20"/>
          <w:szCs w:val="20"/>
          <w:color w:val="auto"/>
        </w:rPr>
      </w:pPr>
      <w:r>
        <w:rPr>
          <w:rFonts w:ascii="Arial" w:cs="Arial" w:eastAsia="Arial" w:hAnsi="Arial"/>
          <w:sz w:val="16"/>
          <w:szCs w:val="16"/>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and other factors. Our revenue in any period is directly related to the number of employees who were working on billable projects together with investigator activity during that period. We may be unable to compensate for periods of under-utilization during one part of a fiscal period by earning revenue during another part of that period. We believe that operating results for any particular quarter are not necessarily a meaningful indicator of future results.</w:t>
      </w:r>
    </w:p>
    <w:p>
      <w:pPr>
        <w:spacing w:after="0" w:line="232" w:lineRule="exact"/>
        <w:rPr>
          <w:sz w:val="20"/>
          <w:szCs w:val="20"/>
          <w:color w:val="auto"/>
        </w:rPr>
      </w:pPr>
    </w:p>
    <w:p>
      <w:pPr>
        <w:jc w:val="both"/>
        <w:ind w:firstLine="229"/>
        <w:spacing w:after="0" w:line="260" w:lineRule="auto"/>
        <w:rPr>
          <w:sz w:val="20"/>
          <w:szCs w:val="20"/>
          <w:color w:val="auto"/>
        </w:rPr>
      </w:pPr>
      <w:r>
        <w:rPr>
          <w:rFonts w:ascii="Arial" w:cs="Arial" w:eastAsia="Arial" w:hAnsi="Arial"/>
          <w:sz w:val="16"/>
          <w:szCs w:val="16"/>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exposure to exchange rate fluctuations could adversely affect our results of operations.</w:t>
      </w:r>
    </w:p>
    <w:p>
      <w:pPr>
        <w:spacing w:after="0" w:line="268" w:lineRule="exact"/>
        <w:rPr>
          <w:sz w:val="20"/>
          <w:szCs w:val="20"/>
          <w:color w:val="auto"/>
        </w:rPr>
      </w:pPr>
    </w:p>
    <w:p>
      <w:pPr>
        <w:jc w:val="both"/>
        <w:ind w:firstLine="192"/>
        <w:spacing w:after="0" w:line="253" w:lineRule="auto"/>
        <w:rPr>
          <w:sz w:val="20"/>
          <w:szCs w:val="20"/>
          <w:color w:val="auto"/>
        </w:rPr>
      </w:pPr>
      <w:r>
        <w:rPr>
          <w:rFonts w:ascii="Arial" w:cs="Arial" w:eastAsia="Arial" w:hAnsi="Arial"/>
          <w:sz w:val="16"/>
          <w:szCs w:val="16"/>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228" w:lineRule="exact"/>
        <w:rPr>
          <w:sz w:val="20"/>
          <w:szCs w:val="20"/>
          <w:color w:val="auto"/>
        </w:rPr>
      </w:pPr>
    </w:p>
    <w:p>
      <w:pPr>
        <w:jc w:val="both"/>
        <w:ind w:firstLine="180"/>
        <w:spacing w:after="0" w:line="251" w:lineRule="auto"/>
        <w:rPr>
          <w:sz w:val="20"/>
          <w:szCs w:val="20"/>
          <w:color w:val="auto"/>
        </w:rPr>
      </w:pPr>
      <w:r>
        <w:rPr>
          <w:rFonts w:ascii="Arial" w:cs="Arial" w:eastAsia="Arial" w:hAnsi="Arial"/>
          <w:sz w:val="16"/>
          <w:szCs w:val="16"/>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effective tax rate may fluctuate from quarter-to-quarter, which may adversely affect our results of operations.</w:t>
      </w:r>
    </w:p>
    <w:p>
      <w:pPr>
        <w:spacing w:after="0" w:line="268" w:lineRule="exact"/>
        <w:rPr>
          <w:sz w:val="20"/>
          <w:szCs w:val="20"/>
          <w:color w:val="auto"/>
        </w:rPr>
      </w:pPr>
    </w:p>
    <w:p>
      <w:pPr>
        <w:jc w:val="both"/>
        <w:ind w:firstLine="198"/>
        <w:spacing w:after="0" w:line="249" w:lineRule="auto"/>
        <w:rPr>
          <w:sz w:val="20"/>
          <w:szCs w:val="20"/>
          <w:color w:val="auto"/>
        </w:rPr>
      </w:pPr>
      <w:r>
        <w:rPr>
          <w:rFonts w:ascii="Arial" w:cs="Arial" w:eastAsia="Arial" w:hAnsi="Arial"/>
          <w:sz w:val="16"/>
          <w:szCs w:val="16"/>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unsatisfied performance obligation may not convert to revenue and the rate of conversion may slow.</w:t>
      </w:r>
    </w:p>
    <w:p>
      <w:pPr>
        <w:spacing w:after="0" w:line="268" w:lineRule="exact"/>
        <w:rPr>
          <w:sz w:val="20"/>
          <w:szCs w:val="20"/>
          <w:color w:val="auto"/>
        </w:rPr>
      </w:pPr>
    </w:p>
    <w:p>
      <w:pPr>
        <w:jc w:val="both"/>
        <w:ind w:firstLine="273"/>
        <w:spacing w:after="0" w:line="250" w:lineRule="auto"/>
        <w:rPr>
          <w:sz w:val="20"/>
          <w:szCs w:val="20"/>
          <w:color w:val="auto"/>
        </w:rPr>
      </w:pPr>
      <w:r>
        <w:rPr>
          <w:rFonts w:ascii="Arial" w:cs="Arial" w:eastAsia="Arial" w:hAnsi="Arial"/>
          <w:sz w:val="16"/>
          <w:szCs w:val="16"/>
          <w:color w:val="auto"/>
        </w:rPr>
        <w:t>Our unsatisfied performance obligation is that element of awards that has not yet converted to revenue. This value is not necessarily a meaningful predictor of future results, due to the potential for the cancellation or delay of projects included in the unsatisfied performance obligation. No assurances can be given that we will be able to realize this unsatisfied performance obligation in full as revenue. A failure to realize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is exposed to various risks in relation to our cash and cash equivalents and short term investments.</w:t>
      </w:r>
    </w:p>
    <w:p>
      <w:pPr>
        <w:spacing w:after="0" w:line="214"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6"/>
          <w:szCs w:val="16"/>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ind w:firstLine="269"/>
        <w:spacing w:after="0" w:line="253" w:lineRule="auto"/>
        <w:rPr>
          <w:sz w:val="20"/>
          <w:szCs w:val="20"/>
          <w:color w:val="auto"/>
        </w:rPr>
      </w:pPr>
      <w:r>
        <w:rPr>
          <w:rFonts w:ascii="Arial" w:cs="Arial" w:eastAsia="Arial" w:hAnsi="Arial"/>
          <w:sz w:val="16"/>
          <w:szCs w:val="16"/>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228" w:lineRule="exact"/>
        <w:rPr>
          <w:sz w:val="20"/>
          <w:szCs w:val="20"/>
          <w:color w:val="auto"/>
        </w:rPr>
      </w:pPr>
    </w:p>
    <w:p>
      <w:pPr>
        <w:jc w:val="both"/>
        <w:ind w:firstLine="213"/>
        <w:spacing w:after="0" w:line="260" w:lineRule="auto"/>
        <w:rPr>
          <w:sz w:val="20"/>
          <w:szCs w:val="20"/>
          <w:color w:val="auto"/>
        </w:rPr>
      </w:pPr>
      <w:r>
        <w:rPr>
          <w:rFonts w:ascii="Arial" w:cs="Arial" w:eastAsia="Arial" w:hAnsi="Arial"/>
          <w:sz w:val="16"/>
          <w:szCs w:val="16"/>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standards may adversely affect our financial statements.</w:t>
      </w:r>
    </w:p>
    <w:p>
      <w:pPr>
        <w:spacing w:after="0" w:line="268" w:lineRule="exact"/>
        <w:rPr>
          <w:sz w:val="20"/>
          <w:szCs w:val="20"/>
          <w:color w:val="auto"/>
        </w:rPr>
      </w:pPr>
    </w:p>
    <w:p>
      <w:pPr>
        <w:jc w:val="both"/>
        <w:ind w:firstLine="193"/>
        <w:spacing w:after="0" w:line="248" w:lineRule="auto"/>
        <w:rPr>
          <w:sz w:val="20"/>
          <w:szCs w:val="20"/>
          <w:color w:val="auto"/>
        </w:rPr>
      </w:pPr>
      <w:r>
        <w:rPr>
          <w:rFonts w:ascii="Arial" w:cs="Arial" w:eastAsia="Arial" w:hAnsi="Arial"/>
          <w:sz w:val="16"/>
          <w:szCs w:val="16"/>
          <w:color w:val="auto"/>
        </w:rPr>
        <w:t xml:space="preserve">We prepare our financial statements in accordance with generally accepted accounting principles in the United States of America ('US GAAP') which are revised on an on-going basis by the authoritative bodies. It is possible that future accounting standard updates may require changes to the accounting treatment that we apply in preparation of our financial statements. These changes may also require significant changes to our reporting systems. These updates may result in unexpected variability in the timing of recognition of revenue or expenses and therefore in our operating results. Application of ASC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at January 1, 2020 did not have a significant impact on the financial statements. Application of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January 1, 2019 resulted in the recognition of a lease liability and right-of-use asset on the Consolidated Balance Sheet (see </w:t>
      </w:r>
      <w:r>
        <w:rPr>
          <w:rFonts w:ascii="Arial" w:cs="Arial" w:eastAsia="Arial" w:hAnsi="Arial"/>
          <w:sz w:val="16"/>
          <w:szCs w:val="16"/>
          <w:i w:val="1"/>
          <w:iCs w:val="1"/>
          <w:color w:val="auto"/>
        </w:rPr>
        <w:t>note 28 - Impact of change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w:t>
      </w:r>
      <w:r>
        <w:rPr>
          <w:rFonts w:ascii="Arial" w:cs="Arial" w:eastAsia="Arial" w:hAnsi="Arial"/>
          <w:sz w:val="16"/>
          <w:szCs w:val="16"/>
          <w:color w:val="auto"/>
        </w:rPr>
        <w:t>in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Political, Legal or Regulatory Environment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opportunities as a result of health care reform and the expansion of managed care organizations.</w:t>
      </w:r>
    </w:p>
    <w:p>
      <w:pPr>
        <w:spacing w:after="0" w:line="214" w:lineRule="exact"/>
        <w:rPr>
          <w:sz w:val="20"/>
          <w:szCs w:val="20"/>
          <w:color w:val="auto"/>
        </w:rPr>
      </w:pPr>
    </w:p>
    <w:p>
      <w:pPr>
        <w:jc w:val="both"/>
        <w:ind w:firstLine="217"/>
        <w:spacing w:after="0" w:line="253" w:lineRule="auto"/>
        <w:rPr>
          <w:sz w:val="20"/>
          <w:szCs w:val="20"/>
          <w:color w:val="auto"/>
        </w:rPr>
      </w:pPr>
      <w:r>
        <w:rPr>
          <w:rFonts w:ascii="Arial" w:cs="Arial" w:eastAsia="Arial" w:hAnsi="Arial"/>
          <w:sz w:val="16"/>
          <w:szCs w:val="16"/>
          <w:color w:val="auto"/>
        </w:rPr>
        <w:t>Numerous governments, including the U.S. government,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228"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6"/>
          <w:szCs w:val="16"/>
          <w:color w:val="auto"/>
        </w:rPr>
        <w:t>In addition to health 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203" w:lineRule="exact"/>
        <w:rPr>
          <w:sz w:val="20"/>
          <w:szCs w:val="20"/>
          <w:color w:val="auto"/>
        </w:rPr>
      </w:pPr>
    </w:p>
    <w:p>
      <w:pPr>
        <w:jc w:val="both"/>
        <w:ind w:firstLine="214"/>
        <w:spacing w:after="0" w:line="249" w:lineRule="auto"/>
        <w:rPr>
          <w:sz w:val="20"/>
          <w:szCs w:val="20"/>
          <w:color w:val="auto"/>
        </w:rPr>
      </w:pPr>
      <w:r>
        <w:rPr>
          <w:rFonts w:ascii="Arial" w:cs="Arial" w:eastAsia="Arial" w:hAnsi="Arial"/>
          <w:sz w:val="16"/>
          <w:szCs w:val="16"/>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as a result of changes in the regulatory environment</w:t>
      </w:r>
      <w:r>
        <w:rPr>
          <w:rFonts w:ascii="Arial" w:cs="Arial" w:eastAsia="Arial" w:hAnsi="Arial"/>
          <w:sz w:val="16"/>
          <w:szCs w:val="16"/>
          <w:color w:val="auto"/>
        </w:rPr>
        <w:t>.</w:t>
      </w:r>
    </w:p>
    <w:p>
      <w:pPr>
        <w:spacing w:after="0" w:line="268" w:lineRule="exact"/>
        <w:rPr>
          <w:sz w:val="20"/>
          <w:szCs w:val="20"/>
          <w:color w:val="auto"/>
        </w:rPr>
      </w:pPr>
    </w:p>
    <w:p>
      <w:pPr>
        <w:jc w:val="both"/>
        <w:ind w:firstLine="187"/>
        <w:spacing w:after="0" w:line="253" w:lineRule="auto"/>
        <w:rPr>
          <w:sz w:val="20"/>
          <w:szCs w:val="20"/>
          <w:color w:val="auto"/>
        </w:rPr>
      </w:pPr>
      <w:r>
        <w:rPr>
          <w:rFonts w:ascii="Arial" w:cs="Arial" w:eastAsia="Arial" w:hAnsi="Arial"/>
          <w:sz w:val="16"/>
          <w:szCs w:val="16"/>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6"/>
          <w:szCs w:val="16"/>
          <w:b w:val="1"/>
          <w:bCs w:val="1"/>
          <w:color w:val="auto"/>
        </w:rPr>
        <w:t>.</w:t>
      </w:r>
    </w:p>
    <w:p>
      <w:pPr>
        <w:spacing w:after="0" w:line="68" w:lineRule="exact"/>
        <w:rPr>
          <w:sz w:val="20"/>
          <w:szCs w:val="20"/>
          <w:color w:val="auto"/>
        </w:rPr>
      </w:pPr>
    </w:p>
    <w:p>
      <w:pPr>
        <w:jc w:val="both"/>
        <w:ind w:firstLine="179"/>
        <w:spacing w:after="0" w:line="250" w:lineRule="auto"/>
        <w:rPr>
          <w:sz w:val="20"/>
          <w:szCs w:val="20"/>
          <w:color w:val="auto"/>
        </w:rPr>
      </w:pPr>
      <w:r>
        <w:rPr>
          <w:rFonts w:ascii="Arial" w:cs="Arial" w:eastAsia="Arial" w:hAnsi="Arial"/>
          <w:sz w:val="16"/>
          <w:szCs w:val="16"/>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28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termination of or delay in any research;</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disqualification of data;</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denial of the right to conduct business;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criminal penalties;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7" w:name="page18"/>
    <w:bookmarkEnd w:id="17"/>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enforcement actions including debarment from government contracts;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 of clients and/or business; and</w:t>
      </w:r>
    </w:p>
    <w:p>
      <w:pPr>
        <w:spacing w:after="0" w:line="5" w:lineRule="exact"/>
        <w:rPr>
          <w:rFonts w:ascii="Arial" w:cs="Arial" w:eastAsia="Arial" w:hAnsi="Arial"/>
          <w:sz w:val="16"/>
          <w:szCs w:val="16"/>
          <w:color w:val="auto"/>
        </w:rPr>
      </w:pPr>
    </w:p>
    <w:p>
      <w:pPr>
        <w:ind w:left="1300" w:hanging="644"/>
        <w:spacing w:after="0" w:line="260"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litigation from clients and/or patients and/or regulatory authorities and/or other affected third parties, and resulting material penalties, damages and costs.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political, regulatory, operational and legal risks associated with our international operations.</w:t>
      </w:r>
    </w:p>
    <w:p>
      <w:pPr>
        <w:spacing w:after="0" w:line="268" w:lineRule="exact"/>
        <w:rPr>
          <w:sz w:val="20"/>
          <w:szCs w:val="20"/>
          <w:color w:val="auto"/>
        </w:rPr>
      </w:pPr>
    </w:p>
    <w:p>
      <w:pPr>
        <w:jc w:val="both"/>
        <w:ind w:firstLine="194"/>
        <w:spacing w:after="0" w:line="248"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233" w:lineRule="exact"/>
        <w:rPr>
          <w:sz w:val="20"/>
          <w:szCs w:val="20"/>
          <w:color w:val="auto"/>
        </w:rPr>
      </w:pPr>
    </w:p>
    <w:p>
      <w:pPr>
        <w:jc w:val="both"/>
        <w:ind w:firstLine="196"/>
        <w:spacing w:after="0" w:line="249" w:lineRule="auto"/>
        <w:rPr>
          <w:sz w:val="20"/>
          <w:szCs w:val="20"/>
          <w:color w:val="auto"/>
        </w:rPr>
      </w:pPr>
      <w:r>
        <w:rPr>
          <w:rFonts w:ascii="Arial" w:cs="Arial" w:eastAsia="Arial" w:hAnsi="Arial"/>
          <w:sz w:val="16"/>
          <w:szCs w:val="16"/>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232" w:lineRule="exact"/>
        <w:rPr>
          <w:sz w:val="20"/>
          <w:szCs w:val="20"/>
          <w:color w:val="auto"/>
        </w:rPr>
      </w:pPr>
    </w:p>
    <w:p>
      <w:pPr>
        <w:jc w:val="both"/>
        <w:ind w:firstLine="230"/>
        <w:spacing w:after="0" w:line="249" w:lineRule="auto"/>
        <w:rPr>
          <w:sz w:val="20"/>
          <w:szCs w:val="20"/>
          <w:color w:val="auto"/>
        </w:rPr>
      </w:pPr>
      <w:r>
        <w:rPr>
          <w:rFonts w:ascii="Arial" w:cs="Arial" w:eastAsia="Arial" w:hAnsi="Arial"/>
          <w:sz w:val="16"/>
          <w:szCs w:val="16"/>
          <w:color w:val="auto"/>
        </w:rPr>
        <w:t>On June 23, 2016, the United Kingdom, or U.K., held a referendum, referred to as “Brexit”, in which voters approved an exit from the European Union (EU). The UK have left the EU with effect from January 31, 2020 and entered an eleven month transition period which ended on December 31, 2020. The terms of the withdrawal agreement entered into force on February 1, 2020 are not expected to significantly affect our operations or financial results. On December 24, 2020, the European Commission and the United Kingdom reached agreement on the EU-UK Trade and Cooperation Agreement. Approximately 3% of our revenue is billed in Sterling. We currently employ approximately 900 people in the U.K. The continued uncertainty around Brexit caused volatility in global stock markets and exchange rates. Continued fluctuation in currency exchange rates may expose us to gains and losses on non U.S. currency transactions.</w:t>
      </w:r>
    </w:p>
    <w:p>
      <w:pPr>
        <w:spacing w:after="0" w:line="200" w:lineRule="exact"/>
        <w:rPr>
          <w:sz w:val="20"/>
          <w:szCs w:val="20"/>
          <w:color w:val="auto"/>
        </w:rPr>
      </w:pPr>
    </w:p>
    <w:p>
      <w:pPr>
        <w:spacing w:after="0" w:line="221" w:lineRule="exact"/>
        <w:rPr>
          <w:sz w:val="20"/>
          <w:szCs w:val="20"/>
          <w:color w:val="auto"/>
        </w:rPr>
      </w:pPr>
    </w:p>
    <w:p>
      <w:pPr>
        <w:jc w:val="both"/>
        <w:ind w:firstLine="251"/>
        <w:spacing w:after="0" w:line="251" w:lineRule="auto"/>
        <w:rPr>
          <w:sz w:val="20"/>
          <w:szCs w:val="20"/>
          <w:color w:val="auto"/>
        </w:rPr>
      </w:pPr>
      <w:r>
        <w:rPr>
          <w:rFonts w:ascii="Arial" w:cs="Arial" w:eastAsia="Arial" w:hAnsi="Arial"/>
          <w:sz w:val="16"/>
          <w:szCs w:val="16"/>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 Proceedings to enforce our future patent rights, if any, in foreign jurisdictions could result in substantial cost and divert our efforts and attention from other aspects of our business.</w:t>
      </w:r>
    </w:p>
    <w:p>
      <w:pPr>
        <w:spacing w:after="0" w:line="229" w:lineRule="exact"/>
        <w:rPr>
          <w:sz w:val="20"/>
          <w:szCs w:val="20"/>
          <w:color w:val="auto"/>
        </w:rPr>
      </w:pPr>
    </w:p>
    <w:p>
      <w:pPr>
        <w:jc w:val="both"/>
        <w:ind w:firstLine="212"/>
        <w:spacing w:after="0" w:line="260" w:lineRule="auto"/>
        <w:rPr>
          <w:sz w:val="20"/>
          <w:szCs w:val="20"/>
          <w:color w:val="auto"/>
        </w:rPr>
      </w:pPr>
      <w:r>
        <w:rPr>
          <w:rFonts w:ascii="Arial" w:cs="Arial" w:eastAsia="Arial" w:hAnsi="Arial"/>
          <w:sz w:val="16"/>
          <w:szCs w:val="16"/>
          <w:color w:val="auto"/>
        </w:rPr>
        <w:t>If any of the above risks or similar risks associated with our international operations were to materialize, our results of operations and financial condition could be materially adversely affected.</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operate in many different jurisdictions and we could be adversely affected by violations of anti-corruption laws, including the United States Foreign Corrupt Practices Act of 1977 ("FCPA"), UK Bribery Act of 2010 ("Bribery Act") and similar anti-corruption laws in other jurisdictions as well as laws and regulations relating to trade compliance and economic sanctions.</w:t>
      </w:r>
    </w:p>
    <w:p>
      <w:pPr>
        <w:spacing w:after="0" w:line="218" w:lineRule="exact"/>
        <w:rPr>
          <w:sz w:val="20"/>
          <w:szCs w:val="20"/>
          <w:color w:val="auto"/>
        </w:rPr>
      </w:pPr>
    </w:p>
    <w:p>
      <w:pPr>
        <w:jc w:val="both"/>
        <w:ind w:firstLine="195"/>
        <w:spacing w:after="0" w:line="246" w:lineRule="auto"/>
        <w:rPr>
          <w:sz w:val="20"/>
          <w:szCs w:val="20"/>
          <w:color w:val="auto"/>
        </w:rPr>
      </w:pPr>
      <w:r>
        <w:rPr>
          <w:rFonts w:ascii="Arial" w:cs="Arial" w:eastAsia="Arial" w:hAnsi="Arial"/>
          <w:sz w:val="16"/>
          <w:szCs w:val="16"/>
          <w:color w:val="auto"/>
        </w:rPr>
        <w:t>The FCPA, UK Bribery Act of 2010 and similar anti-corruption laws in other jurisdictions prohibit us and our offices, directors, employees and third parties acting on our behalf, including agents, from corruptly offering, promising, authorizing, or providing anything of value to a "foreign official" for the purposes of influencing official decisions or obtaining or retaining business or otherwise obtaining favorable treatment. In addition, the FCPA imposes certain books, records and accounting control obligations on public companies and other issuers. The UK Bribery Act also prohibits "commercial" bribery and accepting bribes.</w:t>
      </w:r>
    </w:p>
    <w:p>
      <w:pPr>
        <w:spacing w:after="0" w:line="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global business operations also must be conducted in compliance with applicable export controls and economic sanctions laws and regulations, including those administered by the U.S. Department of the Treasury’s (the “U.S. Treasury”) Office of Foreign Assets Control, the U.S. Department of State, the U.S. Department of Commerce, the United Nations Security Council, the European Union, Her Majesty’s Treasury and other relevant sanctions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8" w:name="page19"/>
    <w:bookmarkEnd w:id="18"/>
    <w:p>
      <w:pPr>
        <w:jc w:val="both"/>
        <w:ind w:firstLine="648"/>
        <w:spacing w:after="0" w:line="247" w:lineRule="auto"/>
        <w:rPr>
          <w:sz w:val="20"/>
          <w:szCs w:val="20"/>
          <w:color w:val="auto"/>
        </w:rPr>
      </w:pPr>
      <w:r>
        <w:rPr>
          <w:rFonts w:ascii="Arial" w:cs="Arial" w:eastAsia="Arial" w:hAnsi="Arial"/>
          <w:sz w:val="16"/>
          <w:szCs w:val="16"/>
          <w:color w:val="auto"/>
        </w:rPr>
        <w:t>Our internal policies mandate compliance with these anti-corruption and economic sanctions laws. We also operate in many jurisdictions in which bribery or corruption can be common and compliance with anti-bribery laws may conflict with local customs and practices. Despite our training and compliance program safeguards, we cannot assure that our internal control policies, procedures and safeguards will protect us from acts in violation of anti-corruption and economic sanctions laws committed by employees or other third parties associated with us and our continued expansion, including in developing countries, could increase such risk in the future. Violations of anti-corruption and economic sanctions laws, or even allegations of such violations, could disrupt our business and result in a material adverse effect on our financial condition, results of operations, cash flows and reputation. For example, violations of anti-corruption and economic sanctions laws can result in restatements of, or irregularities in, our financial statements, disgorgement of profits, related stockholder lawsuits as well as severe criminal or civil sanctions. In some cases, companies that violate anti-corruption and economic sanctions laws might be debarred by the U.S. government and/or lose their U.S. export privileges. In addition, the U.S. government or other governments may seek to hold us liable for successor liability of anti-corruption and economic sanctions laws committed by companies that we acquire or in which we invest. Changes in anti-corruption and economic sanctions laws or enforcement priorities could also result in increased compliance requirements and related costs which could materially adversely affect our business, financial condition, results of operations and cash flows.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203" w:lineRule="exact"/>
        <w:rPr>
          <w:sz w:val="20"/>
          <w:szCs w:val="20"/>
          <w:color w:val="auto"/>
        </w:rPr>
      </w:pPr>
    </w:p>
    <w:p>
      <w:pPr>
        <w:jc w:val="both"/>
        <w:ind w:firstLine="192"/>
        <w:spacing w:after="0" w:line="248"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authorizations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233" w:lineRule="exact"/>
        <w:rPr>
          <w:sz w:val="20"/>
          <w:szCs w:val="20"/>
          <w:color w:val="auto"/>
        </w:rPr>
      </w:pPr>
    </w:p>
    <w:p>
      <w:pPr>
        <w:jc w:val="both"/>
        <w:ind w:firstLine="197"/>
        <w:spacing w:after="0" w:line="251" w:lineRule="auto"/>
        <w:rPr>
          <w:sz w:val="20"/>
          <w:szCs w:val="20"/>
          <w:color w:val="auto"/>
        </w:rPr>
      </w:pPr>
      <w:r>
        <w:rPr>
          <w:rFonts w:ascii="Arial" w:cs="Arial" w:eastAsia="Arial" w:hAnsi="Arial"/>
          <w:sz w:val="16"/>
          <w:szCs w:val="16"/>
          <w:color w:val="auto"/>
        </w:rPr>
        <w:t>The European data protection framework was significantly revised in 2018 with the coming into force of the General Data Protection Regulation ('GDPR') containing new provisions specifically directed at the processing of health information, sanctions of up to 4% of worldwide gross revenue and extra-territoriality measures intended to bring non-EU companies under the proposed regulation. Post GDPR implementation we are receiving increased volumes and breadth of data protection/privacy queries from both sponsors and strategic alliance partners and anticipate that this will continue.</w:t>
      </w:r>
    </w:p>
    <w:p>
      <w:pPr>
        <w:spacing w:after="0" w:line="229" w:lineRule="exact"/>
        <w:rPr>
          <w:sz w:val="20"/>
          <w:szCs w:val="20"/>
          <w:color w:val="auto"/>
        </w:rPr>
      </w:pPr>
    </w:p>
    <w:p>
      <w:pPr>
        <w:jc w:val="both"/>
        <w:ind w:firstLine="236"/>
        <w:spacing w:after="0" w:line="247" w:lineRule="auto"/>
        <w:rPr>
          <w:sz w:val="20"/>
          <w:szCs w:val="20"/>
          <w:color w:val="auto"/>
        </w:rPr>
      </w:pPr>
      <w:r>
        <w:rPr>
          <w:rFonts w:ascii="Arial" w:cs="Arial" w:eastAsia="Arial" w:hAnsi="Arial"/>
          <w:sz w:val="16"/>
          <w:szCs w:val="16"/>
          <w:color w:val="auto"/>
        </w:rPr>
        <w:t>For the regulators in the European Union, or EU, personal data includes any information that relates to an identified or identifiable natural person with health information carrying special obligations, including obtaining the explicit consent from the individual for collection, use or disclosure of the information. EU regulations also apply to the personal data of EU data subjects traveling or living outside the EU.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 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20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governmental regulations,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studies or data or documentation fraud or manipulation, which could result in regulatory sanctions and serious harm to our reputation. It is not always possible to identify and deter employee misconduct, and the precautions we take to detect and prevent misconduct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49" w:lineRule="exact"/>
        <w:rPr>
          <w:sz w:val="20"/>
          <w:szCs w:val="20"/>
          <w:color w:val="auto"/>
        </w:rPr>
      </w:pPr>
    </w:p>
    <w:p>
      <w:pPr>
        <w:jc w:val="both"/>
        <w:ind w:firstLine="236"/>
        <w:spacing w:after="0" w:line="248" w:lineRule="auto"/>
        <w:rPr>
          <w:sz w:val="20"/>
          <w:szCs w:val="20"/>
          <w:color w:val="auto"/>
        </w:rPr>
      </w:pPr>
      <w:r>
        <w:rPr>
          <w:rFonts w:ascii="Arial" w:cs="Arial" w:eastAsia="Arial" w:hAnsi="Arial"/>
          <w:sz w:val="16"/>
          <w:szCs w:val="16"/>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Liability claims brought against us could result in payment of substantial damages, costs and liabilities and decrease our profitability.</w:t>
      </w:r>
    </w:p>
    <w:p>
      <w:pPr>
        <w:spacing w:after="0" w:line="2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We may face legal claims involving stockholders, consumers, clinical trial subjects, competitors, regulators and other parties. As described in </w:t>
      </w:r>
      <w:r>
        <w:rPr>
          <w:rFonts w:ascii="Arial" w:cs="Arial" w:eastAsia="Arial" w:hAnsi="Arial"/>
          <w:sz w:val="16"/>
          <w:szCs w:val="16"/>
          <w:i w:val="1"/>
          <w:iCs w:val="1"/>
          <w:color w:val="auto"/>
        </w:rPr>
        <w:t>'Legal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Proceedings' </w:t>
      </w:r>
      <w:r>
        <w:rPr>
          <w:rFonts w:ascii="Arial" w:cs="Arial" w:eastAsia="Arial" w:hAnsi="Arial"/>
          <w:sz w:val="16"/>
          <w:szCs w:val="16"/>
          <w:color w:val="auto"/>
        </w:rPr>
        <w:t>in Part I, Item 8 of this Form 20-F, we are engaged in legal proceedings. Litigation and other legal proceedings are inherently uncertain, and</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rulings could occur, including monetary damages, or an injunction stopping us from engaging in business practices, or requiring other remedies, including, but not limited to, compulsory licensing of patents.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Customer Claims</w:t>
      </w:r>
    </w:p>
    <w:p>
      <w:pPr>
        <w:spacing w:after="0" w:line="21" w:lineRule="exact"/>
        <w:rPr>
          <w:sz w:val="20"/>
          <w:szCs w:val="20"/>
          <w:color w:val="auto"/>
        </w:rPr>
      </w:pPr>
    </w:p>
    <w:p>
      <w:pPr>
        <w:jc w:val="both"/>
        <w:ind w:firstLine="212"/>
        <w:spacing w:after="0" w:line="250" w:lineRule="auto"/>
        <w:rPr>
          <w:sz w:val="20"/>
          <w:szCs w:val="20"/>
          <w:color w:val="auto"/>
        </w:rPr>
      </w:pPr>
      <w:r>
        <w:rPr>
          <w:rFonts w:ascii="Arial" w:cs="Arial" w:eastAsia="Arial" w:hAnsi="Arial"/>
          <w:sz w:val="16"/>
          <w:szCs w:val="16"/>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deliver our services in hospitals and other sites,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Claims relating to Investigators</w:t>
      </w:r>
    </w:p>
    <w:p>
      <w:pPr>
        <w:spacing w:after="0" w:line="21" w:lineRule="exact"/>
        <w:rPr>
          <w:sz w:val="20"/>
          <w:szCs w:val="20"/>
          <w:color w:val="auto"/>
        </w:rPr>
      </w:pPr>
    </w:p>
    <w:p>
      <w:pPr>
        <w:jc w:val="both"/>
        <w:ind w:firstLine="246"/>
        <w:spacing w:after="0" w:line="253"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Indemnification from Customers</w:t>
      </w:r>
    </w:p>
    <w:p>
      <w:pPr>
        <w:spacing w:after="0" w:line="21" w:lineRule="exact"/>
        <w:rPr>
          <w:sz w:val="20"/>
          <w:szCs w:val="20"/>
          <w:color w:val="auto"/>
        </w:rPr>
      </w:pPr>
    </w:p>
    <w:p>
      <w:pPr>
        <w:jc w:val="both"/>
        <w:ind w:firstLine="223"/>
        <w:spacing w:after="0" w:line="251" w:lineRule="auto"/>
        <w:rPr>
          <w:sz w:val="20"/>
          <w:szCs w:val="20"/>
          <w:color w:val="auto"/>
        </w:rPr>
      </w:pPr>
      <w:r>
        <w:rPr>
          <w:rFonts w:ascii="Arial" w:cs="Arial" w:eastAsia="Arial" w:hAnsi="Arial"/>
          <w:sz w:val="16"/>
          <w:szCs w:val="16"/>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ind w:left="180"/>
        <w:spacing w:after="0"/>
        <w:rPr>
          <w:sz w:val="20"/>
          <w:szCs w:val="20"/>
          <w:color w:val="auto"/>
        </w:rPr>
      </w:pPr>
      <w:r>
        <w:rPr>
          <w:rFonts w:ascii="Arial" w:cs="Arial" w:eastAsia="Arial" w:hAnsi="Arial"/>
          <w:sz w:val="16"/>
          <w:szCs w:val="16"/>
          <w:i w:val="1"/>
          <w:iCs w:val="1"/>
          <w:color w:val="auto"/>
        </w:rPr>
        <w:t>Insurance</w:t>
      </w:r>
    </w:p>
    <w:p>
      <w:pPr>
        <w:spacing w:after="0" w:line="21" w:lineRule="exact"/>
        <w:rPr>
          <w:sz w:val="20"/>
          <w:szCs w:val="20"/>
          <w:color w:val="auto"/>
        </w:rPr>
      </w:pPr>
    </w:p>
    <w:p>
      <w:pPr>
        <w:jc w:val="both"/>
        <w:ind w:firstLine="192"/>
        <w:spacing w:after="0" w:line="251" w:lineRule="auto"/>
        <w:rPr>
          <w:sz w:val="20"/>
          <w:szCs w:val="20"/>
          <w:color w:val="auto"/>
        </w:rPr>
      </w:pPr>
      <w:r>
        <w:rPr>
          <w:rFonts w:ascii="Arial" w:cs="Arial" w:eastAsia="Arial" w:hAnsi="Arial"/>
          <w:sz w:val="16"/>
          <w:szCs w:val="16"/>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Claims to Date</w:t>
      </w:r>
    </w:p>
    <w:p>
      <w:pPr>
        <w:spacing w:after="0" w:line="21" w:lineRule="exact"/>
        <w:rPr>
          <w:sz w:val="20"/>
          <w:szCs w:val="20"/>
          <w:color w:val="auto"/>
        </w:rPr>
      </w:pPr>
    </w:p>
    <w:p>
      <w:pPr>
        <w:jc w:val="both"/>
        <w:ind w:firstLine="191"/>
        <w:spacing w:after="0" w:line="260" w:lineRule="auto"/>
        <w:rPr>
          <w:sz w:val="20"/>
          <w:szCs w:val="20"/>
          <w:color w:val="auto"/>
        </w:rPr>
      </w:pPr>
      <w:r>
        <w:rPr>
          <w:rFonts w:ascii="Arial" w:cs="Arial" w:eastAsia="Arial" w:hAnsi="Arial"/>
          <w:sz w:val="16"/>
          <w:szCs w:val="16"/>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Indebtedness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debt, which could impair our flexibility and access to capital and adversely affect our financial position.</w:t>
      </w:r>
    </w:p>
    <w:p>
      <w:pPr>
        <w:spacing w:after="0" w:line="268" w:lineRule="exact"/>
        <w:rPr>
          <w:sz w:val="20"/>
          <w:szCs w:val="20"/>
          <w:color w:val="auto"/>
        </w:rPr>
      </w:pPr>
    </w:p>
    <w:p>
      <w:pPr>
        <w:jc w:val="both"/>
        <w:ind w:firstLine="223"/>
        <w:spacing w:after="0" w:line="260" w:lineRule="auto"/>
        <w:rPr>
          <w:sz w:val="20"/>
          <w:szCs w:val="20"/>
          <w:color w:val="auto"/>
        </w:rPr>
      </w:pPr>
      <w:r>
        <w:rPr>
          <w:rFonts w:ascii="Arial" w:cs="Arial" w:eastAsia="Arial" w:hAnsi="Arial"/>
          <w:sz w:val="16"/>
          <w:szCs w:val="16"/>
          <w:color w:val="auto"/>
        </w:rPr>
        <w:t>As of December 31, 2020 and December 31, 2019, we had an outstanding principal amounts of indebtedness of $350.0 million under a $350.0 million Note Purchase and Guarantee Agreement.</w:t>
      </w:r>
    </w:p>
    <w:p>
      <w:pPr>
        <w:spacing w:after="0" w:line="222" w:lineRule="exact"/>
        <w:rPr>
          <w:sz w:val="20"/>
          <w:szCs w:val="20"/>
          <w:color w:val="auto"/>
        </w:rPr>
      </w:pPr>
    </w:p>
    <w:p>
      <w:pPr>
        <w:jc w:val="both"/>
        <w:ind w:firstLine="206"/>
        <w:spacing w:after="0" w:line="250" w:lineRule="auto"/>
        <w:rPr>
          <w:sz w:val="20"/>
          <w:szCs w:val="20"/>
          <w:color w:val="auto"/>
        </w:rPr>
      </w:pPr>
      <w:r>
        <w:rPr>
          <w:rFonts w:ascii="Arial" w:cs="Arial" w:eastAsia="Arial" w:hAnsi="Arial"/>
          <w:sz w:val="16"/>
          <w:szCs w:val="16"/>
          <w:color w:val="auto"/>
        </w:rPr>
        <w:t>We also have up to $150.0 million of additional borrowing capacity available under the Revolving Credit Facility which was entered into with Citibank, JP Morgan, Santander, HSBC Bank and Morgan Stanley International on March 12, 2018. No amounts were drawn under the Revolving Credit Facility as of December 31, 2020 or December 31, 2019. This facility bears interest at LIBOR plus a margin. We continue to monitor the phasing out of LIBOR which is currently scheduled to begin in 2021 before complete phase out by June 2023. In the absence of an agreed new rate, LIBOR will continue to apply where appropriate.</w:t>
      </w:r>
    </w:p>
    <w:p>
      <w:pPr>
        <w:spacing w:after="0" w:line="230" w:lineRule="exact"/>
        <w:rPr>
          <w:sz w:val="20"/>
          <w:szCs w:val="20"/>
          <w:color w:val="auto"/>
        </w:rPr>
      </w:pPr>
    </w:p>
    <w:p>
      <w:pPr>
        <w:jc w:val="both"/>
        <w:ind w:firstLine="283"/>
        <w:spacing w:after="0" w:line="253" w:lineRule="auto"/>
        <w:rPr>
          <w:sz w:val="20"/>
          <w:szCs w:val="20"/>
          <w:color w:val="auto"/>
        </w:rPr>
      </w:pPr>
      <w:r>
        <w:rPr>
          <w:rFonts w:ascii="Arial" w:cs="Arial" w:eastAsia="Arial" w:hAnsi="Arial"/>
          <w:sz w:val="16"/>
          <w:szCs w:val="16"/>
          <w:color w:val="auto"/>
        </w:rPr>
        <w:t>The cost and availability of credit are subject to changes in the global or regional economic environment. If conditions in the major credit markets deteriorate our ability to obtain debt financing on favorable terms may be negatively affected. We may incur additional debt in the future. Our debt could have significant adverse consequences, including to:</w:t>
      </w:r>
    </w:p>
    <w:p>
      <w:pPr>
        <w:spacing w:after="0" w:line="228"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 our ability to borrow additional funds for working capital, capital expenditures, acquisitions or other general business purposes;</w:t>
      </w:r>
    </w:p>
    <w:p>
      <w:pPr>
        <w:spacing w:after="0" w:line="5"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 our ability to use our cash flow or obtain additional financing for future working capital, capital expenditures, acquisitions or other general business purposes;</w:t>
      </w: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 us to use all or a portion of our cash flow from operations to make debt service payments;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 us to sell certain assets;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 us from making strategic investments, including acquisitions or cause us to make non-strategic divestitures;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cause us to incur substantial fees from time to time in connection with debt amendments or refinancing;</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 our flexibility to plan for, or react to, changes in our business and industry;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our vulnerability to the impact of adverse economic and industry conditions.</w:t>
      </w:r>
    </w:p>
    <w:p>
      <w:pPr>
        <w:spacing w:after="0" w:line="194" w:lineRule="exact"/>
        <w:rPr>
          <w:sz w:val="20"/>
          <w:szCs w:val="20"/>
          <w:color w:val="auto"/>
        </w:rPr>
      </w:pPr>
    </w:p>
    <w:p>
      <w:pPr>
        <w:jc w:val="both"/>
        <w:ind w:firstLine="220"/>
        <w:spacing w:after="0" w:line="253" w:lineRule="auto"/>
        <w:rPr>
          <w:sz w:val="20"/>
          <w:szCs w:val="20"/>
          <w:color w:val="auto"/>
        </w:rPr>
      </w:pPr>
      <w:r>
        <w:rPr>
          <w:rFonts w:ascii="Arial" w:cs="Arial" w:eastAsia="Arial" w:hAnsi="Arial"/>
          <w:sz w:val="16"/>
          <w:szCs w:val="16"/>
          <w:color w:val="auto"/>
        </w:rPr>
        <w:t>We are required, under the terms of the 2020 Senior Notes, to offer to purchase all of the outstanding 2020 Senior Notes if we experience a change of control. Similar requirements exist in the Revolving Credit Facility. These provisions may delay or prevent a change in control that our stockholders may consider desirable.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203" w:lineRule="exact"/>
        <w:rPr>
          <w:sz w:val="20"/>
          <w:szCs w:val="20"/>
          <w:color w:val="auto"/>
        </w:rPr>
      </w:pPr>
    </w:p>
    <w:p>
      <w:pPr>
        <w:jc w:val="both"/>
        <w:ind w:right="20" w:firstLine="227"/>
        <w:spacing w:after="0" w:line="260" w:lineRule="auto"/>
        <w:rPr>
          <w:sz w:val="20"/>
          <w:szCs w:val="20"/>
          <w:color w:val="auto"/>
        </w:rPr>
      </w:pPr>
      <w:r>
        <w:rPr>
          <w:rFonts w:ascii="Arial" w:cs="Arial" w:eastAsia="Arial" w:hAnsi="Arial"/>
          <w:sz w:val="16"/>
          <w:szCs w:val="16"/>
          <w:color w:val="auto"/>
        </w:rPr>
        <w:t>The 2020 Senior Notes and the Revolving Credit Facility credit agreements include certain customary covenants that limit our ability to, amongst other things, subject to certain exceptions:</w:t>
      </w:r>
    </w:p>
    <w:p>
      <w:pPr>
        <w:spacing w:after="0" w:line="222"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or assume liens or additional debt;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dispose of assets;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engage in mergers or reorganizations; or</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enter into certain types of transactions with affiliates.</w:t>
      </w:r>
    </w:p>
    <w:p>
      <w:pPr>
        <w:spacing w:after="0" w:line="24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6"/>
          <w:szCs w:val="16"/>
          <w:color w:val="auto"/>
        </w:rPr>
        <w:t>The 2020 Senior Notes agreement also includes certain financial covenants that require us to comply with a consolidated leverage ratio and a maximum amount of priority debt, each of which are defined in the Note Purchase and Guarantee Agreement. Our ability to comply with these financial covenants may be affected by events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b w:val="1"/>
          <w:bCs w:val="1"/>
          <w:i w:val="1"/>
          <w:iCs w:val="1"/>
          <w:color w:val="auto"/>
        </w:rPr>
        <w:t>Interest rate fluctuations may materially adversely affect our results of operations and financial conditions in the event that the Company draws down on either Revolving Credit Facility or in respect of any future issuances of debt.</w:t>
      </w:r>
    </w:p>
    <w:p>
      <w:pPr>
        <w:spacing w:after="0" w:line="203" w:lineRule="exact"/>
        <w:rPr>
          <w:sz w:val="20"/>
          <w:szCs w:val="20"/>
          <w:color w:val="auto"/>
        </w:rPr>
      </w:pPr>
    </w:p>
    <w:p>
      <w:pPr>
        <w:jc w:val="both"/>
        <w:ind w:firstLine="198"/>
        <w:spacing w:after="0" w:line="249" w:lineRule="auto"/>
        <w:rPr>
          <w:sz w:val="20"/>
          <w:szCs w:val="20"/>
          <w:color w:val="auto"/>
        </w:rPr>
      </w:pPr>
      <w:r>
        <w:rPr>
          <w:rFonts w:ascii="Arial" w:cs="Arial" w:eastAsia="Arial" w:hAnsi="Arial"/>
          <w:sz w:val="16"/>
          <w:szCs w:val="16"/>
          <w:color w:val="auto"/>
        </w:rPr>
        <w:t>The interest rate in respect of the 2020 Senior Notes is fixed at 2.32% for Series A and 2.43% for Series B for the term of the agreement. The Revolving Credit Facility bears interest at LIBOR plus a margin. There were no amounts drawn on the Revolving Credit Facility at December 31, 2020 or at December 31, 2019. We continue to monitor the phasing out of LIBOR which is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The Company is therefore subject to interest rate volatility in respect of any future draw down on the Revolving Credit Facility or in respect of any future issuances of debt.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the market price of our common stock could lead to losses by investors.</w:t>
      </w:r>
    </w:p>
    <w:p>
      <w:pPr>
        <w:spacing w:after="0" w:line="268" w:lineRule="exact"/>
        <w:rPr>
          <w:sz w:val="20"/>
          <w:szCs w:val="20"/>
          <w:color w:val="auto"/>
        </w:rPr>
      </w:pPr>
    </w:p>
    <w:p>
      <w:pPr>
        <w:jc w:val="both"/>
        <w:ind w:right="20" w:firstLine="239"/>
        <w:spacing w:after="0" w:line="260" w:lineRule="auto"/>
        <w:rPr>
          <w:sz w:val="20"/>
          <w:szCs w:val="20"/>
          <w:color w:val="auto"/>
        </w:rPr>
      </w:pPr>
      <w:r>
        <w:rPr>
          <w:rFonts w:ascii="Arial" w:cs="Arial" w:eastAsia="Arial" w:hAnsi="Arial"/>
          <w:sz w:val="16"/>
          <w:szCs w:val="16"/>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222"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market and economic conditions;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results of operations;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issuance of new or changed securities analysts’ reports or recommendations;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developments impacting the industry or our competitors;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declines in the market prices of stocks generally;</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strategic actions by us or our competitors;</w:t>
      </w:r>
    </w:p>
    <w:p>
      <w:pPr>
        <w:spacing w:after="0" w:line="5"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new products, acquisitions, joint marketing relationships, joint ventures,</w:t>
      </w:r>
    </w:p>
    <w:p>
      <w:pPr>
        <w:ind w:left="1300"/>
        <w:spacing w:after="0" w:line="235" w:lineRule="auto"/>
        <w:rPr>
          <w:sz w:val="20"/>
          <w:szCs w:val="20"/>
          <w:color w:val="auto"/>
        </w:rPr>
      </w:pPr>
      <w:r>
        <w:rPr>
          <w:rFonts w:ascii="Arial" w:cs="Arial" w:eastAsia="Arial" w:hAnsi="Arial"/>
          <w:sz w:val="16"/>
          <w:szCs w:val="16"/>
          <w:color w:val="auto"/>
        </w:rPr>
        <w:t>other strategic relationships or capital commitments;</w:t>
      </w: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public's reaction to press releases, other public announcements by us or third parties, including our filings with the SEC;</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guidance, if any, that we provide to the public, any changes in this guidance or failure to meet this guidance;</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credit rating of our debt;</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sale, or anticipated sale, of large blocks of our stock;</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regulatory or political developments;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litigation and governmental investigations;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changing economic conditions;</w:t>
      </w:r>
    </w:p>
    <w:p>
      <w:pPr>
        <w:spacing w:after="0" w:line="5" w:lineRule="exact"/>
        <w:rPr>
          <w:rFonts w:ascii="Arial" w:cs="Arial" w:eastAsia="Arial" w:hAnsi="Arial"/>
          <w:sz w:val="16"/>
          <w:szCs w:val="16"/>
          <w:color w:val="auto"/>
        </w:rPr>
      </w:pPr>
    </w:p>
    <w:p>
      <w:pPr>
        <w:ind w:left="1300" w:hanging="320"/>
        <w:spacing w:after="0" w:line="228"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exchange rate fluctuations;</w:t>
      </w: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accounting principles;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natural disasters, war, acts of terrorism or responses to those events.</w:t>
      </w:r>
    </w:p>
    <w:p>
      <w:pPr>
        <w:spacing w:after="0" w:line="248" w:lineRule="exact"/>
        <w:rPr>
          <w:sz w:val="20"/>
          <w:szCs w:val="20"/>
          <w:color w:val="auto"/>
        </w:rPr>
      </w:pPr>
    </w:p>
    <w:p>
      <w:pPr>
        <w:jc w:val="both"/>
        <w:ind w:firstLine="297"/>
        <w:spacing w:after="0" w:line="257"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3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If securities analysts or industry analysts do not publish reports about our business or if they downgrade our stock or our sector, our stock price and trading volumes could decline.</w:t>
      </w:r>
    </w:p>
    <w:p>
      <w:pPr>
        <w:spacing w:after="0" w:line="203" w:lineRule="exact"/>
        <w:rPr>
          <w:sz w:val="20"/>
          <w:szCs w:val="20"/>
          <w:color w:val="auto"/>
        </w:rPr>
      </w:pPr>
    </w:p>
    <w:p>
      <w:pPr>
        <w:jc w:val="both"/>
        <w:ind w:firstLine="220"/>
        <w:spacing w:after="0" w:line="250" w:lineRule="auto"/>
        <w:rPr>
          <w:sz w:val="20"/>
          <w:szCs w:val="20"/>
          <w:color w:val="auto"/>
        </w:rPr>
      </w:pPr>
      <w:r>
        <w:rPr>
          <w:rFonts w:ascii="Arial" w:cs="Arial" w:eastAsia="Arial" w:hAnsi="Arial"/>
          <w:sz w:val="16"/>
          <w:szCs w:val="16"/>
          <w:color w:val="auto"/>
        </w:rPr>
        <w:t>The trading market for common stock depends in part on the research and reports that industry or financial analysts publish about us, our business or industry. We do not control these analysts. If one or more of the analysts who do cover us downgrade our stock or our industry or the stock of any of our competitors, or publish inaccurate or unfavorable research about our business or industry, the price of our stock could decline. If one or more of these analysts ceases coverage of us or fails to publish reports on us regularly, we could lose visibility in the market, which in turn could cause our stock price or trading volume to decline.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investment return may be reduced if we lose our foreign private issuer status.</w:t>
      </w:r>
    </w:p>
    <w:p>
      <w:pPr>
        <w:spacing w:after="0" w:line="295" w:lineRule="exact"/>
        <w:rPr>
          <w:sz w:val="20"/>
          <w:szCs w:val="20"/>
          <w:color w:val="auto"/>
        </w:rPr>
      </w:pPr>
    </w:p>
    <w:p>
      <w:pPr>
        <w:jc w:val="both"/>
        <w:ind w:right="20" w:firstLine="265"/>
        <w:spacing w:after="0" w:line="252" w:lineRule="auto"/>
        <w:rPr>
          <w:sz w:val="20"/>
          <w:szCs w:val="20"/>
          <w:color w:val="auto"/>
        </w:rPr>
      </w:pPr>
      <w:r>
        <w:rPr>
          <w:rFonts w:ascii="Arial" w:cs="Arial" w:eastAsia="Arial" w:hAnsi="Arial"/>
          <w:sz w:val="16"/>
          <w:szCs w:val="16"/>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reporting and short-swing profit recapture rules are not applicable to us.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We do not expect to pay any cash dividends for the foreseeable future.</w:t>
      </w:r>
    </w:p>
    <w:p>
      <w:pPr>
        <w:spacing w:after="0" w:line="268" w:lineRule="exact"/>
        <w:rPr>
          <w:sz w:val="20"/>
          <w:szCs w:val="20"/>
          <w:color w:val="auto"/>
        </w:rPr>
      </w:pPr>
    </w:p>
    <w:p>
      <w:pPr>
        <w:jc w:val="both"/>
        <w:ind w:firstLine="207"/>
        <w:spacing w:after="0" w:line="249" w:lineRule="auto"/>
        <w:rPr>
          <w:sz w:val="20"/>
          <w:szCs w:val="20"/>
          <w:color w:val="auto"/>
        </w:rPr>
      </w:pPr>
      <w:r>
        <w:rPr>
          <w:rFonts w:ascii="Arial" w:cs="Arial" w:eastAsia="Arial" w:hAnsi="Arial"/>
          <w:sz w:val="16"/>
          <w:szCs w:val="16"/>
          <w:color w:val="auto"/>
        </w:rPr>
        <w:t>We currently do not expect to declare dividends on our common stock and have not done so in the past. We continue to anticipate that our earnings will be used to provide working capital, to support operations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social and governance matters may impact our business and reputation.</w:t>
      </w:r>
    </w:p>
    <w:p>
      <w:pPr>
        <w:spacing w:after="0" w:line="295" w:lineRule="exact"/>
        <w:rPr>
          <w:sz w:val="20"/>
          <w:szCs w:val="20"/>
          <w:color w:val="auto"/>
        </w:rPr>
      </w:pPr>
    </w:p>
    <w:p>
      <w:pPr>
        <w:jc w:val="both"/>
        <w:ind w:firstLine="211"/>
        <w:spacing w:after="0" w:line="249" w:lineRule="auto"/>
        <w:rPr>
          <w:sz w:val="20"/>
          <w:szCs w:val="20"/>
          <w:color w:val="auto"/>
        </w:rPr>
      </w:pPr>
      <w:r>
        <w:rPr>
          <w:rFonts w:ascii="Arial" w:cs="Arial" w:eastAsia="Arial" w:hAnsi="Arial"/>
          <w:sz w:val="16"/>
          <w:szCs w:val="16"/>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investors’ increased focus on ESG matters,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216" w:lineRule="exact"/>
        <w:rPr>
          <w:sz w:val="20"/>
          <w:szCs w:val="20"/>
          <w:color w:val="auto"/>
        </w:rPr>
      </w:pPr>
    </w:p>
    <w:p>
      <w:pPr>
        <w:jc w:val="center"/>
        <w:ind w:right="834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Information on the Company.</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History and development</w:t>
      </w:r>
    </w:p>
    <w:p>
      <w:pPr>
        <w:spacing w:after="0" w:line="268" w:lineRule="exact"/>
        <w:rPr>
          <w:sz w:val="20"/>
          <w:szCs w:val="20"/>
          <w:color w:val="auto"/>
        </w:rPr>
      </w:pPr>
    </w:p>
    <w:p>
      <w:pPr>
        <w:jc w:val="both"/>
        <w:ind w:firstLine="190"/>
        <w:spacing w:after="0" w:line="251" w:lineRule="auto"/>
        <w:rPr>
          <w:sz w:val="20"/>
          <w:szCs w:val="20"/>
          <w:color w:val="auto"/>
        </w:rPr>
      </w:pPr>
      <w:r>
        <w:rPr>
          <w:rFonts w:ascii="Arial" w:cs="Arial" w:eastAsia="Arial" w:hAnsi="Arial"/>
          <w:sz w:val="16"/>
          <w:szCs w:val="16"/>
          <w:color w:val="auto"/>
        </w:rPr>
        <w:t>ICON public limited company (“ICON plc”) is a clinical research organization (“CRO”), founded in Dublin, Ireland in 1990. Over thirty years we have grown significantly to become a leading global provider of outsourced development and commercialization services to pharmaceutical, biotechnology, medical device and government and public health organizations. Our mission is to help our clients to accelerate the development of drugs and devices that save lives and improve quality of life.</w:t>
      </w:r>
    </w:p>
    <w:p>
      <w:pPr>
        <w:spacing w:after="0" w:line="229" w:lineRule="exact"/>
        <w:rPr>
          <w:sz w:val="20"/>
          <w:szCs w:val="20"/>
          <w:color w:val="auto"/>
        </w:rPr>
      </w:pPr>
    </w:p>
    <w:p>
      <w:pPr>
        <w:jc w:val="both"/>
        <w:ind w:firstLine="274"/>
        <w:spacing w:after="0" w:line="251" w:lineRule="auto"/>
        <w:rPr>
          <w:sz w:val="20"/>
          <w:szCs w:val="20"/>
          <w:color w:val="auto"/>
        </w:rPr>
      </w:pPr>
      <w:r>
        <w:rPr>
          <w:rFonts w:ascii="Arial" w:cs="Arial" w:eastAsia="Arial" w:hAnsi="Arial"/>
          <w:sz w:val="16"/>
          <w:szCs w:val="16"/>
          <w:color w:val="auto"/>
        </w:rPr>
        <w:t>We are a public limited company in Ireland and operate under the Irish Companies Acts. Our principal executive office is located at: South County Business Park, Leopardstown, Dublin 18, Republic of Ireland. The contact telephone number of this office is +353 1 2912000. Our website is www.iconplc.com. Additionally, the SEC maintains a website (www.sec.gov) that contains reports, proxy and information statements, and other information regarding issuers that file electronically with the SEC.</w:t>
      </w:r>
    </w:p>
    <w:p>
      <w:pPr>
        <w:spacing w:after="0" w:line="229" w:lineRule="exact"/>
        <w:rPr>
          <w:sz w:val="20"/>
          <w:szCs w:val="20"/>
          <w:color w:val="auto"/>
        </w:rPr>
      </w:pPr>
    </w:p>
    <w:p>
      <w:pPr>
        <w:jc w:val="both"/>
        <w:ind w:firstLine="197"/>
        <w:spacing w:after="0" w:line="251" w:lineRule="auto"/>
        <w:rPr>
          <w:sz w:val="20"/>
          <w:szCs w:val="20"/>
          <w:color w:val="auto"/>
        </w:rPr>
      </w:pPr>
      <w:r>
        <w:rPr>
          <w:rFonts w:ascii="Arial" w:cs="Arial" w:eastAsia="Arial" w:hAnsi="Arial"/>
          <w:sz w:val="16"/>
          <w:szCs w:val="16"/>
          <w:color w:val="auto"/>
        </w:rPr>
        <w:t>Our service offering includes clinical development, functional outsourcing and laboratory services. Our clinical development services include all phases of development (Phases I-IV), peri and post approval and site and patient access services. Our laboratory services include a range of high value testing services, including bionanalytical, biomarker, vaccine, good manufacturing practice ('GMP') and central laboratory services. We also offer full-service and functional service partnerships to our customers.</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Over thirty years, the Company has expanded through organic growth, together with a number of strategic acquisitions to enhance its expertise and capabilities in certain areas of the clinical development process and to broaden the service portfolio and add scale to existing services.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46445" cy="2743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4644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Recent investments, which continue to strengthen our service offerings to meet the needs of our customers include:</w:t>
      </w:r>
    </w:p>
    <w:p>
      <w:pPr>
        <w:spacing w:after="0" w:line="248" w:lineRule="exact"/>
        <w:rPr>
          <w:sz w:val="20"/>
          <w:szCs w:val="20"/>
          <w:color w:val="auto"/>
        </w:rPr>
      </w:pPr>
    </w:p>
    <w:p>
      <w:pPr>
        <w:jc w:val="both"/>
        <w:ind w:left="324" w:hanging="324"/>
        <w:spacing w:after="0" w:line="253" w:lineRule="auto"/>
        <w:tabs>
          <w:tab w:leader="none" w:pos="3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September 3, 2020, ICON announced that it was launching Accellacare, a global clinical research network offering patients easier and faster access to innovative treatments and offering customers the option to deploy decentralized trials. The site network includes previously acquired PMG Research in the US and MeDiNova Research in EMEA;</w:t>
      </w:r>
    </w:p>
    <w:p>
      <w:pPr>
        <w:spacing w:after="0" w:line="228" w:lineRule="exact"/>
        <w:rPr>
          <w:rFonts w:ascii="Arial" w:cs="Arial" w:eastAsia="Arial" w:hAnsi="Arial"/>
          <w:sz w:val="16"/>
          <w:szCs w:val="16"/>
          <w:color w:val="auto"/>
        </w:rPr>
      </w:pPr>
    </w:p>
    <w:p>
      <w:pPr>
        <w:jc w:val="both"/>
        <w:ind w:left="324" w:hanging="324"/>
        <w:spacing w:after="0" w:line="248" w:lineRule="auto"/>
        <w:tabs>
          <w:tab w:leader="none" w:pos="3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On July 24, 2020 a subsidiary of the Company, ICON Clinical Research Limited, entered into an agreement to jointly establish a new company, Oncacare Limited ("Oncacare"), with a third party. Oncacare will operate a specialized oncology site network in the US and EMEA regions. The new site network will focus on implementing a range of commercial models with specialist oncology healthcare providers in the US and EMEA to accelerate the recruitment and retention of patients into oncology trials. The oncology site network will operate as a joint venture between the Company and a third party company which has extensive experience in developing and running a site network. The Company has invested $4.9 million to obtain a 49% interest in the voting share capital of Oncacare. The third party to the joint venture has the right to sell the 51% majority voting share capital exclusively to the Company in an eighteen month period, commencing January 1, 2023 and ICON also has the right to acquire the 51% majority voting share capital from August 1, 2025 (see </w:t>
      </w:r>
      <w:r>
        <w:rPr>
          <w:rFonts w:ascii="Arial" w:cs="Arial" w:eastAsia="Arial" w:hAnsi="Arial"/>
          <w:sz w:val="16"/>
          <w:szCs w:val="16"/>
          <w:i w:val="1"/>
          <w:iCs w:val="1"/>
          <w:color w:val="auto"/>
        </w:rPr>
        <w:t>note 3 - Investments</w:t>
      </w:r>
      <w:r>
        <w:rPr>
          <w:rFonts w:ascii="Arial" w:cs="Arial" w:eastAsia="Arial" w:hAnsi="Arial"/>
          <w:sz w:val="16"/>
          <w:szCs w:val="16"/>
          <w:color w:val="auto"/>
        </w:rPr>
        <w:t xml:space="preserve"> in the consolidated financial statements);</w:t>
      </w:r>
    </w:p>
    <w:p>
      <w:pPr>
        <w:spacing w:after="0" w:line="234" w:lineRule="exact"/>
        <w:rPr>
          <w:rFonts w:ascii="Arial" w:cs="Arial" w:eastAsia="Arial" w:hAnsi="Arial"/>
          <w:sz w:val="16"/>
          <w:szCs w:val="16"/>
          <w:color w:val="auto"/>
        </w:rPr>
      </w:pPr>
    </w:p>
    <w:p>
      <w:pPr>
        <w:jc w:val="both"/>
        <w:ind w:left="324" w:hanging="324"/>
        <w:spacing w:after="0" w:line="248" w:lineRule="auto"/>
        <w:tabs>
          <w:tab w:leader="none" w:pos="3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On May 23, 2019 a subsidiary of the Company, ICON Clinical Research (U.K.) Limited, acquired a majority shareholding in MeDiNova, a site network with research sites in key markets in Europe and Africa. The consideration to acquire the majority shareholding was cash of $54.1 million (excluding a working capital adjustment of $0.5 million) (see </w:t>
      </w:r>
      <w:r>
        <w:rPr>
          <w:rFonts w:ascii="Arial" w:cs="Arial" w:eastAsia="Arial" w:hAnsi="Arial"/>
          <w:sz w:val="16"/>
          <w:szCs w:val="16"/>
          <w:i w:val="1"/>
          <w:iCs w:val="1"/>
          <w:color w:val="auto"/>
        </w:rPr>
        <w:t>note 4 - Goodwill</w:t>
      </w:r>
      <w:r>
        <w:rPr>
          <w:rFonts w:ascii="Arial" w:cs="Arial" w:eastAsia="Arial" w:hAnsi="Arial"/>
          <w:sz w:val="16"/>
          <w:szCs w:val="16"/>
          <w:color w:val="auto"/>
        </w:rPr>
        <w:t xml:space="preserve"> in the consolidated financial statements). The contingent consideration was paid in October 2019. The acquisition further enhances ICON's patient recruitment capabilities in EMEA and complements ICON's existing site network in the USA, PMG Research. ICON had the right to acquire the remaining shares in the company and on March 9, 2020 ICON exercised its option to call the outstanding shares in the noncontrolling interest to take 100% ownership of MeDiNova. Effective from this date, the noncontrolling interest was derecognized and a liability was recognized, representing the assessment of the redemption value of the noncontrolling interest. This liability was settled on July 17, 2020 for $43.9 million;</w:t>
      </w:r>
    </w:p>
    <w:p>
      <w:pPr>
        <w:spacing w:after="0" w:line="234" w:lineRule="exact"/>
        <w:rPr>
          <w:rFonts w:ascii="Arial" w:cs="Arial" w:eastAsia="Arial" w:hAnsi="Arial"/>
          <w:sz w:val="16"/>
          <w:szCs w:val="16"/>
          <w:color w:val="auto"/>
        </w:rPr>
      </w:pPr>
    </w:p>
    <w:p>
      <w:pPr>
        <w:jc w:val="both"/>
        <w:ind w:left="324" w:hanging="324"/>
        <w:spacing w:after="0" w:line="249" w:lineRule="auto"/>
        <w:tabs>
          <w:tab w:leader="none" w:pos="3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On January 22, 2020 a subsidiary of the Company, ICON Investments Limited, acquired 100% of the equity share capital of MedPass International ("MedPass").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 The total consideration was $47.6 million (see </w:t>
      </w:r>
      <w:r>
        <w:rPr>
          <w:rFonts w:ascii="Arial" w:cs="Arial" w:eastAsia="Arial" w:hAnsi="Arial"/>
          <w:sz w:val="16"/>
          <w:szCs w:val="16"/>
          <w:i w:val="1"/>
          <w:iCs w:val="1"/>
          <w:color w:val="auto"/>
        </w:rPr>
        <w:t>note 4 - Goodwill</w:t>
      </w:r>
      <w:r>
        <w:rPr>
          <w:rFonts w:ascii="Arial" w:cs="Arial" w:eastAsia="Arial" w:hAnsi="Arial"/>
          <w:sz w:val="16"/>
          <w:szCs w:val="16"/>
          <w:color w:val="auto"/>
        </w:rPr>
        <w:t xml:space="preserv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84"/>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70485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440" w:right="339" w:bottom="1440" w:gutter="0" w:footer="0" w:header="0"/>
        </w:sectPr>
      </w:pPr>
    </w:p>
    <w:bookmarkStart w:id="24" w:name="page25"/>
    <w:bookmarkEnd w:id="24"/>
    <w:p>
      <w:pPr>
        <w:jc w:val="both"/>
        <w:ind w:left="980" w:hanging="324"/>
        <w:spacing w:after="0" w:line="251" w:lineRule="auto"/>
        <w:tabs>
          <w:tab w:leader="none" w:pos="969"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On September 24, 2019 a subsidiary of the Company, ICON Clinical Research LLC, acquired a 100% interest in Symphony (see </w:t>
      </w:r>
      <w:r>
        <w:rPr>
          <w:rFonts w:ascii="Arial" w:cs="Arial" w:eastAsia="Arial" w:hAnsi="Arial"/>
          <w:sz w:val="16"/>
          <w:szCs w:val="16"/>
          <w:i w:val="1"/>
          <w:iCs w:val="1"/>
          <w:color w:val="auto"/>
        </w:rPr>
        <w:t>note 4 -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Goodwill </w:t>
      </w:r>
      <w:r>
        <w:rPr>
          <w:rFonts w:ascii="Arial" w:cs="Arial" w:eastAsia="Arial" w:hAnsi="Arial"/>
          <w:sz w:val="16"/>
          <w:szCs w:val="16"/>
          <w:color w:val="auto"/>
        </w:rPr>
        <w:t>in the consolidated financial statements). Founded in 2003 and operating from its headquarters in Illinois, USA and Gdansk, Poland,</w:t>
      </w:r>
      <w:r>
        <w:rPr>
          <w:rFonts w:ascii="Arial" w:cs="Arial" w:eastAsia="Arial" w:hAnsi="Arial"/>
          <w:sz w:val="16"/>
          <w:szCs w:val="16"/>
          <w:i w:val="1"/>
          <w:iCs w:val="1"/>
          <w:color w:val="auto"/>
        </w:rPr>
        <w:t xml:space="preserve"> </w:t>
      </w:r>
      <w:r>
        <w:rPr>
          <w:rFonts w:ascii="Arial" w:cs="Arial" w:eastAsia="Arial" w:hAnsi="Arial"/>
          <w:sz w:val="16"/>
          <w:szCs w:val="16"/>
          <w:color w:val="auto"/>
        </w:rPr>
        <w:t>Symphony is a leading provider of at-home trial services and site support services from study start-up to closeout for Phase I-IV global studies. Symphony will grow ICON's patient recruitment capabilities globally and complements ICON's site network in the USA, PMG Research and the recently acquired site network in EMEA, MeDiNova. The consideration to acquire the 100% interest was cash of $35.3 million and contingent consideration which was initially estimated at a fair value of $2.5 million. During 2020, the contingent consideration was settled at fair value in the amount of $0.5 million. The change in fair value has been recorded in the selling, general and administrative expense line of the Consolidated Statement of Operations;</w:t>
      </w:r>
    </w:p>
    <w:p>
      <w:pPr>
        <w:spacing w:after="0" w:line="231" w:lineRule="exact"/>
        <w:rPr>
          <w:rFonts w:ascii="Arial" w:cs="Arial" w:eastAsia="Arial" w:hAnsi="Arial"/>
          <w:sz w:val="16"/>
          <w:szCs w:val="16"/>
          <w:color w:val="auto"/>
        </w:rPr>
      </w:pPr>
    </w:p>
    <w:p>
      <w:pPr>
        <w:jc w:val="both"/>
        <w:ind w:left="980" w:hanging="324"/>
        <w:spacing w:after="0" w:line="248" w:lineRule="auto"/>
        <w:tabs>
          <w:tab w:leader="none" w:pos="969"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On January 25, 2019 a subsidiary of the Company, ICON Laboratory Services, Inc., acquired 100% of the share capital of MolecularMD Corp. ("MMD"). The consideration was $42.2 million (see </w:t>
      </w:r>
      <w:r>
        <w:rPr>
          <w:rFonts w:ascii="Arial" w:cs="Arial" w:eastAsia="Arial" w:hAnsi="Arial"/>
          <w:sz w:val="16"/>
          <w:szCs w:val="16"/>
          <w:i w:val="1"/>
          <w:iCs w:val="1"/>
          <w:color w:val="auto"/>
        </w:rPr>
        <w:t>note 4 - Goodwill</w:t>
      </w:r>
      <w:r>
        <w:rPr>
          <w:rFonts w:ascii="Arial" w:cs="Arial" w:eastAsia="Arial" w:hAnsi="Arial"/>
          <w:sz w:val="16"/>
          <w:szCs w:val="16"/>
          <w:color w:val="auto"/>
        </w:rPr>
        <w:t xml:space="preserve"> in the consolidated financial statements). MMD is a molecular diagnostic specialty laboratory that enables the development and commercialization of precision medicines in oncology. It is a recognized leader in the analytical development and clinical validation of molecular diagnostic assays. It offers a comprehensive test menu in immuno-oncology development and services also include companion diagnostic development services. The acquisition enhances ICON’s laboratory offering in molecular diagnostic testing and brings to ICON expanded testing platforms, including next generation sequencing, and immunohistochemistry (IHC);</w:t>
      </w:r>
    </w:p>
    <w:p>
      <w:pPr>
        <w:spacing w:after="0" w:line="235" w:lineRule="exact"/>
        <w:rPr>
          <w:rFonts w:ascii="Arial" w:cs="Arial" w:eastAsia="Arial" w:hAnsi="Arial"/>
          <w:sz w:val="16"/>
          <w:szCs w:val="16"/>
          <w:color w:val="auto"/>
        </w:rPr>
      </w:pPr>
    </w:p>
    <w:p>
      <w:pPr>
        <w:jc w:val="both"/>
        <w:ind w:left="980" w:hanging="324"/>
        <w:spacing w:after="0" w:line="248" w:lineRule="auto"/>
        <w:tabs>
          <w:tab w:leader="none" w:pos="969" w:val="left"/>
        </w:tabs>
        <w:numPr>
          <w:ilvl w:val="1"/>
          <w:numId w:val="19"/>
        </w:numPr>
        <w:rPr>
          <w:rFonts w:ascii="Arial" w:cs="Arial" w:eastAsia="Arial" w:hAnsi="Arial"/>
          <w:sz w:val="16"/>
          <w:szCs w:val="16"/>
          <w:color w:val="auto"/>
        </w:rPr>
      </w:pPr>
      <w:r>
        <w:rPr>
          <w:rFonts w:ascii="Arial" w:cs="Arial" w:eastAsia="Arial" w:hAnsi="Arial"/>
          <w:sz w:val="16"/>
          <w:szCs w:val="16"/>
          <w:color w:val="auto"/>
        </w:rPr>
        <w:t>On July 27, 2017, a subsidiary of the Company, ICON Clinical Research Limited acquired Mapi Développement SAS ('Mapi') and its subsidiaries ("Mapi Group"). Mapi Group has over 40 years of experience supporting Life-Science companies as the world leading Patient-Centered Research Company in commercializing novel treatments through Real-World Evidence, Strategic Regulatory Services, Pharmacovigilance, Market Access and Language Services. Mapi Group is the premier provider of Health Research and Commercialization services to Life-Science companies enabling Market Authorization, Market Access and Market Adoption of novel therapeutics. Cash outflows on acquisition were $145.8 million. The acquisition of Mapi Group strengthened ICON’s existing commercialization and outcomes research business adding significant commercialization presence, analytics, real world evidence generation and strategic regulatory services.</w:t>
      </w:r>
    </w:p>
    <w:p>
      <w:pPr>
        <w:spacing w:after="0" w:line="215"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268" w:lineRule="exact"/>
        <w:rPr>
          <w:sz w:val="20"/>
          <w:szCs w:val="20"/>
          <w:color w:val="auto"/>
        </w:rPr>
      </w:pPr>
    </w:p>
    <w:p>
      <w:pPr>
        <w:jc w:val="both"/>
        <w:ind w:right="20" w:firstLine="265"/>
        <w:spacing w:after="0" w:line="260" w:lineRule="auto"/>
        <w:rPr>
          <w:sz w:val="20"/>
          <w:szCs w:val="20"/>
          <w:color w:val="auto"/>
        </w:rPr>
      </w:pPr>
      <w:r>
        <w:rPr>
          <w:rFonts w:ascii="Arial" w:cs="Arial" w:eastAsia="Arial" w:hAnsi="Arial"/>
          <w:sz w:val="16"/>
          <w:szCs w:val="16"/>
          <w:color w:val="auto"/>
        </w:rPr>
        <w:t>ICON is a leading global provider of outsourced development and commercialization services to pharmaceutical, biotechnology, medical device, and government and public health organizations.</w:t>
      </w:r>
    </w:p>
    <w:p>
      <w:pPr>
        <w:spacing w:after="0" w:line="222" w:lineRule="exact"/>
        <w:rPr>
          <w:sz w:val="20"/>
          <w:szCs w:val="20"/>
          <w:color w:val="auto"/>
        </w:rPr>
      </w:pPr>
    </w:p>
    <w:p>
      <w:pPr>
        <w:jc w:val="both"/>
        <w:ind w:right="20" w:firstLine="212"/>
        <w:spacing w:after="0" w:line="260" w:lineRule="auto"/>
        <w:rPr>
          <w:sz w:val="20"/>
          <w:szCs w:val="20"/>
          <w:color w:val="auto"/>
        </w:rPr>
      </w:pPr>
      <w:r>
        <w:rPr>
          <w:rFonts w:ascii="Arial" w:cs="Arial" w:eastAsia="Arial" w:hAnsi="Arial"/>
          <w:sz w:val="16"/>
          <w:szCs w:val="16"/>
          <w:color w:val="auto"/>
        </w:rPr>
        <w:t>We offer a full range of clinical, consulting and commercial services that range from clinical development strategy, planning and trial design, to full study execution, and post-market commercialization.</w:t>
      </w:r>
    </w:p>
    <w:p>
      <w:pPr>
        <w:spacing w:after="0" w:line="222" w:lineRule="exact"/>
        <w:rPr>
          <w:sz w:val="20"/>
          <w:szCs w:val="20"/>
          <w:color w:val="auto"/>
        </w:rPr>
      </w:pPr>
    </w:p>
    <w:p>
      <w:pPr>
        <w:jc w:val="both"/>
        <w:ind w:firstLine="185"/>
        <w:spacing w:after="0" w:line="260" w:lineRule="auto"/>
        <w:rPr>
          <w:sz w:val="20"/>
          <w:szCs w:val="20"/>
          <w:color w:val="auto"/>
        </w:rPr>
      </w:pPr>
      <w:r>
        <w:rPr>
          <w:rFonts w:ascii="Arial" w:cs="Arial" w:eastAsia="Arial" w:hAnsi="Arial"/>
          <w:sz w:val="16"/>
          <w:szCs w:val="16"/>
          <w:color w:val="auto"/>
        </w:rPr>
        <w:t>ICON provides its services across a range of clinical outsourcing operating models including strategic partnerships, preferred provider, full-service delivery to functional service provision and stand-alone services.</w:t>
      </w:r>
    </w:p>
    <w:p>
      <w:pPr>
        <w:spacing w:after="0" w:line="222"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6"/>
          <w:szCs w:val="16"/>
          <w:color w:val="auto"/>
        </w:rPr>
        <w:t>We specialize in the strategic development, management and analysis of programs that support all stages of the clinical development process, from compound selection to Phase I-IV clinical studies. We earn revenue by providing a number of different services to our customers. Those services are integral components of the clinical development process and include clinical trial management, consulting, contract staffing and laboratory services.</w:t>
      </w:r>
    </w:p>
    <w:p>
      <w:pPr>
        <w:spacing w:after="0" w:line="228" w:lineRule="exact"/>
        <w:rPr>
          <w:sz w:val="20"/>
          <w:szCs w:val="20"/>
          <w:color w:val="auto"/>
        </w:rPr>
      </w:pPr>
    </w:p>
    <w:p>
      <w:pPr>
        <w:jc w:val="both"/>
        <w:ind w:firstLine="186"/>
        <w:spacing w:after="0" w:line="251" w:lineRule="auto"/>
        <w:rPr>
          <w:sz w:val="20"/>
          <w:szCs w:val="20"/>
          <w:color w:val="auto"/>
        </w:rPr>
      </w:pPr>
      <w:r>
        <w:rPr>
          <w:rFonts w:ascii="Arial" w:cs="Arial" w:eastAsia="Arial" w:hAnsi="Arial"/>
          <w:sz w:val="16"/>
          <w:szCs w:val="16"/>
          <w:color w:val="auto"/>
        </w:rPr>
        <w:t>Our vision is to be the Global CRO partner of choice in drug development by delivering best in class information, solutions and performance in clinical and outcomes research.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w:t>
      </w:r>
    </w:p>
    <w:p>
      <w:pPr>
        <w:spacing w:after="0" w:line="229" w:lineRule="exact"/>
        <w:rPr>
          <w:sz w:val="20"/>
          <w:szCs w:val="20"/>
          <w:color w:val="auto"/>
        </w:rPr>
      </w:pPr>
    </w:p>
    <w:p>
      <w:pPr>
        <w:jc w:val="both"/>
        <w:ind w:right="20" w:firstLine="221"/>
        <w:spacing w:after="0" w:line="253" w:lineRule="auto"/>
        <w:rPr>
          <w:sz w:val="20"/>
          <w:szCs w:val="20"/>
          <w:color w:val="auto"/>
        </w:rPr>
      </w:pPr>
      <w:r>
        <w:rPr>
          <w:rFonts w:ascii="Arial" w:cs="Arial" w:eastAsia="Arial" w:hAnsi="Arial"/>
          <w:sz w:val="16"/>
          <w:szCs w:val="16"/>
          <w:color w:val="auto"/>
        </w:rPr>
        <w:t xml:space="preserve">At December 31, 2020, we employed approximately 15,730 employees in 93 locations in 41 countries. During the year ended December 31, 2020, we derived approximately 33.1%, 57.1% and 9.8% of our revenue in the United States, Europe and Rest of World, respectively (see </w:t>
      </w:r>
      <w:r>
        <w:rPr>
          <w:rFonts w:ascii="Arial" w:cs="Arial" w:eastAsia="Arial" w:hAnsi="Arial"/>
          <w:sz w:val="16"/>
          <w:szCs w:val="16"/>
          <w:i w:val="1"/>
          <w:iCs w:val="1"/>
          <w:color w:val="auto"/>
        </w:rPr>
        <w:t>note 19 -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Segment and Geographical Information </w:t>
      </w:r>
      <w:r>
        <w:rPr>
          <w:rFonts w:ascii="Arial" w:cs="Arial" w:eastAsia="Arial" w:hAnsi="Arial"/>
          <w:sz w:val="16"/>
          <w:szCs w:val="16"/>
          <w:color w:val="auto"/>
        </w:rPr>
        <w:t>in the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ICON Strategy</w:t>
      </w:r>
    </w:p>
    <w:p>
      <w:pPr>
        <w:spacing w:after="0" w:line="268" w:lineRule="exact"/>
        <w:rPr>
          <w:sz w:val="20"/>
          <w:szCs w:val="20"/>
          <w:color w:val="auto"/>
        </w:rPr>
      </w:pPr>
    </w:p>
    <w:p>
      <w:pPr>
        <w:jc w:val="both"/>
        <w:ind w:firstLine="286"/>
        <w:spacing w:after="0" w:line="251" w:lineRule="auto"/>
        <w:rPr>
          <w:sz w:val="20"/>
          <w:szCs w:val="20"/>
          <w:color w:val="auto"/>
        </w:rPr>
      </w:pPr>
      <w:r>
        <w:rPr>
          <w:rFonts w:ascii="Arial" w:cs="Arial" w:eastAsia="Arial" w:hAnsi="Arial"/>
          <w:sz w:val="16"/>
          <w:szCs w:val="16"/>
          <w:color w:val="auto"/>
        </w:rPr>
        <w:t>We have achieved strong growth since our foundation in 1990, as a global provider of outsourced development and commercialization services to pharmaceutical, biotechnology, medical device and government and public health organizations. We focus our innovation on those factors that are critical to our clients - reducing time to market, reducing cost and increasing quality. Our global team has extensive experience in a broad range of therapeutic areas. ICON has been recognized as one of the world's leading Contract Research Organizations (''CROs") through a number of high-profile industry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ind w:firstLine="243"/>
        <w:spacing w:after="0" w:line="251" w:lineRule="auto"/>
        <w:rPr>
          <w:sz w:val="20"/>
          <w:szCs w:val="20"/>
          <w:color w:val="auto"/>
        </w:rPr>
      </w:pPr>
      <w:r>
        <w:rPr>
          <w:rFonts w:ascii="Arial" w:cs="Arial" w:eastAsia="Arial" w:hAnsi="Arial"/>
          <w:sz w:val="16"/>
          <w:szCs w:val="16"/>
          <w:color w:val="auto"/>
        </w:rPr>
        <w:t>As our market has evolved,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229" w:lineRule="exact"/>
        <w:rPr>
          <w:sz w:val="20"/>
          <w:szCs w:val="20"/>
          <w:color w:val="auto"/>
        </w:rPr>
      </w:pPr>
    </w:p>
    <w:p>
      <w:pPr>
        <w:jc w:val="both"/>
        <w:ind w:firstLine="241"/>
        <w:spacing w:after="0" w:line="253" w:lineRule="auto"/>
        <w:rPr>
          <w:sz w:val="20"/>
          <w:szCs w:val="20"/>
          <w:color w:val="auto"/>
        </w:rPr>
      </w:pPr>
      <w:r>
        <w:rPr>
          <w:rFonts w:ascii="Arial" w:cs="Arial" w:eastAsia="Arial" w:hAnsi="Arial"/>
          <w:sz w:val="16"/>
          <w:szCs w:val="16"/>
          <w:color w:val="auto"/>
        </w:rPr>
        <w:t>One consequence of the drive to accelerate time to market will be increased emphasis on making existing drug development phases more seamless, through the use of techniques such as adaptive trial designs to filter the most promising compounds and test these in parallel in several therapeutic indications or with other drug combinations.</w:t>
      </w:r>
    </w:p>
    <w:p>
      <w:pPr>
        <w:spacing w:after="0" w:line="228" w:lineRule="exact"/>
        <w:rPr>
          <w:sz w:val="20"/>
          <w:szCs w:val="20"/>
          <w:color w:val="auto"/>
        </w:rPr>
      </w:pPr>
    </w:p>
    <w:p>
      <w:pPr>
        <w:jc w:val="both"/>
        <w:ind w:firstLine="342"/>
        <w:spacing w:after="0" w:line="251" w:lineRule="auto"/>
        <w:rPr>
          <w:sz w:val="20"/>
          <w:szCs w:val="20"/>
          <w:color w:val="auto"/>
        </w:rPr>
      </w:pPr>
      <w:r>
        <w:rPr>
          <w:rFonts w:ascii="Arial" w:cs="Arial" w:eastAsia="Arial" w:hAnsi="Arial"/>
          <w:sz w:val="16"/>
          <w:szCs w:val="16"/>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229" w:lineRule="exact"/>
        <w:rPr>
          <w:sz w:val="20"/>
          <w:szCs w:val="20"/>
          <w:color w:val="auto"/>
        </w:rPr>
      </w:pPr>
    </w:p>
    <w:p>
      <w:pPr>
        <w:jc w:val="both"/>
        <w:ind w:firstLine="193"/>
        <w:spacing w:after="0" w:line="248" w:lineRule="auto"/>
        <w:rPr>
          <w:sz w:val="20"/>
          <w:szCs w:val="20"/>
          <w:color w:val="auto"/>
        </w:rPr>
      </w:pPr>
      <w:r>
        <w:rPr>
          <w:rFonts w:ascii="Arial" w:cs="Arial" w:eastAsia="Arial" w:hAnsi="Arial"/>
          <w:sz w:val="16"/>
          <w:szCs w:val="16"/>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Delivery of our mission and strategy is focused on our four strategic pillars, being (i) Partnership &amp; Customer Focused (ii) Operational Excellence &amp; Quality (iii) Talent and People Development and (iv) Patient, Site and Data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863590" cy="3111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i w:val="1"/>
          <w:iCs w:val="1"/>
          <w:color w:val="auto"/>
        </w:rPr>
        <w:t>Partnership and Customer Focused</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continue to focus on expanding and deepening our partnerships with existing customers, while also developing new customer relationships.</w:t>
      </w:r>
    </w:p>
    <w:p>
      <w:pPr>
        <w:spacing w:after="0" w:line="2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229" w:lineRule="exact"/>
        <w:rPr>
          <w:sz w:val="20"/>
          <w:szCs w:val="20"/>
          <w:color w:val="auto"/>
        </w:rPr>
      </w:pPr>
    </w:p>
    <w:p>
      <w:pPr>
        <w:jc w:val="both"/>
        <w:ind w:firstLine="213"/>
        <w:spacing w:after="0" w:line="260" w:lineRule="auto"/>
        <w:rPr>
          <w:sz w:val="20"/>
          <w:szCs w:val="20"/>
          <w:color w:val="auto"/>
        </w:rPr>
      </w:pPr>
      <w:r>
        <w:rPr>
          <w:rFonts w:ascii="Arial" w:cs="Arial" w:eastAsia="Arial" w:hAnsi="Arial"/>
          <w:sz w:val="16"/>
          <w:szCs w:val="16"/>
          <w:color w:val="auto"/>
        </w:rPr>
        <w:t>To meet the evolving needs of both our existing and new clients we continue to enhance our capabilities through both organic service development and targeted acquisitions.</w:t>
      </w:r>
    </w:p>
    <w:p>
      <w:pPr>
        <w:spacing w:after="0" w:line="1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During the year, we continued to enhance our scientific and therapeutic expertise to support our customers in specific areas including oncology, orphan and rare diseases, CNS, dermatology, infectious disease and women's health. During 2020, ICON mobilized its vaccine resources to address the COVID-19 global threat, including its ability to conduct home-based trials to minimize infection. In addition, the Company is currently providing clinical monitoring and safety oversight on more than 100 COVID-19 trials for both the private and government sectors.</w:t>
      </w:r>
    </w:p>
    <w:p>
      <w:pPr>
        <w:spacing w:after="0" w:line="202" w:lineRule="exact"/>
        <w:rPr>
          <w:sz w:val="20"/>
          <w:szCs w:val="20"/>
          <w:color w:val="auto"/>
        </w:rPr>
      </w:pPr>
    </w:p>
    <w:p>
      <w:pPr>
        <w:jc w:val="both"/>
        <w:ind w:firstLine="234"/>
        <w:spacing w:after="0" w:line="253" w:lineRule="auto"/>
        <w:rPr>
          <w:sz w:val="20"/>
          <w:szCs w:val="20"/>
          <w:color w:val="auto"/>
        </w:rPr>
      </w:pPr>
      <w:r>
        <w:rPr>
          <w:rFonts w:ascii="Arial" w:cs="Arial" w:eastAsia="Arial" w:hAnsi="Arial"/>
          <w:sz w:val="16"/>
          <w:szCs w:val="16"/>
          <w:color w:val="auto"/>
        </w:rPr>
        <w:t>We continue to target growth in under-penetrated CRO market segments. Penetration within medical device companies has lagged that of bio-pharma firms but is beginning to accelerate. EU regulatory reform enacted in 2017 is a further catalyst to growth in this segment as it included stricter requirements to perform clinical evaluations and post-sale surveillance. In early 2020, the Group acquired MedPass which will further our value offering in this area.</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also invested significantly in our site and patient network, and consider our expertise and offering in this area as one of our strategic pillars effective from 2021.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Operational Excellence and Quality</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continue to enhance our operating processes and delivery models to gain competitive advantage.</w:t>
      </w:r>
    </w:p>
    <w:p>
      <w:pPr>
        <w:spacing w:after="0" w:line="24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Accellacare, Symphony and Oncacare site network alliances enhances our ability to enroll patients onto the clinical studies we perform. We have also developed strategic alliances with investigator site groups and health 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239" w:lineRule="exact"/>
        <w:rPr>
          <w:sz w:val="20"/>
          <w:szCs w:val="20"/>
          <w:color w:val="auto"/>
        </w:rPr>
      </w:pPr>
    </w:p>
    <w:p>
      <w:pPr>
        <w:jc w:val="both"/>
        <w:ind w:firstLine="271"/>
        <w:spacing w:after="0" w:line="251" w:lineRule="auto"/>
        <w:rPr>
          <w:sz w:val="20"/>
          <w:szCs w:val="20"/>
          <w:color w:val="auto"/>
        </w:rPr>
      </w:pPr>
      <w:r>
        <w:rPr>
          <w:rFonts w:ascii="Arial" w:cs="Arial" w:eastAsia="Arial" w:hAnsi="Arial"/>
          <w:sz w:val="16"/>
          <w:szCs w:val="16"/>
          <w:color w:val="auto"/>
        </w:rPr>
        <w:t>Our proprietary ICONIK platform, which integrates clinical data across multiple systems allows us to access clinical and real world data to enhance protocol design and profile match patients to trials. It also facilitates collection of real-time data during the trial process enabling better decision making and project execution. The platform uses data and evidence based research to develop solutions that engage investigators and patients more effectively to improve patient recruitment and retention.</w:t>
      </w:r>
    </w:p>
    <w:p>
      <w:pPr>
        <w:spacing w:after="0" w:line="229" w:lineRule="exact"/>
        <w:rPr>
          <w:sz w:val="20"/>
          <w:szCs w:val="20"/>
          <w:color w:val="auto"/>
        </w:rPr>
      </w:pPr>
    </w:p>
    <w:p>
      <w:pPr>
        <w:jc w:val="both"/>
        <w:ind w:firstLine="218"/>
        <w:spacing w:after="0" w:line="251" w:lineRule="auto"/>
        <w:rPr>
          <w:sz w:val="20"/>
          <w:szCs w:val="20"/>
          <w:color w:val="auto"/>
        </w:rPr>
      </w:pPr>
      <w:r>
        <w:rPr>
          <w:rFonts w:ascii="Arial" w:cs="Arial" w:eastAsia="Arial" w:hAnsi="Arial"/>
          <w:sz w:val="16"/>
          <w:szCs w:val="16"/>
          <w:color w:val="auto"/>
        </w:rPr>
        <w:t>ADDPLAN is part of the ICONIK Informatics Hub. The software provides industry leading statistical design, simulation and analysis for adaptive clinical trials, from Phase I to IV and helps our customers identify the most promising drug candidates earlier in the development process and in parallel test these across several therapeutic indications and with other drug combinations. ADDPLAN is used by regulatory agencies (FDA, EMA (Europe) and PMDA (Japan)), top pharmaceuticals and medical device companies, and academia.</w:t>
      </w:r>
    </w:p>
    <w:p>
      <w:pPr>
        <w:spacing w:after="0" w:line="229" w:lineRule="exact"/>
        <w:rPr>
          <w:sz w:val="20"/>
          <w:szCs w:val="20"/>
          <w:color w:val="auto"/>
        </w:rPr>
      </w:pPr>
    </w:p>
    <w:p>
      <w:pPr>
        <w:jc w:val="both"/>
        <w:ind w:firstLine="230"/>
        <w:spacing w:after="0" w:line="260" w:lineRule="auto"/>
        <w:rPr>
          <w:sz w:val="20"/>
          <w:szCs w:val="20"/>
          <w:color w:val="auto"/>
        </w:rPr>
      </w:pPr>
      <w:r>
        <w:rPr>
          <w:rFonts w:ascii="Arial" w:cs="Arial" w:eastAsia="Arial" w:hAnsi="Arial"/>
          <w:sz w:val="16"/>
          <w:szCs w:val="16"/>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222" w:lineRule="exact"/>
        <w:rPr>
          <w:sz w:val="20"/>
          <w:szCs w:val="20"/>
          <w:color w:val="auto"/>
        </w:rPr>
      </w:pPr>
    </w:p>
    <w:p>
      <w:pPr>
        <w:jc w:val="both"/>
        <w:ind w:right="20" w:firstLine="182"/>
        <w:spacing w:after="0" w:line="253" w:lineRule="auto"/>
        <w:rPr>
          <w:sz w:val="20"/>
          <w:szCs w:val="20"/>
          <w:color w:val="auto"/>
        </w:rPr>
      </w:pPr>
      <w:r>
        <w:rPr>
          <w:rFonts w:ascii="Arial" w:cs="Arial" w:eastAsia="Arial" w:hAnsi="Arial"/>
          <w:sz w:val="16"/>
          <w:szCs w:val="16"/>
          <w:color w:val="auto"/>
        </w:rPr>
        <w:t>We are focused on operational excellence across our support functions and we operate a global business support infrastructure across functions including finance, information technology, facilities, human resources and legal. This enables us to enhance the service levels across these support areas whilst driving down the costs of the service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i w:val="1"/>
          <w:iCs w:val="1"/>
          <w:color w:val="auto"/>
        </w:rPr>
        <w:t>Talent and People Development</w:t>
      </w:r>
    </w:p>
    <w:p>
      <w:pPr>
        <w:spacing w:after="0" w:line="264" w:lineRule="exact"/>
        <w:rPr>
          <w:sz w:val="20"/>
          <w:szCs w:val="20"/>
          <w:color w:val="auto"/>
        </w:rPr>
      </w:pPr>
    </w:p>
    <w:p>
      <w:pPr>
        <w:jc w:val="both"/>
        <w:ind w:firstLine="190"/>
        <w:spacing w:after="0" w:line="248" w:lineRule="auto"/>
        <w:rPr>
          <w:sz w:val="20"/>
          <w:szCs w:val="20"/>
          <w:color w:val="auto"/>
        </w:rPr>
      </w:pPr>
      <w:r>
        <w:rPr>
          <w:rFonts w:ascii="Arial" w:cs="Arial" w:eastAsia="Arial" w:hAnsi="Arial"/>
          <w:sz w:val="16"/>
          <w:szCs w:val="16"/>
          <w:color w:val="auto"/>
        </w:rPr>
        <w:t>At the core of our strategy is our people. Within ICON we have highly qualified and experienced teams, the majority of whom have third level educational qualifications. The need to develop and retain this expertise and talent within the organization is fundamental in enabling us to be the global CRO partner of choice for our customers. We have invested in creating an innovative learning environment delivered through ICON’s training and development group, who have formed an industry leading collaboration with University College Dublin. This enables ICON to provide customized management and development programs for global employees. These programs are focused on leadership development for those people management roles and specific technical training in competencies that are core to our business, such as project and program management and clinical research associate development. We continue to invest to refine and develop these programs.</w:t>
      </w:r>
    </w:p>
    <w:p>
      <w:pPr>
        <w:spacing w:after="0" w:line="235" w:lineRule="exact"/>
        <w:rPr>
          <w:sz w:val="20"/>
          <w:szCs w:val="20"/>
          <w:color w:val="auto"/>
        </w:rPr>
      </w:pPr>
    </w:p>
    <w:p>
      <w:pPr>
        <w:jc w:val="both"/>
        <w:ind w:right="20" w:firstLine="266"/>
        <w:spacing w:after="0" w:line="260" w:lineRule="auto"/>
        <w:rPr>
          <w:sz w:val="20"/>
          <w:szCs w:val="20"/>
          <w:color w:val="auto"/>
        </w:rPr>
      </w:pPr>
      <w:r>
        <w:rPr>
          <w:rFonts w:ascii="Arial" w:cs="Arial" w:eastAsia="Arial" w:hAnsi="Arial"/>
          <w:sz w:val="16"/>
          <w:szCs w:val="16"/>
          <w:color w:val="auto"/>
        </w:rPr>
        <w:t>Our learning and development programs are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222" w:lineRule="exact"/>
        <w:rPr>
          <w:sz w:val="20"/>
          <w:szCs w:val="20"/>
          <w:color w:val="auto"/>
        </w:rPr>
      </w:pPr>
    </w:p>
    <w:p>
      <w:pPr>
        <w:jc w:val="both"/>
        <w:ind w:right="20" w:firstLine="302"/>
        <w:spacing w:after="0" w:line="260"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Patient, Site and Data Solutions</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has a focused patient, site and data strategy, which is helping us to improve site identification, study placement and patient recruitment and retention. We continued to expand our site and patient recruitment capabilities during 2020 with the launch of Accellacare, a global clinical research network, enhancing on the acquisitions of MeDiNova and Symphony in 2019 along with the 2018 expansion of the PMG Research network through a partnership with the DuPage Medical Group.</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September 3, 2020, ICON announced that it was launching Accellacare, a global clinical research network offering patients easier and faster access to innovative treatments and offering customers the option to deploy decentralized trials. The site network includes previously acquired PMG Research in the US and MeDiNova Research in EMEA.</w:t>
      </w:r>
    </w:p>
    <w:p>
      <w:pPr>
        <w:spacing w:after="0" w:line="2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Accellacare’s patient centric approach focuses on enhancing the patient experience either on site, or at home as part of integrated operations with Symphony, the leading global provider of at-home care and nursing for clinical trials owned by ICON. This cohesive approach is leading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 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It is also proving investigators with innovative treatments for their patients with a quality-focused clinical research infrastructure supported by experienced professionals globally.</w:t>
      </w:r>
    </w:p>
    <w:p>
      <w:pPr>
        <w:spacing w:after="0" w:line="2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DuPage is the largest independent, multi-specialty physician group in the Chicagoland area with access to more than 700 physicians in over 50 clinical specialties ranging from primary to specialty care in areas such as cardiology and oncology. Through this agreement PMG assumed the research infrastructure at DuPage providing expanded investigator and patient access and bringing clinical research as a care option to the communities served.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Applied Innovation and Integrated Data</w:t>
      </w:r>
    </w:p>
    <w:p>
      <w:pPr>
        <w:spacing w:after="0" w:line="237" w:lineRule="exact"/>
        <w:rPr>
          <w:sz w:val="20"/>
          <w:szCs w:val="20"/>
          <w:color w:val="auto"/>
        </w:rPr>
      </w:pPr>
    </w:p>
    <w:p>
      <w:pPr>
        <w:jc w:val="both"/>
        <w:ind w:firstLine="196"/>
        <w:spacing w:after="0" w:line="260" w:lineRule="auto"/>
        <w:rPr>
          <w:sz w:val="20"/>
          <w:szCs w:val="20"/>
          <w:color w:val="auto"/>
        </w:rPr>
      </w:pPr>
      <w:r>
        <w:rPr>
          <w:rFonts w:ascii="Arial" w:cs="Arial" w:eastAsia="Arial" w:hAnsi="Arial"/>
          <w:sz w:val="16"/>
          <w:szCs w:val="16"/>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222" w:lineRule="exact"/>
        <w:rPr>
          <w:sz w:val="20"/>
          <w:szCs w:val="20"/>
          <w:color w:val="auto"/>
        </w:rPr>
      </w:pPr>
    </w:p>
    <w:p>
      <w:pPr>
        <w:jc w:val="both"/>
        <w:ind w:firstLine="186"/>
        <w:spacing w:after="0" w:line="251" w:lineRule="auto"/>
        <w:rPr>
          <w:sz w:val="20"/>
          <w:szCs w:val="20"/>
          <w:color w:val="auto"/>
        </w:rPr>
      </w:pPr>
      <w:r>
        <w:rPr>
          <w:rFonts w:ascii="Arial" w:cs="Arial" w:eastAsia="Arial" w:hAnsi="Arial"/>
          <w:sz w:val="16"/>
          <w:szCs w:val="16"/>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 in class technology providers but is also supported by a suite of differentiated ICON proprietary technologies.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TriNetX. During 2018, we signed an agreement with Intel to deploy the Intel®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267"/>
        <w:spacing w:after="0" w:line="249" w:lineRule="auto"/>
        <w:rPr>
          <w:sz w:val="20"/>
          <w:szCs w:val="20"/>
          <w:color w:val="auto"/>
        </w:rPr>
      </w:pPr>
      <w:r>
        <w:rPr>
          <w:rFonts w:ascii="Arial" w:cs="Arial" w:eastAsia="Arial" w:hAnsi="Arial"/>
          <w:sz w:val="16"/>
          <w:szCs w:val="16"/>
          <w:color w:val="auto"/>
        </w:rPr>
        <w:t>In addition to our ICONIK platform and ADDPLAN software (see details on page 25), Firecrest; ICON’s proprietary comprehensive site performance management system,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 We have continued our development in 2020 and Firecrest is now integrated into the ICON Safety Reporting Solution and provides a new Site Question Management Tool. For additional details on our information systems and applied innovation see the Information System section on page 39.</w:t>
      </w:r>
    </w:p>
    <w:p>
      <w:pPr>
        <w:spacing w:after="0" w:line="232" w:lineRule="exact"/>
        <w:rPr>
          <w:sz w:val="20"/>
          <w:szCs w:val="20"/>
          <w:color w:val="auto"/>
        </w:rPr>
      </w:pPr>
    </w:p>
    <w:p>
      <w:pPr>
        <w:jc w:val="both"/>
        <w:ind w:firstLine="193"/>
        <w:spacing w:after="0" w:line="260" w:lineRule="auto"/>
        <w:rPr>
          <w:sz w:val="20"/>
          <w:szCs w:val="20"/>
          <w:color w:val="auto"/>
        </w:rPr>
      </w:pPr>
      <w:r>
        <w:rPr>
          <w:rFonts w:ascii="Arial" w:cs="Arial" w:eastAsia="Arial" w:hAnsi="Arial"/>
          <w:sz w:val="16"/>
          <w:szCs w:val="16"/>
          <w:color w:val="auto"/>
        </w:rPr>
        <w:t>Alongside the application of these technology solutions we are also focused on innovation through the redesign and where appropriate the automation of current clinical trial processes.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Capabilities and Service Offerings</w:t>
      </w:r>
    </w:p>
    <w:p>
      <w:pPr>
        <w:spacing w:after="0" w:line="268" w:lineRule="exact"/>
        <w:rPr>
          <w:sz w:val="20"/>
          <w:szCs w:val="20"/>
          <w:color w:val="auto"/>
        </w:rPr>
      </w:pPr>
    </w:p>
    <w:p>
      <w:pPr>
        <w:jc w:val="both"/>
        <w:ind w:firstLine="180"/>
        <w:spacing w:after="0" w:line="260" w:lineRule="auto"/>
        <w:rPr>
          <w:sz w:val="20"/>
          <w:szCs w:val="20"/>
          <w:color w:val="auto"/>
        </w:rPr>
      </w:pPr>
      <w:r>
        <w:rPr>
          <w:rFonts w:ascii="Arial" w:cs="Arial" w:eastAsia="Arial" w:hAnsi="Arial"/>
          <w:sz w:val="16"/>
          <w:szCs w:val="16"/>
          <w:color w:val="auto"/>
        </w:rPr>
        <w:t>ICON is a global provider of drug development solutions and services to the pharmaceutical, biotechnology and medical device industries. These solutions span the Clinical Development lifecycle from compound selection to Phase I-IV clinical studies and post approval outcome research and market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-13970</wp:posOffset>
            </wp:positionV>
            <wp:extent cx="5846445" cy="1748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644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consulting solutions.</w:t>
      </w:r>
    </w:p>
    <w:p>
      <w:pPr>
        <w:spacing w:after="0" w:line="5" w:lineRule="exact"/>
        <w:rPr>
          <w:sz w:val="20"/>
          <w:szCs w:val="20"/>
          <w:color w:val="auto"/>
        </w:rPr>
      </w:pPr>
    </w:p>
    <w:p>
      <w:pPr>
        <w:jc w:val="both"/>
        <w:ind w:firstLine="199"/>
        <w:spacing w:after="0" w:line="253" w:lineRule="auto"/>
        <w:rPr>
          <w:sz w:val="20"/>
          <w:szCs w:val="20"/>
          <w:color w:val="auto"/>
        </w:rPr>
      </w:pPr>
      <w:r>
        <w:rPr>
          <w:rFonts w:ascii="Arial" w:cs="Arial" w:eastAsia="Arial" w:hAnsi="Arial"/>
          <w:sz w:val="16"/>
          <w:szCs w:val="16"/>
          <w:color w:val="auto"/>
        </w:rPr>
        <w:t>We offer a broad range of specialized services to assist pharmaceutical, biotechnology and medical device companies to bring new drugs and devices to market faster. Our services span the entire lifecycle of product development and can be adapted to suit local trials or large global programs. Specific clinical development services offered to biopharmaceutical and medical device companies include: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Product Development Planning</w:t>
            </w:r>
          </w:p>
        </w:tc>
        <w:tc>
          <w:tcPr>
            <w:tcW w:w="3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Strategic Consulting</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Study Protocol Preparation</w:t>
            </w:r>
          </w:p>
        </w:tc>
        <w:tc>
          <w:tcPr>
            <w:tcW w:w="0" w:type="dxa"/>
            <w:vAlign w:val="bottom"/>
          </w:tcPr>
          <w:p>
            <w:pPr>
              <w:spacing w:after="0"/>
              <w:rPr>
                <w:sz w:val="1"/>
                <w:szCs w:val="1"/>
                <w:color w:val="auto"/>
              </w:rPr>
            </w:pPr>
          </w:p>
        </w:tc>
      </w:tr>
      <w:tr>
        <w:trPr>
          <w:trHeight w:val="177"/>
        </w:trPr>
        <w:tc>
          <w:tcPr>
            <w:tcW w:w="3600" w:type="dxa"/>
            <w:vAlign w:val="bottom"/>
            <w:vMerge w:val="restart"/>
          </w:tcPr>
          <w:p>
            <w:pPr>
              <w:jc w:val="center"/>
              <w:ind w:left="59"/>
              <w:spacing w:after="0"/>
              <w:rPr>
                <w:sz w:val="20"/>
                <w:szCs w:val="20"/>
                <w:color w:val="auto"/>
              </w:rPr>
            </w:pPr>
            <w:r>
              <w:rPr>
                <w:rFonts w:ascii="Arial" w:cs="Arial" w:eastAsia="Arial" w:hAnsi="Arial"/>
                <w:sz w:val="16"/>
                <w:szCs w:val="16"/>
                <w:color w:val="auto"/>
              </w:rPr>
              <w:t>Clinical Pharmacology</w:t>
            </w:r>
          </w:p>
        </w:tc>
        <w:tc>
          <w:tcPr>
            <w:tcW w:w="3940" w:type="dxa"/>
            <w:vAlign w:val="bottom"/>
            <w:vMerge w:val="restart"/>
          </w:tcPr>
          <w:p>
            <w:pPr>
              <w:jc w:val="center"/>
              <w:spacing w:after="0"/>
              <w:rPr>
                <w:sz w:val="20"/>
                <w:szCs w:val="20"/>
                <w:color w:val="auto"/>
              </w:rPr>
            </w:pPr>
            <w:r>
              <w:rPr>
                <w:rFonts w:ascii="Arial" w:cs="Arial" w:eastAsia="Arial" w:hAnsi="Arial"/>
                <w:sz w:val="16"/>
                <w:szCs w:val="16"/>
                <w:color w:val="auto"/>
              </w:rPr>
              <w:t>Pharmacokinetic and Pharmacodynamic Analysis</w:t>
            </w:r>
          </w:p>
        </w:tc>
        <w:tc>
          <w:tcPr>
            <w:tcW w:w="3700" w:type="dxa"/>
            <w:vAlign w:val="bottom"/>
          </w:tcPr>
          <w:p>
            <w:pPr>
              <w:jc w:val="center"/>
              <w:spacing w:after="0" w:line="178" w:lineRule="exact"/>
              <w:rPr>
                <w:sz w:val="20"/>
                <w:szCs w:val="20"/>
                <w:color w:val="auto"/>
              </w:rPr>
            </w:pPr>
            <w:r>
              <w:rPr>
                <w:rFonts w:ascii="Arial" w:cs="Arial" w:eastAsia="Arial" w:hAnsi="Arial"/>
                <w:sz w:val="16"/>
                <w:szCs w:val="16"/>
                <w:color w:val="auto"/>
              </w:rPr>
              <w:t>Site Feasibility - EMR &amp; Data Analytics ICON</w:t>
            </w:r>
          </w:p>
        </w:tc>
        <w:tc>
          <w:tcPr>
            <w:tcW w:w="0" w:type="dxa"/>
            <w:vAlign w:val="bottom"/>
          </w:tcPr>
          <w:p>
            <w:pPr>
              <w:spacing w:after="0"/>
              <w:rPr>
                <w:sz w:val="1"/>
                <w:szCs w:val="1"/>
                <w:color w:val="auto"/>
              </w:rPr>
            </w:pPr>
          </w:p>
        </w:tc>
      </w:tr>
      <w:tr>
        <w:trPr>
          <w:trHeight w:val="114"/>
        </w:trPr>
        <w:tc>
          <w:tcPr>
            <w:tcW w:w="3600" w:type="dxa"/>
            <w:vAlign w:val="bottom"/>
            <w:vMerge w:val="continue"/>
          </w:tcPr>
          <w:p>
            <w:pPr>
              <w:spacing w:after="0"/>
              <w:rPr>
                <w:sz w:val="9"/>
                <w:szCs w:val="9"/>
                <w:color w:val="auto"/>
              </w:rPr>
            </w:pPr>
          </w:p>
        </w:tc>
        <w:tc>
          <w:tcPr>
            <w:tcW w:w="3940" w:type="dxa"/>
            <w:vAlign w:val="bottom"/>
            <w:vMerge w:val="continue"/>
          </w:tcPr>
          <w:p>
            <w:pPr>
              <w:spacing w:after="0"/>
              <w:rPr>
                <w:sz w:val="9"/>
                <w:szCs w:val="9"/>
                <w:color w:val="auto"/>
              </w:rPr>
            </w:pPr>
          </w:p>
        </w:tc>
        <w:tc>
          <w:tcPr>
            <w:tcW w:w="3700" w:type="dxa"/>
            <w:vAlign w:val="bottom"/>
            <w:vMerge w:val="restart"/>
          </w:tcPr>
          <w:p>
            <w:pPr>
              <w:jc w:val="center"/>
              <w:spacing w:after="0"/>
              <w:rPr>
                <w:sz w:val="20"/>
                <w:szCs w:val="20"/>
                <w:color w:val="auto"/>
              </w:rPr>
            </w:pPr>
            <w:r>
              <w:rPr>
                <w:rFonts w:ascii="Arial" w:cs="Arial" w:eastAsia="Arial" w:hAnsi="Arial"/>
                <w:sz w:val="16"/>
                <w:szCs w:val="16"/>
                <w:color w:val="auto"/>
              </w:rPr>
              <w:t>owned Site Networks</w:t>
            </w:r>
          </w:p>
        </w:tc>
        <w:tc>
          <w:tcPr>
            <w:tcW w:w="0" w:type="dxa"/>
            <w:vAlign w:val="bottom"/>
          </w:tcPr>
          <w:p>
            <w:pPr>
              <w:spacing w:after="0"/>
              <w:rPr>
                <w:sz w:val="1"/>
                <w:szCs w:val="1"/>
                <w:color w:val="auto"/>
              </w:rPr>
            </w:pPr>
          </w:p>
        </w:tc>
      </w:tr>
      <w:tr>
        <w:trPr>
          <w:trHeight w:val="84"/>
        </w:trPr>
        <w:tc>
          <w:tcPr>
            <w:tcW w:w="360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Patient Recruitment &amp; Retention</w:t>
            </w:r>
          </w:p>
        </w:tc>
        <w:tc>
          <w:tcPr>
            <w:tcW w:w="3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Digital Patient and Site Solutions - FIRECREST</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Project Management</w:t>
            </w:r>
          </w:p>
        </w:tc>
        <w:tc>
          <w:tcPr>
            <w:tcW w:w="0" w:type="dxa"/>
            <w:vAlign w:val="bottom"/>
          </w:tcPr>
          <w:p>
            <w:pPr>
              <w:spacing w:after="0"/>
              <w:rPr>
                <w:sz w:val="1"/>
                <w:szCs w:val="1"/>
                <w:color w:val="auto"/>
              </w:rPr>
            </w:pPr>
          </w:p>
        </w:tc>
      </w:tr>
      <w:tr>
        <w:trPr>
          <w:trHeight w:val="213"/>
        </w:trPr>
        <w:tc>
          <w:tcPr>
            <w:tcW w:w="3600" w:type="dxa"/>
            <w:vAlign w:val="bottom"/>
          </w:tcPr>
          <w:p>
            <w:pPr>
              <w:jc w:val="center"/>
              <w:ind w:left="59"/>
              <w:spacing w:after="0"/>
              <w:rPr>
                <w:sz w:val="20"/>
                <w:szCs w:val="20"/>
                <w:color w:val="auto"/>
              </w:rPr>
            </w:pPr>
            <w:r>
              <w:rPr>
                <w:rFonts w:ascii="Arial" w:cs="Arial" w:eastAsia="Arial" w:hAnsi="Arial"/>
                <w:sz w:val="16"/>
                <w:szCs w:val="16"/>
                <w:color w:val="auto"/>
              </w:rPr>
              <w:t>Clinical Operations /Monitoring</w:t>
            </w:r>
          </w:p>
        </w:tc>
        <w:tc>
          <w:tcPr>
            <w:tcW w:w="3940" w:type="dxa"/>
            <w:vAlign w:val="bottom"/>
          </w:tcPr>
          <w:p>
            <w:pPr>
              <w:jc w:val="center"/>
              <w:spacing w:after="0"/>
              <w:rPr>
                <w:sz w:val="20"/>
                <w:szCs w:val="20"/>
                <w:color w:val="auto"/>
              </w:rPr>
            </w:pPr>
            <w:r>
              <w:rPr>
                <w:rFonts w:ascii="Arial" w:cs="Arial" w:eastAsia="Arial" w:hAnsi="Arial"/>
                <w:sz w:val="16"/>
                <w:szCs w:val="16"/>
                <w:color w:val="auto"/>
              </w:rPr>
              <w:t>Patient Centric Monitoring</w:t>
            </w:r>
          </w:p>
        </w:tc>
        <w:tc>
          <w:tcPr>
            <w:tcW w:w="3700" w:type="dxa"/>
            <w:vAlign w:val="bottom"/>
          </w:tcPr>
          <w:p>
            <w:pPr>
              <w:jc w:val="center"/>
              <w:spacing w:after="0"/>
              <w:rPr>
                <w:sz w:val="20"/>
                <w:szCs w:val="20"/>
                <w:color w:val="auto"/>
              </w:rPr>
            </w:pPr>
            <w:r>
              <w:rPr>
                <w:rFonts w:ascii="Arial" w:cs="Arial" w:eastAsia="Arial" w:hAnsi="Arial"/>
                <w:sz w:val="16"/>
                <w:szCs w:val="16"/>
                <w:color w:val="auto"/>
              </w:rPr>
              <w:t>Data Management</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Adaptive Trials -ADDPLAN</w:t>
            </w:r>
          </w:p>
        </w:tc>
        <w:tc>
          <w:tcPr>
            <w:tcW w:w="3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Virtual Trials</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Medical Imaging</w:t>
            </w:r>
          </w:p>
        </w:tc>
        <w:tc>
          <w:tcPr>
            <w:tcW w:w="0" w:type="dxa"/>
            <w:vAlign w:val="bottom"/>
          </w:tcPr>
          <w:p>
            <w:pPr>
              <w:spacing w:after="0"/>
              <w:rPr>
                <w:sz w:val="1"/>
                <w:szCs w:val="1"/>
                <w:color w:val="auto"/>
              </w:rPr>
            </w:pPr>
          </w:p>
        </w:tc>
      </w:tr>
      <w:tr>
        <w:trPr>
          <w:trHeight w:val="213"/>
        </w:trPr>
        <w:tc>
          <w:tcPr>
            <w:tcW w:w="3600" w:type="dxa"/>
            <w:vAlign w:val="bottom"/>
          </w:tcPr>
          <w:p>
            <w:pPr>
              <w:jc w:val="center"/>
              <w:ind w:left="59"/>
              <w:spacing w:after="0"/>
              <w:rPr>
                <w:sz w:val="20"/>
                <w:szCs w:val="20"/>
                <w:color w:val="auto"/>
              </w:rPr>
            </w:pPr>
            <w:r>
              <w:rPr>
                <w:rFonts w:ascii="Arial" w:cs="Arial" w:eastAsia="Arial" w:hAnsi="Arial"/>
                <w:sz w:val="16"/>
                <w:szCs w:val="16"/>
                <w:color w:val="auto"/>
              </w:rPr>
              <w:t>Biostatistics</w:t>
            </w:r>
          </w:p>
        </w:tc>
        <w:tc>
          <w:tcPr>
            <w:tcW w:w="3940" w:type="dxa"/>
            <w:vAlign w:val="bottom"/>
          </w:tcPr>
          <w:p>
            <w:pPr>
              <w:jc w:val="center"/>
              <w:spacing w:after="0"/>
              <w:rPr>
                <w:sz w:val="20"/>
                <w:szCs w:val="20"/>
                <w:color w:val="auto"/>
              </w:rPr>
            </w:pPr>
            <w:r>
              <w:rPr>
                <w:rFonts w:ascii="Arial" w:cs="Arial" w:eastAsia="Arial" w:hAnsi="Arial"/>
                <w:sz w:val="16"/>
                <w:szCs w:val="16"/>
                <w:color w:val="auto"/>
              </w:rPr>
              <w:t>Medical Affairs</w:t>
            </w:r>
          </w:p>
        </w:tc>
        <w:tc>
          <w:tcPr>
            <w:tcW w:w="3700" w:type="dxa"/>
            <w:vAlign w:val="bottom"/>
          </w:tcPr>
          <w:p>
            <w:pPr>
              <w:jc w:val="center"/>
              <w:spacing w:after="0"/>
              <w:rPr>
                <w:sz w:val="20"/>
                <w:szCs w:val="20"/>
                <w:color w:val="auto"/>
              </w:rPr>
            </w:pPr>
            <w:r>
              <w:rPr>
                <w:rFonts w:ascii="Arial" w:cs="Arial" w:eastAsia="Arial" w:hAnsi="Arial"/>
                <w:sz w:val="16"/>
                <w:szCs w:val="16"/>
                <w:color w:val="auto"/>
              </w:rPr>
              <w:t>Pharmacovigilance</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Strategic Regulatory Services</w:t>
            </w:r>
          </w:p>
        </w:tc>
        <w:tc>
          <w:tcPr>
            <w:tcW w:w="3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Electronic Endpoint Adjudication</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Medical Writing and Publishing</w:t>
            </w:r>
          </w:p>
        </w:tc>
        <w:tc>
          <w:tcPr>
            <w:tcW w:w="0" w:type="dxa"/>
            <w:vAlign w:val="bottom"/>
          </w:tcPr>
          <w:p>
            <w:pPr>
              <w:spacing w:after="0"/>
              <w:rPr>
                <w:sz w:val="1"/>
                <w:szCs w:val="1"/>
                <w:color w:val="auto"/>
              </w:rPr>
            </w:pPr>
          </w:p>
        </w:tc>
      </w:tr>
      <w:tr>
        <w:trPr>
          <w:trHeight w:val="213"/>
        </w:trPr>
        <w:tc>
          <w:tcPr>
            <w:tcW w:w="3600" w:type="dxa"/>
            <w:vAlign w:val="bottom"/>
          </w:tcPr>
          <w:p>
            <w:pPr>
              <w:jc w:val="center"/>
              <w:ind w:left="59"/>
              <w:spacing w:after="0"/>
              <w:rPr>
                <w:sz w:val="20"/>
                <w:szCs w:val="20"/>
                <w:color w:val="auto"/>
              </w:rPr>
            </w:pPr>
            <w:r>
              <w:rPr>
                <w:rFonts w:ascii="Arial" w:cs="Arial" w:eastAsia="Arial" w:hAnsi="Arial"/>
                <w:sz w:val="16"/>
                <w:szCs w:val="16"/>
                <w:color w:val="auto"/>
              </w:rPr>
              <w:t>Interactive Response Technologies</w:t>
            </w:r>
          </w:p>
        </w:tc>
        <w:tc>
          <w:tcPr>
            <w:tcW w:w="3940" w:type="dxa"/>
            <w:vAlign w:val="bottom"/>
          </w:tcPr>
          <w:p>
            <w:pPr>
              <w:jc w:val="center"/>
              <w:spacing w:after="0"/>
              <w:rPr>
                <w:sz w:val="20"/>
                <w:szCs w:val="20"/>
                <w:color w:val="auto"/>
              </w:rPr>
            </w:pPr>
            <w:r>
              <w:rPr>
                <w:rFonts w:ascii="Arial" w:cs="Arial" w:eastAsia="Arial" w:hAnsi="Arial"/>
                <w:sz w:val="16"/>
                <w:szCs w:val="16"/>
                <w:color w:val="auto"/>
              </w:rPr>
              <w:t>Functional Solutions</w:t>
            </w:r>
          </w:p>
        </w:tc>
        <w:tc>
          <w:tcPr>
            <w:tcW w:w="3700" w:type="dxa"/>
            <w:vAlign w:val="bottom"/>
          </w:tcPr>
          <w:p>
            <w:pPr>
              <w:jc w:val="center"/>
              <w:spacing w:after="0"/>
              <w:rPr>
                <w:sz w:val="20"/>
                <w:szCs w:val="20"/>
                <w:color w:val="auto"/>
              </w:rPr>
            </w:pPr>
            <w:r>
              <w:rPr>
                <w:rFonts w:ascii="Arial" w:cs="Arial" w:eastAsia="Arial" w:hAnsi="Arial"/>
                <w:sz w:val="16"/>
                <w:szCs w:val="16"/>
                <w:color w:val="auto"/>
              </w:rPr>
              <w:t>Research Trials for US Government Agencies</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Strategic Resourcing Central Laboratories</w:t>
            </w:r>
          </w:p>
        </w:tc>
        <w:tc>
          <w:tcPr>
            <w:tcW w:w="3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Bioanalytical Laboratories</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Biomarket Development</w:t>
            </w:r>
          </w:p>
        </w:tc>
        <w:tc>
          <w:tcPr>
            <w:tcW w:w="0" w:type="dxa"/>
            <w:vAlign w:val="bottom"/>
          </w:tcPr>
          <w:p>
            <w:pPr>
              <w:spacing w:after="0"/>
              <w:rPr>
                <w:sz w:val="1"/>
                <w:szCs w:val="1"/>
                <w:color w:val="auto"/>
              </w:rPr>
            </w:pPr>
          </w:p>
        </w:tc>
      </w:tr>
      <w:tr>
        <w:trPr>
          <w:trHeight w:val="213"/>
        </w:trPr>
        <w:tc>
          <w:tcPr>
            <w:tcW w:w="3600" w:type="dxa"/>
            <w:vAlign w:val="bottom"/>
          </w:tcPr>
          <w:p>
            <w:pPr>
              <w:jc w:val="center"/>
              <w:ind w:left="59"/>
              <w:spacing w:after="0"/>
              <w:rPr>
                <w:sz w:val="20"/>
                <w:szCs w:val="20"/>
                <w:color w:val="auto"/>
              </w:rPr>
            </w:pPr>
            <w:r>
              <w:rPr>
                <w:rFonts w:ascii="Arial" w:cs="Arial" w:eastAsia="Arial" w:hAnsi="Arial"/>
                <w:sz w:val="16"/>
                <w:szCs w:val="16"/>
                <w:color w:val="auto"/>
              </w:rPr>
              <w:t>Real World Strategy &amp; Analytics</w:t>
            </w:r>
          </w:p>
        </w:tc>
        <w:tc>
          <w:tcPr>
            <w:tcW w:w="3940" w:type="dxa"/>
            <w:vAlign w:val="bottom"/>
          </w:tcPr>
          <w:p>
            <w:pPr>
              <w:jc w:val="center"/>
              <w:spacing w:after="0"/>
              <w:rPr>
                <w:sz w:val="20"/>
                <w:szCs w:val="20"/>
                <w:color w:val="auto"/>
              </w:rPr>
            </w:pPr>
            <w:r>
              <w:rPr>
                <w:rFonts w:ascii="Arial" w:cs="Arial" w:eastAsia="Arial" w:hAnsi="Arial"/>
                <w:sz w:val="16"/>
                <w:szCs w:val="16"/>
                <w:color w:val="auto"/>
              </w:rPr>
              <w:t>Real World &amp; Late Phase Research</w:t>
            </w:r>
          </w:p>
        </w:tc>
        <w:tc>
          <w:tcPr>
            <w:tcW w:w="3700" w:type="dxa"/>
            <w:vAlign w:val="bottom"/>
          </w:tcPr>
          <w:p>
            <w:pPr>
              <w:jc w:val="center"/>
              <w:spacing w:after="0"/>
              <w:rPr>
                <w:sz w:val="20"/>
                <w:szCs w:val="20"/>
                <w:color w:val="auto"/>
              </w:rPr>
            </w:pPr>
            <w:r>
              <w:rPr>
                <w:rFonts w:ascii="Arial" w:cs="Arial" w:eastAsia="Arial" w:hAnsi="Arial"/>
                <w:sz w:val="16"/>
                <w:szCs w:val="16"/>
                <w:color w:val="auto"/>
              </w:rPr>
              <w:t>Access, Commercialization &amp; Communications</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Patient Centered Sciences</w:t>
            </w:r>
          </w:p>
        </w:tc>
        <w:tc>
          <w:tcPr>
            <w:tcW w:w="3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Medical Device &amp; Diagnostics Research</w:t>
            </w:r>
          </w:p>
        </w:tc>
        <w:tc>
          <w:tcPr>
            <w:tcW w:w="3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6"/>
          <w:szCs w:val="16"/>
          <w:color w:val="auto"/>
        </w:rPr>
        <w:t>ICON offers a comprehensive service portfolio supporting all aspects of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6231890" cy="3514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3189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Overview</w:t>
      </w:r>
    </w:p>
    <w:p>
      <w:pPr>
        <w:spacing w:after="0" w:line="309"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16"/>
          <w:szCs w:val="16"/>
          <w:color w:val="auto"/>
        </w:rPr>
        <w:t>The CRO industry provides independent product development solutions and services for the pharmaceutical, biotechnology and medical device industries. Companies in these industries outsource services to CROs in order to manage the drug and device development process more efficiently and to bring both patent-protected bio-similars and medical devices to market faster to enhance patient well-being and maximize their return on investment.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18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medium sized CROs and a small number of large CROs with global operations. Although there are few barriers to entry for small, specialist service providers, we believe there are significant barriers to becoming a CRO with global capabilities and expertise. These barriers include the infrastructure and experience necessary to serve the global demands of clients (sponsors), the ability to recruit sites and patients globally, the simultaneous management of complex clinical trials, the ability to offer customers a variety of delivery models,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data and expertise to manage the development programs of pharmaceutical, biotechnology and medical device companies. We believe that large and medium sized pharmaceutical companies are selecting a limited number of CRO service providers with which they deal rather than utilizing many, in order to form strategic partnerships with global CROs in an effort to drive incremental development efficiencies and leverage the scientific and medical expertise. We believe that this trend will continue to concentrate the market share among the larger CROs with a track record of quality, speed, flexibility, responsiveness, global capabilities and access to patients and overall development experience and expertise.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Drug Development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Ethical Pharmaceuticals and Biologics - An Overview</w:t>
      </w:r>
    </w:p>
    <w:p>
      <w:pPr>
        <w:spacing w:after="0" w:line="268" w:lineRule="exact"/>
        <w:rPr>
          <w:sz w:val="20"/>
          <w:szCs w:val="20"/>
          <w:color w:val="auto"/>
        </w:rPr>
      </w:pPr>
    </w:p>
    <w:p>
      <w:pPr>
        <w:jc w:val="both"/>
        <w:ind w:firstLine="193"/>
        <w:spacing w:after="0" w:line="253" w:lineRule="auto"/>
        <w:rPr>
          <w:sz w:val="20"/>
          <w:szCs w:val="20"/>
          <w:color w:val="auto"/>
        </w:rPr>
      </w:pPr>
      <w:r>
        <w:rPr>
          <w:rFonts w:ascii="Arial" w:cs="Arial" w:eastAsia="Arial" w:hAnsi="Arial"/>
          <w:sz w:val="16"/>
          <w:szCs w:val="16"/>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30" w:name="page31"/>
    <w:bookmarkEnd w:id="30"/>
    <w:p>
      <w:pPr>
        <w:jc w:val="both"/>
        <w:ind w:firstLine="180"/>
        <w:spacing w:after="0" w:line="255" w:lineRule="auto"/>
        <w:rPr>
          <w:sz w:val="20"/>
          <w:szCs w:val="20"/>
          <w:color w:val="auto"/>
        </w:rPr>
      </w:pPr>
      <w:r>
        <w:rPr>
          <w:rFonts w:ascii="Arial" w:cs="Arial" w:eastAsia="Arial" w:hAnsi="Arial"/>
          <w:sz w:val="16"/>
          <w:szCs w:val="16"/>
          <w:b w:val="1"/>
          <w:bCs w:val="1"/>
          <w:i w:val="1"/>
          <w:iCs w:val="1"/>
          <w:color w:val="auto"/>
        </w:rPr>
        <w:t xml:space="preserve">Preclinical Research </w:t>
      </w:r>
      <w:r>
        <w:rPr>
          <w:rFonts w:ascii="Arial" w:cs="Arial" w:eastAsia="Arial" w:hAnsi="Arial"/>
          <w:sz w:val="16"/>
          <w:szCs w:val="16"/>
          <w:color w:val="auto"/>
        </w:rPr>
        <w:t>“In vitro” (test tube) and animal studies must be conducted in accordance with applicable regulations to establish the relative toxicity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drug over a wide range of doses and to detect any potential to cause birth defects, affect vital organs, cause mutations or cancer. Many of these tests must be performed before a new investigational therapy can progress into human studies. If results warrant continuing development of the drug or biologic, the sponsor or owner of the asset will file for an Investigational New Drug Application, or IND, which must be approved by the FDA before starting the proposed clinical trials. However, preclinical studies will continue to be conducted in parallel with the clinical trials, some of which can take up to 3 years to complete.</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Trials (approximately 3.5 to 7 years)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Exploratory Development</w:t>
      </w:r>
    </w:p>
    <w:p>
      <w:pPr>
        <w:spacing w:after="0" w:line="248" w:lineRule="exact"/>
        <w:rPr>
          <w:sz w:val="20"/>
          <w:szCs w:val="20"/>
          <w:color w:val="auto"/>
        </w:rPr>
      </w:pPr>
    </w:p>
    <w:p>
      <w:pPr>
        <w:jc w:val="both"/>
        <w:ind w:firstLine="274"/>
        <w:spacing w:after="0" w:line="256" w:lineRule="auto"/>
        <w:rPr>
          <w:sz w:val="20"/>
          <w:szCs w:val="20"/>
          <w:color w:val="auto"/>
        </w:rPr>
      </w:pPr>
      <w:r>
        <w:rPr>
          <w:rFonts w:ascii="Arial" w:cs="Arial" w:eastAsia="Arial" w:hAnsi="Arial"/>
          <w:sz w:val="16"/>
          <w:szCs w:val="16"/>
          <w:b w:val="1"/>
          <w:bCs w:val="1"/>
          <w:u w:val="single" w:color="auto"/>
          <w:color w:val="auto"/>
        </w:rPr>
        <w:t>Phase 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(approximately 6 months to 1 year)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basic safety and tolerability testing in small numbers of human subjects, initially in healthy</w:t>
      </w:r>
      <w:r>
        <w:rPr>
          <w:rFonts w:ascii="Arial" w:cs="Arial" w:eastAsia="Arial" w:hAnsi="Arial"/>
          <w:sz w:val="16"/>
          <w:szCs w:val="16"/>
          <w:b w:val="1"/>
          <w:bCs w:val="1"/>
          <w:color w:val="auto"/>
        </w:rPr>
        <w:t xml:space="preserve"> </w:t>
      </w:r>
      <w:r>
        <w:rPr>
          <w:rFonts w:ascii="Arial" w:cs="Arial" w:eastAsia="Arial" w:hAnsi="Arial"/>
          <w:sz w:val="16"/>
          <w:szCs w:val="16"/>
          <w:color w:val="auto"/>
        </w:rPr>
        <w:t>volunteers, and includes studies which may show the drug is having an effect on the body, if it is safe, how it is affected by other drugs, where it goes in the body, how long it remains active and how it is broken down by and eliminated from the body. After single and multiple dose studies have been conducted, the asset can progress into Phase II, however, Phase I studies will continue to be done to help support the development of the asset in new populations such as children or the elderly.</w:t>
      </w:r>
    </w:p>
    <w:p>
      <w:pPr>
        <w:spacing w:after="0" w:line="207" w:lineRule="exact"/>
        <w:rPr>
          <w:sz w:val="20"/>
          <w:szCs w:val="20"/>
          <w:color w:val="auto"/>
        </w:rPr>
      </w:pPr>
    </w:p>
    <w:p>
      <w:pPr>
        <w:jc w:val="both"/>
        <w:ind w:firstLine="207"/>
        <w:spacing w:after="0" w:line="266" w:lineRule="auto"/>
        <w:rPr>
          <w:sz w:val="20"/>
          <w:szCs w:val="20"/>
          <w:color w:val="auto"/>
        </w:rPr>
      </w:pPr>
      <w:r>
        <w:rPr>
          <w:rFonts w:ascii="Arial" w:cs="Arial" w:eastAsia="Arial" w:hAnsi="Arial"/>
          <w:sz w:val="16"/>
          <w:szCs w:val="16"/>
          <w:b w:val="1"/>
          <w:bCs w:val="1"/>
          <w:u w:val="single" w:color="auto"/>
          <w:color w:val="auto"/>
        </w:rPr>
        <w:t>Phase II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(approximately 2 to 3 years</w:t>
      </w:r>
      <w:r>
        <w:rPr>
          <w:rFonts w:ascii="Arial" w:cs="Arial" w:eastAsia="Arial" w:hAnsi="Arial"/>
          <w:sz w:val="16"/>
          <w:szCs w:val="16"/>
          <w:color w:val="auto"/>
        </w:rPr>
        <w:t>) includes basic efficacy and dose-range testing in a limited patient population (usually) 100 to 200 patients to help</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preliminary safety and evidence that the drug is likely to be effective in the target disease. If the Phase II results are satisfactory the sponsor may decide to proceed to Phase III studies.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Confirmatory Development</w:t>
      </w:r>
    </w:p>
    <w:p>
      <w:pPr>
        <w:spacing w:after="0" w:line="248" w:lineRule="exact"/>
        <w:rPr>
          <w:sz w:val="20"/>
          <w:szCs w:val="20"/>
          <w:color w:val="auto"/>
        </w:rPr>
      </w:pPr>
    </w:p>
    <w:p>
      <w:pPr>
        <w:jc w:val="both"/>
        <w:ind w:firstLine="274"/>
        <w:spacing w:after="0" w:line="286" w:lineRule="auto"/>
        <w:rPr>
          <w:sz w:val="20"/>
          <w:szCs w:val="20"/>
          <w:color w:val="auto"/>
        </w:rPr>
      </w:pPr>
      <w:r>
        <w:rPr>
          <w:rFonts w:ascii="Arial" w:cs="Arial" w:eastAsia="Arial" w:hAnsi="Arial"/>
          <w:sz w:val="16"/>
          <w:szCs w:val="16"/>
          <w:b w:val="1"/>
          <w:bCs w:val="1"/>
          <w:u w:val="single" w:color="auto"/>
          <w:color w:val="auto"/>
        </w:rPr>
        <w:t>Phase III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 years or greater)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efficacy and safety studies in several hundred to a few thousand patients at multiple investigational sites</w:t>
      </w:r>
      <w:r>
        <w:rPr>
          <w:rFonts w:ascii="Arial" w:cs="Arial" w:eastAsia="Arial" w:hAnsi="Arial"/>
          <w:sz w:val="16"/>
          <w:szCs w:val="16"/>
          <w:b w:val="1"/>
          <w:bCs w:val="1"/>
          <w:color w:val="auto"/>
        </w:rPr>
        <w:t xml:space="preserve"> </w:t>
      </w:r>
      <w:r>
        <w:rPr>
          <w:rFonts w:ascii="Arial" w:cs="Arial" w:eastAsia="Arial" w:hAnsi="Arial"/>
          <w:sz w:val="16"/>
          <w:szCs w:val="16"/>
          <w:color w:val="auto"/>
        </w:rPr>
        <w:t>(hospitals and clinics), often in multiple geographies.</w:t>
      </w:r>
    </w:p>
    <w:p>
      <w:pPr>
        <w:spacing w:after="0" w:line="203"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6"/>
          <w:szCs w:val="16"/>
          <w:color w:val="auto"/>
        </w:rPr>
        <w:t>FDA approval, through submission of an investigational new drug (IND) application, is necessary for all clinical trials, regardless of the phase of development. In addition, parallel independent committee approval is also required.</w:t>
      </w:r>
    </w:p>
    <w:p>
      <w:pPr>
        <w:spacing w:after="0" w:line="175" w:lineRule="exact"/>
        <w:rPr>
          <w:sz w:val="20"/>
          <w:szCs w:val="20"/>
          <w:color w:val="auto"/>
        </w:rPr>
      </w:pPr>
    </w:p>
    <w:p>
      <w:pPr>
        <w:jc w:val="both"/>
        <w:ind w:firstLine="192"/>
        <w:spacing w:after="0" w:line="266" w:lineRule="auto"/>
        <w:rPr>
          <w:sz w:val="20"/>
          <w:szCs w:val="20"/>
          <w:color w:val="auto"/>
        </w:rPr>
      </w:pPr>
      <w:r>
        <w:rPr>
          <w:rFonts w:ascii="Arial" w:cs="Arial" w:eastAsia="Arial" w:hAnsi="Arial"/>
          <w:sz w:val="16"/>
          <w:szCs w:val="16"/>
          <w:b w:val="1"/>
          <w:bCs w:val="1"/>
          <w:i w:val="1"/>
          <w:iCs w:val="1"/>
          <w:color w:val="auto"/>
        </w:rPr>
        <w:t xml:space="preserve">NDA or BLA Preparation and Submission. </w:t>
      </w:r>
      <w:r>
        <w:rPr>
          <w:rFonts w:ascii="Arial" w:cs="Arial" w:eastAsia="Arial" w:hAnsi="Arial"/>
          <w:sz w:val="16"/>
          <w:szCs w:val="16"/>
          <w:color w:val="auto"/>
        </w:rPr>
        <w:t>Upon completion of Phase III trials, the sponsor assembles the statistically analyzed data from all phases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into a single large submission along with the Chemistry, Manufacturing and Controls (CMC) and preclinical data and the proposed labeling into the New Drug Application (NDA), or Biologics License Application (BLA) and submits them for assessment and approval by the relevant division of the FDA.</w:t>
      </w:r>
    </w:p>
    <w:p>
      <w:pPr>
        <w:spacing w:after="0" w:line="198"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6"/>
          <w:szCs w:val="16"/>
          <w:b w:val="1"/>
          <w:bCs w:val="1"/>
          <w:i w:val="1"/>
          <w:iCs w:val="1"/>
          <w:color w:val="auto"/>
        </w:rPr>
        <w:t xml:space="preserve">Expanded Access Programs (EAPs). </w:t>
      </w:r>
      <w:r>
        <w:rPr>
          <w:rFonts w:ascii="Arial" w:cs="Arial" w:eastAsia="Arial" w:hAnsi="Arial"/>
          <w:sz w:val="16"/>
          <w:szCs w:val="16"/>
          <w:color w:val="auto"/>
        </w:rPr>
        <w:t>Sometimes a study drug may continue to be provided to subjects after completion of a clinical trial, also called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compassionate use. EAPs refer to the regulated use of a study drug outside of a clinical trial by patients with serious or life-threatening conditions where there is no alternative therapy available. In this context the FDA may allow the sponsor to make the study drug available to a larger number of patients for treatment use.</w:t>
      </w:r>
    </w:p>
    <w:p>
      <w:pPr>
        <w:spacing w:after="0" w:line="137" w:lineRule="exact"/>
        <w:rPr>
          <w:sz w:val="20"/>
          <w:szCs w:val="20"/>
          <w:color w:val="auto"/>
        </w:rPr>
      </w:pPr>
    </w:p>
    <w:p>
      <w:pPr>
        <w:jc w:val="both"/>
        <w:ind w:firstLine="209"/>
        <w:spacing w:after="0" w:line="255" w:lineRule="auto"/>
        <w:rPr>
          <w:sz w:val="20"/>
          <w:szCs w:val="20"/>
          <w:color w:val="auto"/>
        </w:rPr>
      </w:pPr>
      <w:r>
        <w:rPr>
          <w:rFonts w:ascii="Arial" w:cs="Arial" w:eastAsia="Arial" w:hAnsi="Arial"/>
          <w:sz w:val="16"/>
          <w:szCs w:val="16"/>
          <w:b w:val="1"/>
          <w:bCs w:val="1"/>
          <w:i w:val="1"/>
          <w:iCs w:val="1"/>
          <w:color w:val="auto"/>
        </w:rPr>
        <w:t xml:space="preserve">FDA Review and Approval of NDA or BLA (1 to 1.5 years). </w:t>
      </w:r>
      <w:r>
        <w:rPr>
          <w:rFonts w:ascii="Arial" w:cs="Arial" w:eastAsia="Arial" w:hAnsi="Arial"/>
          <w:sz w:val="16"/>
          <w:szCs w:val="16"/>
          <w:color w:val="auto"/>
        </w:rPr>
        <w:t>Data from all phases of development is scrutinized to confirm that the applicant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complied with all applicable regulations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 if the drug has not adequately shown to be effective or if there are safety concerns. Often a company will be required to conduct specific studies after the approval of a drug. These are called post approval commitments.</w:t>
      </w:r>
    </w:p>
    <w:p>
      <w:pPr>
        <w:spacing w:after="0" w:line="400" w:lineRule="exact"/>
        <w:rPr>
          <w:sz w:val="20"/>
          <w:szCs w:val="20"/>
          <w:color w:val="auto"/>
        </w:rPr>
      </w:pPr>
    </w:p>
    <w:p>
      <w:pPr>
        <w:jc w:val="both"/>
        <w:ind w:firstLine="180"/>
        <w:spacing w:after="0" w:line="253" w:lineRule="auto"/>
        <w:rPr>
          <w:sz w:val="20"/>
          <w:szCs w:val="20"/>
          <w:color w:val="auto"/>
        </w:rPr>
      </w:pPr>
      <w:r>
        <w:rPr>
          <w:rFonts w:ascii="Arial" w:cs="Arial" w:eastAsia="Arial" w:hAnsi="Arial"/>
          <w:sz w:val="16"/>
          <w:szCs w:val="16"/>
          <w:b w:val="1"/>
          <w:bCs w:val="1"/>
          <w:i w:val="1"/>
          <w:iCs w:val="1"/>
          <w:color w:val="auto"/>
        </w:rPr>
        <w:t xml:space="preserve">Post-Market Surveillance, Phase IV Studies and Health Outcomes. </w:t>
      </w:r>
      <w:r>
        <w:rPr>
          <w:rFonts w:ascii="Arial" w:cs="Arial" w:eastAsia="Arial" w:hAnsi="Arial"/>
          <w:sz w:val="16"/>
          <w:szCs w:val="16"/>
          <w:color w:val="auto"/>
        </w:rPr>
        <w:t>Once approved by the FDA, the FDA requires the drug or biologic license holder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collect and periodically report to the FDA additional safety (and perhaps efficacy) data on the drug or biologic for as long as the license holder markets it (post-market surveillance, including pharmacovigilance). If the product is marketed outside the U.S., these reports must include data from all countries in which the drug is sold. Additional studies (Phase III and Phase IV) may be undertaken after initial approval to find new uses for the drug, to test new dosage formulations, or to confirm selected non-clinical benefits, e.g., increased cost-effectiveness or improved quality of life. Additionally, the FDA and other regulatory agencies are requiring license holders of drugs or biologics to prepare risk management plans which are aimed at assessing areas of product risk and actively managing such risks throughout the product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Key Trends Affecting the CRO Industry</w:t>
      </w:r>
    </w:p>
    <w:p>
      <w:pPr>
        <w:spacing w:after="0" w:line="214" w:lineRule="exact"/>
        <w:rPr>
          <w:sz w:val="20"/>
          <w:szCs w:val="20"/>
          <w:color w:val="auto"/>
        </w:rPr>
      </w:pPr>
    </w:p>
    <w:p>
      <w:pPr>
        <w:jc w:val="both"/>
        <w:ind w:firstLine="249"/>
        <w:spacing w:after="0" w:line="251" w:lineRule="auto"/>
        <w:rPr>
          <w:sz w:val="20"/>
          <w:szCs w:val="20"/>
          <w:color w:val="auto"/>
        </w:rPr>
      </w:pPr>
      <w:r>
        <w:rPr>
          <w:rFonts w:ascii="Arial" w:cs="Arial" w:eastAsia="Arial" w:hAnsi="Arial"/>
          <w:sz w:val="16"/>
          <w:szCs w:val="16"/>
          <w:color w:val="auto"/>
        </w:rPr>
        <w:t>CROs derive substantially all of their revenue from the research and development expenditures of pharmaceutical, biotechnology and medical device companies. Based on investment analyst research and our internal estimates, we estimate that development expenditures outsourced by pharmaceutical and biotechnology companies worldwide in 2020 was approximately $53 billion. We believe that the following trends create further growth opportunities for global CROs, although there is no assurance that growth will materialize.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Continued Innovation and Development of Enabling Technologies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Innovation Driving New Drug Development Activity</w:t>
      </w:r>
    </w:p>
    <w:p>
      <w:pPr>
        <w:spacing w:after="0" w:line="264" w:lineRule="exact"/>
        <w:rPr>
          <w:sz w:val="20"/>
          <w:szCs w:val="20"/>
          <w:color w:val="auto"/>
        </w:rPr>
      </w:pPr>
    </w:p>
    <w:p>
      <w:pPr>
        <w:jc w:val="both"/>
        <w:ind w:firstLine="198"/>
        <w:spacing w:after="0" w:line="253" w:lineRule="auto"/>
        <w:rPr>
          <w:sz w:val="20"/>
          <w:szCs w:val="20"/>
          <w:color w:val="auto"/>
        </w:rPr>
      </w:pPr>
      <w:r>
        <w:rPr>
          <w:rFonts w:ascii="Arial" w:cs="Arial" w:eastAsia="Arial" w:hAnsi="Arial"/>
          <w:sz w:val="16"/>
          <w:szCs w:val="16"/>
          <w:color w:val="auto"/>
        </w:rPr>
        <w:t>New technologies together with improved understanding of disease pathology (driven by scientific advances such as the mapping of the human genome) have increased the number of new drug candidates being investigated in early development. This has greatly broadened the number of biological mechanisms being targeted which increasingly include rare/orphan diseases that currently have no effective treatments.</w:t>
      </w:r>
    </w:p>
    <w:p>
      <w:pPr>
        <w:spacing w:after="0" w:line="22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6"/>
          <w:szCs w:val="16"/>
          <w:color w:val="auto"/>
        </w:rPr>
        <w:t>These developments should lead to increased activity in both Preclinical and Phase I development and in turn lead to more treatments in Phase II-III clinical trials. As the number of trials that need to be performed increases and these trials become focused in indications where finding suitable patients is increasingly challenging, we believe that drug developers will increasingly rely on CROs to manage these trials to leverage their global expertise and to continue to focus their own competences on drug discovery and sales and marketing.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Technology Enabling More Efficient Development</w:t>
      </w:r>
    </w:p>
    <w:p>
      <w:pPr>
        <w:spacing w:after="0" w:line="264" w:lineRule="exact"/>
        <w:rPr>
          <w:sz w:val="20"/>
          <w:szCs w:val="20"/>
          <w:color w:val="auto"/>
        </w:rPr>
      </w:pPr>
    </w:p>
    <w:p>
      <w:pPr>
        <w:jc w:val="both"/>
        <w:ind w:firstLine="177"/>
        <w:spacing w:after="0" w:line="250" w:lineRule="auto"/>
        <w:rPr>
          <w:sz w:val="20"/>
          <w:szCs w:val="20"/>
          <w:color w:val="auto"/>
        </w:rPr>
      </w:pPr>
      <w:r>
        <w:rPr>
          <w:rFonts w:ascii="Arial" w:cs="Arial" w:eastAsia="Arial" w:hAnsi="Arial"/>
          <w:sz w:val="16"/>
          <w:szCs w:val="16"/>
          <w:color w:val="auto"/>
        </w:rPr>
        <w:t>Technology innovation is playing an increasingly important role in helping to support more efficient drug development. Leveraging differentiated technology solutions and data collaborations drives better execution in clinical trials. The larger CROs have been at the forefront of this innovation developing technology solutions that support the integration of trial data across multiple systems; data repositories that enable sponsors to get real time clinical insights on their drugs performance and tools that support better trial designs and operation. See further details on our new technologies and innovations in the section on information systems on page 39.</w:t>
      </w:r>
    </w:p>
    <w:p>
      <w:pPr>
        <w:spacing w:after="0" w:line="230" w:lineRule="exact"/>
        <w:rPr>
          <w:sz w:val="20"/>
          <w:szCs w:val="20"/>
          <w:color w:val="auto"/>
        </w:rPr>
      </w:pPr>
    </w:p>
    <w:p>
      <w:pPr>
        <w:jc w:val="both"/>
        <w:ind w:firstLine="322"/>
        <w:spacing w:after="0" w:line="250" w:lineRule="auto"/>
        <w:rPr>
          <w:sz w:val="20"/>
          <w:szCs w:val="20"/>
          <w:color w:val="auto"/>
        </w:rPr>
      </w:pPr>
      <w:r>
        <w:rPr>
          <w:rFonts w:ascii="Arial" w:cs="Arial" w:eastAsia="Arial" w:hAnsi="Arial"/>
          <w:sz w:val="16"/>
          <w:szCs w:val="16"/>
          <w:color w:val="auto"/>
        </w:rPr>
        <w:t>The emergence of M-health technologies that build on the global prevalence of mobile and digital technologies also have an influence on drug development. It is now possible to capture health data using mobile devices and wearables. This enables sponsors to gather new clinical and “real-world” patient insights and will also be used to enhance patient engagement and adherence throughout the development process. As these devices mature it will also be possible to complete more “virtual trials” based on remote monitoring of patients in their home environment which may drive further efficiencies in the trial process.</w:t>
      </w:r>
    </w:p>
    <w:p>
      <w:pPr>
        <w:spacing w:after="0" w:line="230" w:lineRule="exact"/>
        <w:rPr>
          <w:sz w:val="20"/>
          <w:szCs w:val="20"/>
          <w:color w:val="auto"/>
        </w:rPr>
      </w:pPr>
    </w:p>
    <w:p>
      <w:pPr>
        <w:jc w:val="both"/>
        <w:ind w:firstLine="214"/>
        <w:spacing w:after="0" w:line="251" w:lineRule="auto"/>
        <w:rPr>
          <w:sz w:val="20"/>
          <w:szCs w:val="20"/>
          <w:color w:val="auto"/>
        </w:rPr>
      </w:pPr>
      <w:r>
        <w:rPr>
          <w:rFonts w:ascii="Arial" w:cs="Arial" w:eastAsia="Arial" w:hAnsi="Arial"/>
          <w:sz w:val="16"/>
          <w:szCs w:val="16"/>
          <w:color w:val="auto"/>
        </w:rPr>
        <w:t>Social media is also becoming an important platform for life sciences companies to strengthen patient engagement programs and collaborate with other stakeholders in the health care system. Many sufferers of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the influence of technology on drug development grows, it broadens the potential number of partners that CROs will work with in the future.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Expanded Use of New Patient Data Sources</w:t>
      </w:r>
    </w:p>
    <w:p>
      <w:pPr>
        <w:spacing w:after="0" w:line="264" w:lineRule="exact"/>
        <w:rPr>
          <w:sz w:val="20"/>
          <w:szCs w:val="20"/>
          <w:color w:val="auto"/>
        </w:rPr>
      </w:pPr>
    </w:p>
    <w:p>
      <w:pPr>
        <w:jc w:val="both"/>
        <w:ind w:firstLine="221"/>
        <w:spacing w:after="0" w:line="250" w:lineRule="auto"/>
        <w:rPr>
          <w:sz w:val="20"/>
          <w:szCs w:val="20"/>
          <w:color w:val="auto"/>
        </w:rPr>
      </w:pPr>
      <w:r>
        <w:rPr>
          <w:rFonts w:ascii="Arial" w:cs="Arial" w:eastAsia="Arial" w:hAnsi="Arial"/>
          <w:sz w:val="16"/>
          <w:szCs w:val="16"/>
          <w:color w:val="auto"/>
        </w:rPr>
        <w:t>Pharmaceutical companies are looking to access a variety of new health 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to the clinical trial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auto"/>
        </w:rPr>
        <w:t>Improving Productivity and Operating Efficiencies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Continuing Focus on Productivity within Research and Development Programs</w:t>
      </w:r>
    </w:p>
    <w:p>
      <w:pPr>
        <w:spacing w:after="0" w:line="264" w:lineRule="exact"/>
        <w:rPr>
          <w:sz w:val="20"/>
          <w:szCs w:val="20"/>
          <w:color w:val="auto"/>
        </w:rPr>
      </w:pPr>
    </w:p>
    <w:p>
      <w:pPr>
        <w:jc w:val="both"/>
        <w:ind w:firstLine="191"/>
        <w:spacing w:after="0" w:line="237" w:lineRule="auto"/>
        <w:rPr>
          <w:sz w:val="20"/>
          <w:szCs w:val="20"/>
          <w:color w:val="auto"/>
        </w:rPr>
      </w:pPr>
      <w:r>
        <w:rPr>
          <w:rFonts w:ascii="Arial" w:cs="Arial" w:eastAsia="Arial" w:hAnsi="Arial"/>
          <w:sz w:val="16"/>
          <w:szCs w:val="16"/>
          <w:color w:val="auto"/>
        </w:rPr>
        <w:t>Pharmaceutical and biotechnology companies continue to seek ways to improve the productivity of their development efforts and increasingly see the use of CROs as a strategic component of these efforts. They are leveraging the expertise with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Phase I-III. In parallel, regulatory initiatives such as the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Century Cures Act and the emergence of clinical trial techniques such as adaptive trial design and risk based clinical trial monitoring are enhancing development, allowing effective treatments to get to patients quicker at reduced development costs.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Containment Pressures</w:t>
      </w:r>
    </w:p>
    <w:p>
      <w:pPr>
        <w:spacing w:after="0" w:line="264" w:lineRule="exact"/>
        <w:rPr>
          <w:sz w:val="20"/>
          <w:szCs w:val="20"/>
          <w:color w:val="auto"/>
        </w:rPr>
      </w:pPr>
    </w:p>
    <w:p>
      <w:pPr>
        <w:jc w:val="both"/>
        <w:ind w:firstLine="238"/>
        <w:spacing w:after="0" w:line="248"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Global trends influencing the CRO industry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Pressure to Accelerate Time to Markets and Globalization of the Marketplace</w:t>
      </w:r>
    </w:p>
    <w:p>
      <w:pPr>
        <w:spacing w:after="0" w:line="264" w:lineRule="exact"/>
        <w:rPr>
          <w:sz w:val="20"/>
          <w:szCs w:val="20"/>
          <w:color w:val="auto"/>
        </w:rPr>
      </w:pPr>
    </w:p>
    <w:p>
      <w:pPr>
        <w:jc w:val="both"/>
        <w:ind w:firstLine="206"/>
        <w:spacing w:after="0" w:line="248"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Growth within the Biotechnology Sector</w:t>
      </w:r>
    </w:p>
    <w:p>
      <w:pPr>
        <w:spacing w:after="0" w:line="264"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6"/>
          <w:szCs w:val="16"/>
          <w:color w:val="auto"/>
        </w:rPr>
        <w:t>The nature of the drugs being developed is continuing to change. Biotechnology is enabling the development of targeted drugs with diagnostic tests to determine whether a drug will be effective given a patient’s genomic profile. An increasing proportion of research and development expenditure is being spent on the development of highly technical drugs to treat very specific therapeutic areas in areas of unmet medical need. Much of this discovery expertise is found in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 providing they have the necessary funding.</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Increasing Number of Large Long-Term Studies and an Increasing Requirement to Show the Economic Value of New Treatments</w:t>
      </w:r>
    </w:p>
    <w:p>
      <w:pPr>
        <w:spacing w:after="0" w:line="264" w:lineRule="exact"/>
        <w:rPr>
          <w:sz w:val="20"/>
          <w:szCs w:val="20"/>
          <w:color w:val="auto"/>
        </w:rPr>
      </w:pPr>
    </w:p>
    <w:p>
      <w:pPr>
        <w:jc w:val="both"/>
        <w:ind w:firstLine="214"/>
        <w:spacing w:after="0" w:line="249" w:lineRule="auto"/>
        <w:rPr>
          <w:sz w:val="20"/>
          <w:szCs w:val="20"/>
          <w:color w:val="auto"/>
        </w:rPr>
      </w:pPr>
      <w:r>
        <w:rPr>
          <w:rFonts w:ascii="Arial" w:cs="Arial" w:eastAsia="Arial" w:hAnsi="Arial"/>
          <w:sz w:val="16"/>
          <w:szCs w:val="16"/>
          <w:color w:val="auto"/>
        </w:rPr>
        <w:t>We believe that to establish competitive claims and demonstrate product value,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jc w:val="both"/>
        <w:ind w:firstLine="223"/>
        <w:spacing w:after="0" w:line="251" w:lineRule="auto"/>
        <w:rPr>
          <w:sz w:val="20"/>
          <w:szCs w:val="20"/>
          <w:color w:val="auto"/>
        </w:rPr>
      </w:pPr>
      <w:r>
        <w:rPr>
          <w:rFonts w:ascii="Arial" w:cs="Arial" w:eastAsia="Arial" w:hAnsi="Arial"/>
          <w:sz w:val="16"/>
          <w:szCs w:val="16"/>
          <w:color w:val="auto"/>
        </w:rPr>
        <w:t>The rising costs of health care in most developed countries also means there is an increasing pressure to show that new medical treatments are more cost effective and deliver better patient outcomes than existing treatment regimes. This also means that sponsors need to increasingly generate outcomes data both as part of the product approval submissions and as part of post-approval research programs. This is creating opportunities for CROs who can offer support in developing and interpreting this data.</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Focus on Long-term Product Safety</w:t>
      </w:r>
    </w:p>
    <w:p>
      <w:pPr>
        <w:spacing w:after="0" w:line="264" w:lineRule="exact"/>
        <w:rPr>
          <w:sz w:val="20"/>
          <w:szCs w:val="20"/>
          <w:color w:val="auto"/>
        </w:rPr>
      </w:pPr>
    </w:p>
    <w:p>
      <w:pPr>
        <w:jc w:val="both"/>
        <w:ind w:firstLine="223"/>
        <w:spacing w:after="0" w:line="249" w:lineRule="auto"/>
        <w:rPr>
          <w:sz w:val="20"/>
          <w:szCs w:val="20"/>
          <w:color w:val="auto"/>
        </w:rPr>
      </w:pPr>
      <w:r>
        <w:rPr>
          <w:rFonts w:ascii="Arial" w:cs="Arial" w:eastAsia="Arial" w:hAnsi="Arial"/>
          <w:sz w:val="16"/>
          <w:szCs w:val="16"/>
          <w:color w:val="auto"/>
        </w:rPr>
        <w:t>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Increasing Regulatory Demands</w:t>
      </w:r>
    </w:p>
    <w:p>
      <w:pPr>
        <w:spacing w:after="0" w:line="264"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6"/>
          <w:szCs w:val="16"/>
          <w:color w:val="auto"/>
        </w:rPr>
        <w:t>Regulatory agencies are requiring more data to support new drug approvals and are seeking more evidence that new drugs are safer and more effective than existing products. As a result, the complexity of clinical trials, the number of procedures required to be conducted in these trials and the size of regulatory submissions are driving the demand for services provided by CROs.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 and Environmental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Social and Governance</w:t>
      </w:r>
    </w:p>
    <w:p>
      <w:pPr>
        <w:spacing w:after="0" w:line="264" w:lineRule="exact"/>
        <w:rPr>
          <w:sz w:val="20"/>
          <w:szCs w:val="20"/>
          <w:color w:val="auto"/>
        </w:rPr>
      </w:pPr>
    </w:p>
    <w:p>
      <w:pPr>
        <w:jc w:val="both"/>
        <w:ind w:firstLine="271"/>
        <w:spacing w:after="0" w:line="250" w:lineRule="auto"/>
        <w:rPr>
          <w:sz w:val="20"/>
          <w:szCs w:val="20"/>
          <w:color w:val="auto"/>
        </w:rPr>
      </w:pPr>
      <w:r>
        <w:rPr>
          <w:rFonts w:ascii="Arial" w:cs="Arial" w:eastAsia="Arial" w:hAnsi="Arial"/>
          <w:sz w:val="16"/>
          <w:szCs w:val="16"/>
          <w:color w:val="auto"/>
        </w:rPr>
        <w:t>Our mission is to help our customers accelerate the development of drugs and devices that save lives and improve the quality of life. We help our customers deliver life-changing medicines by being innovative in our solutions, collaborative in how we work as teams, accountable for the results we achieve and committed to doing the right thing for our customers and the patients they serve. Our business model is described in the sections preceding this. Our core values underpin our mission and drive a culture and mind-set of ownership at ICON. “Own it @ ICON” is how we define our culture. Our culture of ownership connects us to the core values at the heart of the Company and helps us differentiate how we work with our customers to achieve their goals.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values are:</w:t>
      </w:r>
    </w:p>
    <w:p>
      <w:pPr>
        <w:spacing w:after="0" w:line="5"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Accountability &amp; delivery: We take pride in what we do</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Collaboration: We are one team</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Partnership: We partner with our customers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Integrity: We do the right 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156210</wp:posOffset>
            </wp:positionV>
            <wp:extent cx="4817745" cy="2468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1774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4" w:name="page35"/>
    <w:bookmarkEnd w:id="34"/>
    <w:p>
      <w:pPr>
        <w:jc w:val="both"/>
        <w:ind w:firstLine="221"/>
        <w:spacing w:after="0" w:line="251" w:lineRule="auto"/>
        <w:rPr>
          <w:sz w:val="20"/>
          <w:szCs w:val="20"/>
          <w:color w:val="auto"/>
        </w:rPr>
      </w:pPr>
      <w:r>
        <w:rPr>
          <w:rFonts w:ascii="Arial" w:cs="Arial" w:eastAsia="Arial" w:hAnsi="Arial"/>
          <w:sz w:val="16"/>
          <w:szCs w:val="16"/>
          <w:color w:val="auto"/>
        </w:rPr>
        <w:t>Our values underpin how we work together to deliver on our mission to help our customers accelerate the development of drugs and devices that save lives and improve the quality of life. These values and our Code of Ethical Conduct, which underpins these values, form the core of what we do and how we do it. It applies to all officers, directors, employees, consultants and agents globally. All employees and temporary workers are mandated to complete global ethics training.</w:t>
      </w:r>
    </w:p>
    <w:p>
      <w:pPr>
        <w:spacing w:after="0" w:line="229"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During 2019, ICON established an Environmental, Social, and Governance Committee ('ESG Committee') in order to bring together all of our existing initiatives and efforts under one umbrella to ensure consistency, enhance monitoring, reveal areas for development and facilitate reporting to the Board. The ESG Committee is chaired by the Chief Administrative Officer ('CAO'), who is responsible for reporting to the ICON executive leadership team and Board on ESG matters.</w:t>
      </w:r>
    </w:p>
    <w:p>
      <w:pPr>
        <w:spacing w:after="0" w:line="229" w:lineRule="exact"/>
        <w:rPr>
          <w:sz w:val="20"/>
          <w:szCs w:val="20"/>
          <w:color w:val="auto"/>
        </w:rPr>
      </w:pPr>
    </w:p>
    <w:p>
      <w:pPr>
        <w:jc w:val="both"/>
        <w:ind w:firstLine="272"/>
        <w:spacing w:after="0" w:line="251" w:lineRule="auto"/>
        <w:rPr>
          <w:sz w:val="20"/>
          <w:szCs w:val="20"/>
          <w:color w:val="auto"/>
        </w:rPr>
      </w:pPr>
      <w:r>
        <w:rPr>
          <w:rFonts w:ascii="Arial" w:cs="Arial" w:eastAsia="Arial" w:hAnsi="Arial"/>
          <w:sz w:val="16"/>
          <w:szCs w:val="16"/>
          <w:color w:val="auto"/>
        </w:rPr>
        <w:t>The ESG Committee is focused on developing our strategy and initiatives relating to the environment, social matters, health and safety, community engagement, corporate governance, sustainability and other public policy matters relevant to the Company. The ESG Committee is a cross-functional management committee of the Company with representation from facilities, corporate communications, finance, legal, investor relations and human resources departments. The Committee assists and supports executive management and the Board of the Company in:</w:t>
      </w:r>
    </w:p>
    <w:p>
      <w:pPr>
        <w:spacing w:after="0" w:line="229"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determining and setting the strategy relating to ESG matters;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developing, implementing and monitoring initiatives and policies based on that strategy;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communicating our strategies and initiatives and their results.</w:t>
      </w:r>
    </w:p>
    <w:p>
      <w:pPr>
        <w:spacing w:after="0" w:line="235" w:lineRule="exact"/>
        <w:rPr>
          <w:sz w:val="20"/>
          <w:szCs w:val="20"/>
          <w:color w:val="auto"/>
        </w:rPr>
      </w:pPr>
    </w:p>
    <w:p>
      <w:pPr>
        <w:jc w:val="both"/>
        <w:ind w:firstLine="188"/>
        <w:spacing w:after="0" w:line="233" w:lineRule="auto"/>
        <w:rPr>
          <w:sz w:val="20"/>
          <w:szCs w:val="20"/>
          <w:color w:val="auto"/>
        </w:rPr>
      </w:pPr>
      <w:r>
        <w:rPr>
          <w:rFonts w:ascii="Arial" w:cs="Arial" w:eastAsia="Arial" w:hAnsi="Arial"/>
          <w:sz w:val="16"/>
          <w:szCs w:val="16"/>
          <w:color w:val="auto"/>
        </w:rPr>
        <w:t>We are committed to building and developing our ESG strategies and reporting. During 2020 we published our first annual ESG Report which provides an overview of our ESG priorities and commitments, summarizes our current policies in respect to ESG matters and provides an update as to our actions and results during 2019. We also launched our ESG page on the ICON website and have an internal ESG page on our MyICON portal to engage with our employees and provide information and updates relating to ESG matters and our commitment to sustainability. The ESG page is available at https://www.iconplc.com/about/esg/.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Management</w:t>
      </w:r>
    </w:p>
    <w:p>
      <w:pPr>
        <w:spacing w:after="0" w:line="25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ICON is committed to delivering excellence and care to the communities in which we operate. This includes conducting our business in an environmentally sustainable manner as set out in our Global Code of Ethical Conduct. We achieve this by managing and improving our environmental performance across all business activities. Our employees, directors, officers, contractors, and temporary workers are expected to support our sustainability objectives.</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a Clinical Research Organization, we recognize the impact of how we operate on the environment in the following key areas:</w:t>
      </w:r>
    </w:p>
    <w:p>
      <w:pPr>
        <w:spacing w:after="0" w:line="18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energy use;</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waste generation;</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emissions to air/water;</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water use;</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transport; and</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procurement.</w:t>
      </w:r>
    </w:p>
    <w:p>
      <w:pPr>
        <w:spacing w:after="0" w:line="200" w:lineRule="exact"/>
        <w:rPr>
          <w:sz w:val="20"/>
          <w:szCs w:val="20"/>
          <w:color w:val="auto"/>
        </w:rPr>
      </w:pPr>
    </w:p>
    <w:p>
      <w:pPr>
        <w:spacing w:after="0" w:line="237" w:lineRule="exact"/>
        <w:rPr>
          <w:sz w:val="20"/>
          <w:szCs w:val="20"/>
          <w:color w:val="auto"/>
        </w:rPr>
      </w:pPr>
    </w:p>
    <w:p>
      <w:pPr>
        <w:jc w:val="both"/>
        <w:ind w:firstLine="207"/>
        <w:spacing w:after="0" w:line="250" w:lineRule="auto"/>
        <w:rPr>
          <w:sz w:val="20"/>
          <w:szCs w:val="20"/>
          <w:color w:val="auto"/>
        </w:rPr>
      </w:pPr>
      <w:r>
        <w:rPr>
          <w:rFonts w:ascii="Arial" w:cs="Arial" w:eastAsia="Arial" w:hAnsi="Arial"/>
          <w:sz w:val="16"/>
          <w:szCs w:val="16"/>
          <w:color w:val="auto"/>
        </w:rPr>
        <w:t>Our Global Environmental Management Policy and Environmental Management Plan were approved during 2018. Our Environmental Management Plan and Performance Statement sets out the environmental actions and targets to ensure compliance with our Global Environmental Management Policy and to engage our employees in supporting our objectives for continued improvement. Our Environmental Performance Statement is available to employees and to our customers. The plan sets out our commitment to conducting our business in an environmentally sustainable manner by managing and improving our environmental performance across all business activities. Our plan sets out our initiatives and goals.</w:t>
      </w:r>
    </w:p>
    <w:p>
      <w:pPr>
        <w:spacing w:after="0" w:line="162" w:lineRule="exact"/>
        <w:rPr>
          <w:sz w:val="20"/>
          <w:szCs w:val="20"/>
          <w:color w:val="auto"/>
        </w:rPr>
      </w:pPr>
    </w:p>
    <w:p>
      <w:pPr>
        <w:jc w:val="both"/>
        <w:ind w:right="20" w:firstLine="309"/>
        <w:spacing w:after="0" w:line="253" w:lineRule="auto"/>
        <w:rPr>
          <w:sz w:val="20"/>
          <w:szCs w:val="20"/>
          <w:color w:val="auto"/>
        </w:rPr>
      </w:pPr>
      <w:r>
        <w:rPr>
          <w:rFonts w:ascii="Arial" w:cs="Arial" w:eastAsia="Arial" w:hAnsi="Arial"/>
          <w:sz w:val="16"/>
          <w:szCs w:val="16"/>
          <w:color w:val="auto"/>
        </w:rPr>
        <w:t>Responsibilities for the implementation of our objectives and co-ordination of our sustainability efforts and reporting on progress to the executive leadership is led by our facilities team, reporting to the CAO, with input from our procurement, legal, corporate communications and human resources teams through our ESG Committee.</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have more than 80 facilities globally which operate in office buildings, where the primary energy consumption is electricity for light and heating, ventilation and air conditioning systems. Our central laboratories also operate laboratory instruments. Where we have direct control over the buildings we operate, we ensure energy efficient lighting solutions. Where we do not have direct control over our facilities, we work with our landlords and other stakeholders to encourage energy efficient lighting solutions. We also work hard to extend the useful life of our equipment and ensure appropriate disposal of assets when decommissioned. In 2019 our electricity consumption was 24,006 MWh. which was sourced 19% from renewables.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5" w:name="page36"/>
    <w:bookmarkEnd w:id="35"/>
    <w:p>
      <w:pPr>
        <w:jc w:val="both"/>
        <w:ind w:firstLine="648"/>
        <w:spacing w:after="0" w:line="253" w:lineRule="auto"/>
        <w:rPr>
          <w:sz w:val="20"/>
          <w:szCs w:val="20"/>
          <w:color w:val="auto"/>
        </w:rPr>
      </w:pPr>
      <w:r>
        <w:rPr>
          <w:rFonts w:ascii="Arial" w:cs="Arial" w:eastAsia="Arial" w:hAnsi="Arial"/>
          <w:sz w:val="16"/>
          <w:szCs w:val="16"/>
          <w:color w:val="auto"/>
        </w:rPr>
        <w:t>In response to the global pandemic, many of our facilities were closed or operated at reduced capacity for extended periods during 2020. During this time we continued to focus on managing our electricity consumption and sourcing energy from renewables, ensuring appropriate waste management activities and monitoring our carbon footprint. As offices re-open, we renew our efforts in each of these areas.</w:t>
      </w:r>
    </w:p>
    <w:p>
      <w:pPr>
        <w:spacing w:after="0" w:line="161" w:lineRule="exact"/>
        <w:rPr>
          <w:sz w:val="20"/>
          <w:szCs w:val="20"/>
          <w:color w:val="auto"/>
        </w:rPr>
      </w:pPr>
    </w:p>
    <w:p>
      <w:pPr>
        <w:jc w:val="both"/>
        <w:ind w:firstLine="207"/>
        <w:spacing w:after="0" w:line="250" w:lineRule="auto"/>
        <w:rPr>
          <w:sz w:val="20"/>
          <w:szCs w:val="20"/>
          <w:color w:val="auto"/>
        </w:rPr>
      </w:pPr>
      <w:r>
        <w:rPr>
          <w:rFonts w:ascii="Arial" w:cs="Arial" w:eastAsia="Arial" w:hAnsi="Arial"/>
          <w:sz w:val="16"/>
          <w:szCs w:val="16"/>
          <w:color w:val="auto"/>
        </w:rPr>
        <w:t>Waste reduction is one of the objectives of our Environmental Management Policy and we are committed to reducing waste through increasing recycling facilities and continue to engage in waste reduction activities including removing single use cups and using technologies such as secure printing, electronic documents and electronic signatures. Aged IT systems such as laptops and desktops, which are not broken but have exceeded their useful commercial life, are donated to various schools and charity organizations where possible. During 2018 we commenced the development of a global waste management system, which has been maintained during 2019 and 2020.</w:t>
      </w:r>
    </w:p>
    <w:p>
      <w:pPr>
        <w:spacing w:after="0" w:line="162" w:lineRule="exact"/>
        <w:rPr>
          <w:sz w:val="20"/>
          <w:szCs w:val="20"/>
          <w:color w:val="auto"/>
        </w:rPr>
      </w:pPr>
    </w:p>
    <w:p>
      <w:pPr>
        <w:jc w:val="both"/>
        <w:ind w:firstLine="217"/>
        <w:spacing w:after="0" w:line="233" w:lineRule="auto"/>
        <w:rPr>
          <w:sz w:val="20"/>
          <w:szCs w:val="20"/>
          <w:color w:val="auto"/>
        </w:rPr>
      </w:pPr>
      <w:r>
        <w:rPr>
          <w:rFonts w:ascii="Arial" w:cs="Arial" w:eastAsia="Arial" w:hAnsi="Arial"/>
          <w:sz w:val="16"/>
          <w:szCs w:val="16"/>
          <w:color w:val="auto"/>
        </w:rPr>
        <w:t>We track, calculate and report our carbon footprint and use the information available to continue to improve our processes and reduce our impact. As a result of our efforts, our gross Greenhouse Gas (GHG) emissions year on year have consistently decreased since 2016. We follow the GHG Protocol Corporate Standard, which is the global corporate accounting and reporting standard for calculating carbon emissions and we work with Carbon Trust to verify our emissions data. The Carbon Disclosure Project (CDP) provides a globally recognized disclosure system that enables companies to measure and manage their environmental impacts. For CDP 2020, (based on 2019 data) ICON disclosed emissions and environmental data which had been verified by Carbon Trust and based on the data submitted to the CDP, ICON was awarded a C score.</w:t>
      </w:r>
    </w:p>
    <w:p>
      <w:pPr>
        <w:spacing w:after="0" w:line="238" w:lineRule="exact"/>
        <w:rPr>
          <w:sz w:val="20"/>
          <w:szCs w:val="20"/>
          <w:color w:val="auto"/>
        </w:rPr>
      </w:pPr>
    </w:p>
    <w:p>
      <w:pPr>
        <w:jc w:val="both"/>
        <w:ind w:right="20" w:firstLine="232"/>
        <w:spacing w:after="0" w:line="260" w:lineRule="auto"/>
        <w:rPr>
          <w:sz w:val="20"/>
          <w:szCs w:val="20"/>
          <w:color w:val="auto"/>
        </w:rPr>
      </w:pPr>
      <w:r>
        <w:rPr>
          <w:rFonts w:ascii="Arial" w:cs="Arial" w:eastAsia="Arial" w:hAnsi="Arial"/>
          <w:sz w:val="16"/>
          <w:szCs w:val="16"/>
          <w:color w:val="auto"/>
        </w:rPr>
        <w:t>We also require our suppliers to abide by our Global Supplier Code of Conduct which includes a commitment to comply with applicable environmental laws and regulations, our expectations around waste management and sustainable use of resources.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Community Engagement</w:t>
      </w:r>
    </w:p>
    <w:p>
      <w:pPr>
        <w:spacing w:after="0" w:line="264" w:lineRule="exact"/>
        <w:rPr>
          <w:sz w:val="20"/>
          <w:szCs w:val="20"/>
          <w:color w:val="auto"/>
        </w:rPr>
      </w:pPr>
    </w:p>
    <w:p>
      <w:pPr>
        <w:jc w:val="both"/>
        <w:ind w:firstLine="204"/>
        <w:spacing w:after="0" w:line="253" w:lineRule="auto"/>
        <w:rPr>
          <w:sz w:val="20"/>
          <w:szCs w:val="20"/>
          <w:color w:val="auto"/>
        </w:rPr>
      </w:pPr>
      <w:r>
        <w:rPr>
          <w:rFonts w:ascii="Arial" w:cs="Arial" w:eastAsia="Arial" w:hAnsi="Arial"/>
          <w:sz w:val="16"/>
          <w:szCs w:val="16"/>
          <w:color w:val="auto"/>
        </w:rPr>
        <w:t>Our community engagement initiatives are aligned with ICON’s values. ICON supports a variety of community engagement programs. Our programs aim to make a positive difference to the communities in which we work and live and also recognize the enthusiasm and creativity of our people in their efforts to give something back to their communities.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community engagement activities are focused on two core areas:</w:t>
      </w:r>
    </w:p>
    <w:p>
      <w:pPr>
        <w:spacing w:after="0" w:line="181"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supporting education &amp; building closer ties between industry &amp; academia;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improving the welfare of people in the communities in which we live.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Supporting education and building closer ties between industry and academia</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ICON is a strong supporter of bridging the ties between industry and academia and inspiring the next generation of business and scientific leaders.</w:t>
      </w:r>
    </w:p>
    <w:p>
      <w:pPr>
        <w:spacing w:after="0" w:line="147" w:lineRule="exact"/>
        <w:rPr>
          <w:sz w:val="20"/>
          <w:szCs w:val="20"/>
          <w:color w:val="auto"/>
        </w:rPr>
      </w:pPr>
    </w:p>
    <w:p>
      <w:pPr>
        <w:ind w:left="660" w:hanging="328"/>
        <w:spacing w:after="0" w:line="241"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Benefactor through the Centuries of Trinity College Dublin. </w:t>
      </w:r>
      <w:r>
        <w:rPr>
          <w:rFonts w:ascii="Arial" w:cs="Arial" w:eastAsia="Arial" w:hAnsi="Arial"/>
          <w:sz w:val="16"/>
          <w:szCs w:val="16"/>
          <w:color w:val="auto"/>
        </w:rPr>
        <w:t>In February 2020, ICON was recognized as a benefactor of Trinity College Dublin in</w:t>
      </w:r>
      <w:r>
        <w:rPr>
          <w:rFonts w:ascii="Arial" w:cs="Arial" w:eastAsia="Arial" w:hAnsi="Arial"/>
          <w:sz w:val="16"/>
          <w:szCs w:val="16"/>
          <w:b w:val="1"/>
          <w:bCs w:val="1"/>
          <w:color w:val="auto"/>
        </w:rPr>
        <w:t xml:space="preserve"> </w:t>
      </w:r>
      <w:r>
        <w:rPr>
          <w:rFonts w:ascii="Arial" w:cs="Arial" w:eastAsia="Arial" w:hAnsi="Arial"/>
          <w:sz w:val="16"/>
          <w:szCs w:val="16"/>
          <w:color w:val="auto"/>
        </w:rPr>
        <w:t>recognition of its support for Trinity, which includes:</w:t>
      </w:r>
    </w:p>
    <w:p>
      <w:pPr>
        <w:spacing w:after="0" w:line="1" w:lineRule="exact"/>
        <w:rPr>
          <w:rFonts w:ascii="Arial" w:cs="Arial" w:eastAsia="Arial" w:hAnsi="Arial"/>
          <w:sz w:val="16"/>
          <w:szCs w:val="16"/>
          <w:color w:val="auto"/>
        </w:rPr>
      </w:pPr>
    </w:p>
    <w:p>
      <w:pPr>
        <w:jc w:val="both"/>
        <w:ind w:left="1300" w:hanging="320"/>
        <w:spacing w:after="0" w:line="228" w:lineRule="auto"/>
        <w:tabs>
          <w:tab w:leader="none" w:pos="1303"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creation of the ICON-McKeon Research Fellowship in Motor Neuron Disease ('MND') in recognition of Mr. Declan McKeon, former Board member, acting Chairman, Lead Independent Director and Chair of the ICON Audit committee. The ICON-McKeon Research Fellow in MND will carry out research in the areas of machine-learning and artificial intelligence to derive insights from multimodal clinical, imaging neuro-electric signaling, in the context of the neurodegenerative disease of ALS.</w:t>
      </w:r>
    </w:p>
    <w:p>
      <w:pPr>
        <w:spacing w:after="0" w:line="2" w:lineRule="exact"/>
        <w:rPr>
          <w:rFonts w:ascii="Arial" w:cs="Arial" w:eastAsia="Arial" w:hAnsi="Arial"/>
          <w:sz w:val="16"/>
          <w:szCs w:val="16"/>
          <w:color w:val="auto"/>
        </w:rPr>
      </w:pPr>
    </w:p>
    <w:p>
      <w:pPr>
        <w:jc w:val="both"/>
        <w:ind w:left="1300" w:hanging="320"/>
        <w:spacing w:after="0" w:line="233"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Partnership with Trinity Centre for People with Intellectual Disabilities ('TCPID') - In 2019, we entered into a partnership with the TCPID. The TCPID situated within the School of Education, Trinity College Dublin, aims to promote the inclusion of people with intellectual disabilities in education and society. The Centre provides people who have intellectual disabilities with the opportunity to participate in a higher education program designed to enhance their capacity to fully participate in society as independent adults. The 2-year education program includes work placements and internships to enable students to experience and participate in the work environment.</w:t>
      </w:r>
    </w:p>
    <w:p>
      <w:pPr>
        <w:spacing w:after="0" w:line="220" w:lineRule="exact"/>
        <w:rPr>
          <w:rFonts w:ascii="Arial" w:cs="Arial" w:eastAsia="Arial" w:hAnsi="Arial"/>
          <w:sz w:val="16"/>
          <w:szCs w:val="16"/>
          <w:color w:val="auto"/>
        </w:rPr>
      </w:pPr>
    </w:p>
    <w:p>
      <w:pPr>
        <w:jc w:val="both"/>
        <w:ind w:left="660" w:hanging="328"/>
        <w:spacing w:after="0" w:line="255" w:lineRule="auto"/>
        <w:tabs>
          <w:tab w:leader="none" w:pos="649"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Scholarships supporting female GAA players. </w:t>
      </w:r>
      <w:r>
        <w:rPr>
          <w:rFonts w:ascii="Arial" w:cs="Arial" w:eastAsia="Arial" w:hAnsi="Arial"/>
          <w:sz w:val="16"/>
          <w:szCs w:val="16"/>
          <w:color w:val="auto"/>
        </w:rPr>
        <w:t>ICON has a partnership with the Women’s Gaelic Players Association, whereby we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ICON-GPA Life Sciences Scholarships to inter-county football and camogie players engaged in undergraduate and post-graduate life sciences courses. ICON also provides mentoring to players to guide and help them as they set-out on their career journeys.</w:t>
      </w:r>
    </w:p>
    <w:p>
      <w:pPr>
        <w:jc w:val="both"/>
        <w:ind w:left="660" w:right="20" w:hanging="328"/>
        <w:spacing w:after="0" w:line="251"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Partnership with Junior Achievement to inspire schoolchildren. </w:t>
      </w:r>
      <w:r>
        <w:rPr>
          <w:rFonts w:ascii="Arial" w:cs="Arial" w:eastAsia="Arial" w:hAnsi="Arial"/>
          <w:sz w:val="16"/>
          <w:szCs w:val="16"/>
          <w:color w:val="auto"/>
        </w:rPr>
        <w:t>ICON supports our people who take time out of their working day to deliver</w:t>
      </w:r>
      <w:r>
        <w:rPr>
          <w:rFonts w:ascii="Arial" w:cs="Arial" w:eastAsia="Arial" w:hAnsi="Arial"/>
          <w:sz w:val="16"/>
          <w:szCs w:val="16"/>
          <w:b w:val="1"/>
          <w:bCs w:val="1"/>
          <w:color w:val="auto"/>
        </w:rPr>
        <w:t xml:space="preserve"> </w:t>
      </w:r>
      <w:r>
        <w:rPr>
          <w:rFonts w:ascii="Arial" w:cs="Arial" w:eastAsia="Arial" w:hAnsi="Arial"/>
          <w:sz w:val="16"/>
          <w:szCs w:val="16"/>
          <w:color w:val="auto"/>
        </w:rPr>
        <w:t>Junior Achievement educational programs. Junior Achievement encourages young people to remain in education and teaches them the skills they need to succeed in a changing world. Our volunteers teach primary and secondary level students valuable business, STEM and entrepreneurship skills that will stand them in good stead as they progress through education and beyond.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6" w:name="page37"/>
    <w:bookmarkEnd w:id="36"/>
    <w:p>
      <w:pPr>
        <w:jc w:val="both"/>
        <w:ind w:left="660" w:hanging="328"/>
        <w:spacing w:after="0" w:line="25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Science Gallery Founding Partner</w:t>
      </w:r>
      <w:r>
        <w:rPr>
          <w:rFonts w:ascii="Arial" w:cs="Arial" w:eastAsia="Arial" w:hAnsi="Arial"/>
          <w:sz w:val="16"/>
          <w:szCs w:val="16"/>
          <w:color w:val="auto"/>
        </w:rPr>
        <w:t>. ICON has been a lead corporate supporter of the Science Gallery at Trinity College Dublin since its inception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2008. Science Gallery aims to inspire and transform curious minds through engagement with science. In 2020, we delivered a new 'Living with....' healthcare event series with the Science Gallery, which explores healthcare, the human experience and the future of disease treatment. 2020 events included a focus on cystic fibrosis, IBD and MND.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Improving the welfare of people in the communities in which we live</w:t>
      </w:r>
    </w:p>
    <w:p>
      <w:pPr>
        <w:spacing w:after="0" w:line="268" w:lineRule="exact"/>
        <w:rPr>
          <w:sz w:val="20"/>
          <w:szCs w:val="20"/>
          <w:color w:val="auto"/>
        </w:rPr>
      </w:pPr>
    </w:p>
    <w:p>
      <w:pPr>
        <w:ind w:firstLine="238"/>
        <w:spacing w:after="0" w:line="234" w:lineRule="auto"/>
        <w:rPr>
          <w:sz w:val="20"/>
          <w:szCs w:val="20"/>
          <w:color w:val="auto"/>
        </w:rPr>
      </w:pPr>
      <w:r>
        <w:rPr>
          <w:rFonts w:ascii="Arial" w:cs="Arial" w:eastAsia="Arial" w:hAnsi="Arial"/>
          <w:sz w:val="16"/>
          <w:szCs w:val="16"/>
          <w:color w:val="auto"/>
        </w:rPr>
        <w:t>ICON employees across the world are making a positive difference to their communities. We support causes that are important to our employees and have a number of programs that support the welfare of people in our local communities. These include:</w:t>
      </w:r>
    </w:p>
    <w:p>
      <w:pPr>
        <w:spacing w:after="0" w:line="13" w:lineRule="exact"/>
        <w:rPr>
          <w:sz w:val="20"/>
          <w:szCs w:val="20"/>
          <w:color w:val="auto"/>
        </w:rPr>
      </w:pPr>
    </w:p>
    <w:p>
      <w:pPr>
        <w:jc w:val="both"/>
        <w:ind w:left="660" w:hanging="328"/>
        <w:spacing w:after="0"/>
        <w:tabs>
          <w:tab w:leader="none" w:pos="648" w:val="left"/>
        </w:tabs>
        <w:numPr>
          <w:ilvl w:val="0"/>
          <w:numId w:val="26"/>
        </w:numPr>
        <w:rPr>
          <w:rFonts w:ascii="Arial" w:cs="Arial" w:eastAsia="Arial" w:hAnsi="Arial"/>
          <w:sz w:val="20"/>
          <w:szCs w:val="20"/>
          <w:color w:val="auto"/>
        </w:rPr>
      </w:pPr>
      <w:r>
        <w:rPr>
          <w:rFonts w:ascii="Arial" w:cs="Arial" w:eastAsia="Arial" w:hAnsi="Arial"/>
          <w:sz w:val="16"/>
          <w:szCs w:val="16"/>
          <w:b w:val="1"/>
          <w:bCs w:val="1"/>
          <w:color w:val="auto"/>
        </w:rPr>
        <w:t>Corporate donations to employee-nominated charities</w:t>
      </w:r>
      <w:r>
        <w:rPr>
          <w:rFonts w:ascii="Arial" w:cs="Arial" w:eastAsia="Arial" w:hAnsi="Arial"/>
          <w:sz w:val="16"/>
          <w:szCs w:val="16"/>
          <w:color w:val="auto"/>
        </w:rPr>
        <w:t>. In 2020, we continued our corporate donation program to employee-nominated</w:t>
      </w:r>
      <w:r>
        <w:rPr>
          <w:rFonts w:ascii="Arial" w:cs="Arial" w:eastAsia="Arial" w:hAnsi="Arial"/>
          <w:sz w:val="16"/>
          <w:szCs w:val="16"/>
          <w:b w:val="1"/>
          <w:bCs w:val="1"/>
          <w:color w:val="auto"/>
        </w:rPr>
        <w:t xml:space="preserve"> </w:t>
      </w:r>
      <w:r>
        <w:rPr>
          <w:rFonts w:ascii="Arial" w:cs="Arial" w:eastAsia="Arial" w:hAnsi="Arial"/>
          <w:sz w:val="16"/>
          <w:szCs w:val="16"/>
          <w:color w:val="auto"/>
        </w:rPr>
        <w:t>charities, by providing substantial donations to 10 charities across the world. In 2020, we supported charities focused on building a more inclusive society, which is aligned with our commitment to Diversity &amp; Inclusion. Charities included those focused on providing sport and work opportunities for people with physical and intellectual disabilities, empowerment of underprivileged youth and women in minority groups through education, healthcare and livelihood programs and support for LGBTQ communities. Over the last six years, ICON has supported over 70 charities across the world.</w:t>
      </w:r>
    </w:p>
    <w:p>
      <w:pPr>
        <w:spacing w:after="0" w:line="53" w:lineRule="exact"/>
        <w:rPr>
          <w:rFonts w:ascii="Arial" w:cs="Arial" w:eastAsia="Arial" w:hAnsi="Arial"/>
          <w:sz w:val="20"/>
          <w:szCs w:val="20"/>
          <w:color w:val="auto"/>
        </w:rPr>
      </w:pPr>
    </w:p>
    <w:p>
      <w:pPr>
        <w:jc w:val="both"/>
        <w:ind w:left="660" w:hanging="328"/>
        <w:spacing w:after="0" w:line="25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Donations in support of employee fundraising. </w:t>
      </w:r>
      <w:r>
        <w:rPr>
          <w:rFonts w:ascii="Arial" w:cs="Arial" w:eastAsia="Arial" w:hAnsi="Arial"/>
          <w:sz w:val="16"/>
          <w:szCs w:val="16"/>
          <w:color w:val="auto"/>
        </w:rPr>
        <w:t>ICON employees raise significant amounts for a variety of charities each year through in-house</w:t>
      </w:r>
      <w:r>
        <w:rPr>
          <w:rFonts w:ascii="Arial" w:cs="Arial" w:eastAsia="Arial" w:hAnsi="Arial"/>
          <w:sz w:val="16"/>
          <w:szCs w:val="16"/>
          <w:b w:val="1"/>
          <w:bCs w:val="1"/>
          <w:color w:val="auto"/>
        </w:rPr>
        <w:t xml:space="preserve"> </w:t>
      </w:r>
      <w:r>
        <w:rPr>
          <w:rFonts w:ascii="Arial" w:cs="Arial" w:eastAsia="Arial" w:hAnsi="Arial"/>
          <w:sz w:val="16"/>
          <w:szCs w:val="16"/>
          <w:color w:val="auto"/>
        </w:rPr>
        <w:t>fundraising events. ICON continues to recognize the enormous effort and creativity of our employees who fundraise for causes that are important to them by supplementing monies raised through ICON’s Charitable Donation Program.</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 the core of our strategy is our people</w:t>
      </w:r>
    </w:p>
    <w:p>
      <w:pPr>
        <w:spacing w:after="0" w:line="194"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6"/>
          <w:szCs w:val="16"/>
          <w:color w:val="auto"/>
        </w:rPr>
        <w:t>As set-out above, one of our four strategic pillars is '</w:t>
      </w:r>
      <w:r>
        <w:rPr>
          <w:rFonts w:ascii="Arial" w:cs="Arial" w:eastAsia="Arial" w:hAnsi="Arial"/>
          <w:sz w:val="16"/>
          <w:szCs w:val="16"/>
          <w:i w:val="1"/>
          <w:iCs w:val="1"/>
          <w:color w:val="auto"/>
        </w:rPr>
        <w:t>Talent, Leadership Development and Culture</w:t>
      </w:r>
      <w:r>
        <w:rPr>
          <w:rFonts w:ascii="Arial" w:cs="Arial" w:eastAsia="Arial" w:hAnsi="Arial"/>
          <w:sz w:val="16"/>
          <w:szCs w:val="16"/>
          <w:color w:val="auto"/>
        </w:rPr>
        <w:t>'. Within ICON we have highly qualified and experienced teams, the majority of whom have third level educational qualifications. The need to develop and retain this expertise and talent within the organization is fundamental in enabling us to be the global CRO partner of choice for our customers.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training and development of our staff is a key focus for us</w:t>
      </w:r>
    </w:p>
    <w:p>
      <w:pPr>
        <w:spacing w:after="0" w:line="264" w:lineRule="exact"/>
        <w:rPr>
          <w:sz w:val="20"/>
          <w:szCs w:val="20"/>
          <w:color w:val="auto"/>
        </w:rPr>
      </w:pPr>
    </w:p>
    <w:p>
      <w:pPr>
        <w:jc w:val="both"/>
        <w:ind w:firstLine="259"/>
        <w:spacing w:after="0" w:line="260" w:lineRule="auto"/>
        <w:rPr>
          <w:sz w:val="20"/>
          <w:szCs w:val="20"/>
          <w:color w:val="auto"/>
        </w:rPr>
      </w:pPr>
      <w:r>
        <w:rPr>
          <w:rFonts w:ascii="Arial" w:cs="Arial" w:eastAsia="Arial" w:hAnsi="Arial"/>
          <w:sz w:val="16"/>
          <w:szCs w:val="16"/>
          <w:color w:val="auto"/>
        </w:rPr>
        <w:t>We have a comprehensive curriculum in place to support our people in their roles. We have invested in creating an innovative learning environment delivered through ICON’s training and development group.</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provide our people with a personalized and flexible learning experience, delivered through a combination of in-person and technology-driven programs that suit their learning styles and can flex to suit their schedules. Through our CareerHub portal, internally developed professional development programs and partnerships with leading academic institutions, employees are encouraged to broaden their scientific, technical and business knowledge. They also have access to tools that will help them develop the competencies to support their career ambitions. We also collaborate with University College Dublin to deliver customized leadership development programs for global employees.</w:t>
      </w:r>
    </w:p>
    <w:p>
      <w:pPr>
        <w:spacing w:after="0" w:line="230" w:lineRule="exact"/>
        <w:rPr>
          <w:sz w:val="20"/>
          <w:szCs w:val="20"/>
          <w:color w:val="auto"/>
        </w:rPr>
      </w:pPr>
    </w:p>
    <w:p>
      <w:pPr>
        <w:jc w:val="both"/>
        <w:ind w:firstLine="218"/>
        <w:spacing w:after="0" w:line="246" w:lineRule="auto"/>
        <w:rPr>
          <w:sz w:val="20"/>
          <w:szCs w:val="20"/>
          <w:color w:val="auto"/>
        </w:rPr>
      </w:pPr>
      <w:r>
        <w:rPr>
          <w:rFonts w:ascii="Arial" w:cs="Arial" w:eastAsia="Arial" w:hAnsi="Arial"/>
          <w:sz w:val="16"/>
          <w:szCs w:val="16"/>
          <w:color w:val="auto"/>
        </w:rPr>
        <w:t>All of our people are required to complete mandatory training in key areas which support our values and our way of working. They include (but are not limited to) the following areas:</w:t>
      </w:r>
    </w:p>
    <w:p>
      <w:pPr>
        <w:spacing w:after="0" w:line="1"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global ethics compliance;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data protection and procedures;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IT security;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confidentiality and maintaining communications;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social media usage.</w:t>
      </w:r>
    </w:p>
    <w:p>
      <w:pPr>
        <w:spacing w:after="0" w:line="248" w:lineRule="exact"/>
        <w:rPr>
          <w:sz w:val="20"/>
          <w:szCs w:val="20"/>
          <w:color w:val="auto"/>
        </w:rPr>
      </w:pPr>
    </w:p>
    <w:p>
      <w:pPr>
        <w:ind w:firstLine="193"/>
        <w:spacing w:after="0" w:line="260" w:lineRule="auto"/>
        <w:rPr>
          <w:sz w:val="20"/>
          <w:szCs w:val="20"/>
          <w:color w:val="auto"/>
        </w:rPr>
      </w:pPr>
      <w:r>
        <w:rPr>
          <w:rFonts w:ascii="Arial" w:cs="Arial" w:eastAsia="Arial" w:hAnsi="Arial"/>
          <w:sz w:val="16"/>
          <w:szCs w:val="16"/>
          <w:color w:val="auto"/>
        </w:rPr>
        <w:t>We have a well-established Graduate Development Program for our clinical teams, which now runs in the US, China, Japan, South Korea, India and also Australia where we take recent graduates and prepare them for careers in clinical monitoring and data management.</w:t>
      </w:r>
    </w:p>
    <w:p>
      <w:pPr>
        <w:spacing w:after="0" w:line="222" w:lineRule="exact"/>
        <w:rPr>
          <w:sz w:val="20"/>
          <w:szCs w:val="20"/>
          <w:color w:val="auto"/>
        </w:rPr>
      </w:pPr>
    </w:p>
    <w:p>
      <w:pPr>
        <w:ind w:right="20" w:firstLine="315"/>
        <w:spacing w:after="0" w:line="260" w:lineRule="auto"/>
        <w:rPr>
          <w:sz w:val="20"/>
          <w:szCs w:val="20"/>
          <w:color w:val="auto"/>
        </w:rPr>
      </w:pPr>
      <w:r>
        <w:rPr>
          <w:rFonts w:ascii="Arial" w:cs="Arial" w:eastAsia="Arial" w:hAnsi="Arial"/>
          <w:sz w:val="16"/>
          <w:szCs w:val="16"/>
          <w:color w:val="auto"/>
        </w:rPr>
        <w:t>Our learning and development program is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222" w:lineRule="exact"/>
        <w:rPr>
          <w:sz w:val="20"/>
          <w:szCs w:val="20"/>
          <w:color w:val="auto"/>
        </w:rPr>
      </w:pPr>
    </w:p>
    <w:p>
      <w:pPr>
        <w:ind w:right="20" w:firstLine="189"/>
        <w:spacing w:after="0" w:line="260" w:lineRule="auto"/>
        <w:rPr>
          <w:sz w:val="20"/>
          <w:szCs w:val="20"/>
          <w:color w:val="auto"/>
        </w:rPr>
      </w:pPr>
      <w:r>
        <w:rPr>
          <w:rFonts w:ascii="Arial" w:cs="Arial" w:eastAsia="Arial" w:hAnsi="Arial"/>
          <w:sz w:val="16"/>
          <w:szCs w:val="16"/>
          <w:color w:val="auto"/>
        </w:rPr>
        <w:t>Our leadership and talent program contribute to the enhanced retention of our employees, better project deliverables for our customers and the enhanced financial performance of the business.</w:t>
      </w:r>
    </w:p>
    <w:p>
      <w:pPr>
        <w:spacing w:after="0" w:line="222" w:lineRule="exact"/>
        <w:rPr>
          <w:sz w:val="20"/>
          <w:szCs w:val="20"/>
          <w:color w:val="auto"/>
        </w:rPr>
      </w:pPr>
    </w:p>
    <w:p>
      <w:pPr>
        <w:ind w:right="2600" w:firstLine="180"/>
        <w:spacing w:after="0" w:line="260" w:lineRule="auto"/>
        <w:rPr>
          <w:sz w:val="20"/>
          <w:szCs w:val="20"/>
          <w:color w:val="auto"/>
        </w:rPr>
      </w:pPr>
      <w:r>
        <w:rPr>
          <w:rFonts w:ascii="Arial" w:cs="Arial" w:eastAsia="Arial" w:hAnsi="Arial"/>
          <w:sz w:val="16"/>
          <w:szCs w:val="16"/>
          <w:color w:val="auto"/>
        </w:rPr>
        <w:t>ICON is proud of this investment in our people. This investment translated to approximately four days training for each person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ind w:left="180"/>
        <w:spacing w:after="0"/>
        <w:rPr>
          <w:sz w:val="20"/>
          <w:szCs w:val="20"/>
          <w:color w:val="auto"/>
        </w:rPr>
      </w:pPr>
      <w:r>
        <w:rPr>
          <w:rFonts w:ascii="Arial" w:cs="Arial" w:eastAsia="Arial" w:hAnsi="Arial"/>
          <w:sz w:val="16"/>
          <w:szCs w:val="16"/>
          <w:color w:val="auto"/>
        </w:rPr>
        <w:t>We are also committed to supporting the career aspirations of our people. Approximately 30% of all roles are filled internally.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an organization we are keen to hear directly from our employees</w:t>
      </w:r>
    </w:p>
    <w:p>
      <w:pPr>
        <w:spacing w:after="0" w:line="264" w:lineRule="exact"/>
        <w:rPr>
          <w:sz w:val="20"/>
          <w:szCs w:val="20"/>
          <w:color w:val="auto"/>
        </w:rPr>
      </w:pPr>
    </w:p>
    <w:p>
      <w:pPr>
        <w:jc w:val="both"/>
        <w:ind w:firstLine="182"/>
        <w:spacing w:after="0" w:line="248" w:lineRule="auto"/>
        <w:rPr>
          <w:sz w:val="20"/>
          <w:szCs w:val="20"/>
          <w:color w:val="auto"/>
        </w:rPr>
      </w:pPr>
      <w:r>
        <w:rPr>
          <w:rFonts w:ascii="Arial" w:cs="Arial" w:eastAsia="Arial" w:hAnsi="Arial"/>
          <w:sz w:val="16"/>
          <w:szCs w:val="16"/>
          <w:color w:val="auto"/>
        </w:rPr>
        <w:t>Listening to the views of our employees in areas including recruitment and on-boarding, training, engagement, enablement, reward, diversity and inclusion is an ongoing activity in ICON. Our listening strategy feeds into the development of initiatives to address turnover, which we closely monitor. We listen using a variety of channels, ranging from formal global employee surveys to more targeted focus groups. Our most recent survey was conducted in October 2018 and had an 88% response rate. There are two key measures which we track closely. The first is Employee Engagement which scored well at 70%, and was on par with the General Industry benchmark. The second is Employee Enablement, which also scored at 70%, 3% above the General Industry benchmark. The feedback we receive through our listening strategy feeds into the ongoing development of our People Leader and employee programs and initiatives and also influences action planning at a service line and/or regional level. Examples of improvements made which were a direct result of feedback from our listening strategy include enhanced onboarding, greater transparency around organizational performance and how it impacts annual bonus potential, and a range of enablement initiatives delivered through our IT systems.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Difference drives innovative thinking and is critical to our success</w:t>
      </w:r>
    </w:p>
    <w:p>
      <w:pPr>
        <w:spacing w:after="0" w:line="264" w:lineRule="exact"/>
        <w:rPr>
          <w:sz w:val="20"/>
          <w:szCs w:val="20"/>
          <w:color w:val="auto"/>
        </w:rPr>
      </w:pPr>
    </w:p>
    <w:p>
      <w:pPr>
        <w:jc w:val="both"/>
        <w:ind w:firstLine="207"/>
        <w:spacing w:after="0" w:line="260" w:lineRule="auto"/>
        <w:rPr>
          <w:sz w:val="20"/>
          <w:szCs w:val="20"/>
          <w:color w:val="auto"/>
        </w:rPr>
      </w:pPr>
      <w:r>
        <w:rPr>
          <w:rFonts w:ascii="Arial" w:cs="Arial" w:eastAsia="Arial" w:hAnsi="Arial"/>
          <w:sz w:val="16"/>
          <w:szCs w:val="16"/>
          <w:color w:val="auto"/>
        </w:rPr>
        <w:t>We believe difference drives innovative thinking, which is critical to our customers, and as a global company with approximately 15,730 employees in 41 countries, we encourage diversity of all kinds. We have grown rapidly, increasing our headcount by more than fifty percent over the past 7 years.</w:t>
      </w:r>
    </w:p>
    <w:p>
      <w:pPr>
        <w:spacing w:after="0" w:line="222" w:lineRule="exact"/>
        <w:rPr>
          <w:sz w:val="20"/>
          <w:szCs w:val="20"/>
          <w:color w:val="auto"/>
        </w:rPr>
      </w:pPr>
    </w:p>
    <w:p>
      <w:pPr>
        <w:jc w:val="both"/>
        <w:ind w:firstLine="171"/>
        <w:spacing w:after="0" w:line="253" w:lineRule="auto"/>
        <w:rPr>
          <w:sz w:val="20"/>
          <w:szCs w:val="20"/>
          <w:color w:val="auto"/>
        </w:rPr>
      </w:pPr>
      <w:r>
        <w:rPr>
          <w:rFonts w:ascii="Arial" w:cs="Arial" w:eastAsia="Arial" w:hAnsi="Arial"/>
          <w:sz w:val="16"/>
          <w:szCs w:val="16"/>
          <w:color w:val="auto"/>
        </w:rPr>
        <w:t>As a truly global operation, we are deliberately structured as international teams so that we can support the delivery of our customers' clinical development programs across multiple geographies. Recruitment, selection and promotion decisions are merit-based and in line with the principles of reaching a wider talent pool and equal opportunity.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Building an inclusive workplace</w:t>
      </w:r>
    </w:p>
    <w:p>
      <w:pPr>
        <w:spacing w:after="0" w:line="264" w:lineRule="exact"/>
        <w:rPr>
          <w:sz w:val="20"/>
          <w:szCs w:val="20"/>
          <w:color w:val="auto"/>
        </w:rPr>
      </w:pPr>
    </w:p>
    <w:p>
      <w:pPr>
        <w:jc w:val="both"/>
        <w:ind w:firstLine="217"/>
        <w:spacing w:after="0" w:line="253" w:lineRule="auto"/>
        <w:rPr>
          <w:sz w:val="20"/>
          <w:szCs w:val="20"/>
          <w:color w:val="auto"/>
        </w:rPr>
      </w:pPr>
      <w:r>
        <w:rPr>
          <w:rFonts w:ascii="Arial" w:cs="Arial" w:eastAsia="Arial" w:hAnsi="Arial"/>
          <w:sz w:val="16"/>
          <w:szCs w:val="16"/>
          <w:color w:val="auto"/>
        </w:rPr>
        <w:t>We believe that difference drives innovative thinking and therefore is critical to our success. During 2019 we established the ICON Diversity &amp; Inclusion Steering Group. This Steering Group is comprised of six members of our Group executive team. The executive leaders are supported by senior members of our human resources group, as well as 39 Diversity &amp; Inclusion Advocates from across our service lines and geographies.</w:t>
      </w:r>
    </w:p>
    <w:p>
      <w:pPr>
        <w:spacing w:after="0" w:line="2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At ICON, our leadership team sees diversity and inclusion in the workplace as at the core of how we work. We recognize the importance of ensuring it is built into every aspect of the talent and employee life cycle. The team have defined the importance of diversity and inclusion at ICON under three headings as follows:</w:t>
      </w:r>
    </w:p>
    <w:p>
      <w:pPr>
        <w:spacing w:after="0" w:line="208" w:lineRule="exact"/>
        <w:rPr>
          <w:sz w:val="20"/>
          <w:szCs w:val="20"/>
          <w:color w:val="auto"/>
        </w:rPr>
      </w:pPr>
    </w:p>
    <w:p>
      <w:pPr>
        <w:jc w:val="both"/>
        <w:ind w:left="660" w:hanging="328"/>
        <w:spacing w:after="0" w:line="253"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It aligns with our Values. </w:t>
      </w:r>
      <w:r>
        <w:rPr>
          <w:rFonts w:ascii="Arial" w:cs="Arial" w:eastAsia="Arial" w:hAnsi="Arial"/>
          <w:sz w:val="16"/>
          <w:szCs w:val="16"/>
          <w:color w:val="auto"/>
        </w:rPr>
        <w:t>We value difference of gender, ethnicity, culture, ability and experience. We believe diversity of thought is what drives</w:t>
      </w:r>
      <w:r>
        <w:rPr>
          <w:rFonts w:ascii="Arial" w:cs="Arial" w:eastAsia="Arial" w:hAnsi="Arial"/>
          <w:sz w:val="16"/>
          <w:szCs w:val="16"/>
          <w:b w:val="1"/>
          <w:bCs w:val="1"/>
          <w:color w:val="auto"/>
        </w:rPr>
        <w:t xml:space="preserve"> </w:t>
      </w:r>
      <w:r>
        <w:rPr>
          <w:rFonts w:ascii="Arial" w:cs="Arial" w:eastAsia="Arial" w:hAnsi="Arial"/>
          <w:sz w:val="16"/>
          <w:szCs w:val="16"/>
          <w:color w:val="auto"/>
        </w:rPr>
        <w:t>high performing teams to create better solutions and deliver better outcomes for our customers. Diversity &amp; inclusion is embedded in our values, most notably in our Integrity value. We appreciate differences and value diversity. It is part of our heritage and will drive our organization forward to success.</w:t>
      </w:r>
    </w:p>
    <w:p>
      <w:pPr>
        <w:jc w:val="both"/>
        <w:ind w:left="660" w:hanging="328"/>
        <w:spacing w:after="0" w:line="24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It matters to our People. </w:t>
      </w:r>
      <w:r>
        <w:rPr>
          <w:rFonts w:ascii="Arial" w:cs="Arial" w:eastAsia="Arial" w:hAnsi="Arial"/>
          <w:sz w:val="16"/>
          <w:szCs w:val="16"/>
          <w:color w:val="auto"/>
        </w:rPr>
        <w:t>Employees do not see inclusion as a 'nice to have' - they expect it. Organizations that have a clear Diversity &amp; Inclusion</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and are visibly active in driving this agenda are more likely to attract and retain talent. We ensure all employees are treated fairly and equitably with no barriers to career opportunities. We are committed to equal opportunities for all employees and reflect this in our policies and practices. In November 2019, we engaged Willis Towers Watson to undertake an external audit of our gender pay equity position across our top 10 markets (78% of global population), which found that ICON continues to maintain gender pay equity. We continue to perform pay equity reviews annually with the objective of monitoring and closing any gaps identified.</w:t>
      </w:r>
    </w:p>
    <w:p>
      <w:pPr>
        <w:spacing w:after="0" w:line="2"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It benefits our Business. </w:t>
      </w:r>
      <w:r>
        <w:rPr>
          <w:rFonts w:ascii="Arial" w:cs="Arial" w:eastAsia="Arial" w:hAnsi="Arial"/>
          <w:sz w:val="16"/>
          <w:szCs w:val="16"/>
          <w:color w:val="auto"/>
        </w:rPr>
        <w:t>Diversity of thinking drives innovation and mitigates against group think which means we develop better solutions for our</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w:t>
      </w:r>
    </w:p>
    <w:p>
      <w:pPr>
        <w:spacing w:after="0" w:line="222" w:lineRule="exact"/>
        <w:rPr>
          <w:sz w:val="20"/>
          <w:szCs w:val="20"/>
          <w:color w:val="auto"/>
        </w:rPr>
      </w:pPr>
    </w:p>
    <w:p>
      <w:pPr>
        <w:jc w:val="both"/>
        <w:ind w:firstLine="220"/>
        <w:spacing w:after="0" w:line="253" w:lineRule="auto"/>
        <w:rPr>
          <w:sz w:val="20"/>
          <w:szCs w:val="20"/>
          <w:color w:val="auto"/>
        </w:rPr>
      </w:pPr>
      <w:r>
        <w:rPr>
          <w:rFonts w:ascii="Arial" w:cs="Arial" w:eastAsia="Arial" w:hAnsi="Arial"/>
          <w:sz w:val="16"/>
          <w:szCs w:val="16"/>
          <w:color w:val="auto"/>
        </w:rPr>
        <w:t>The Executive leadership group defined three clear ambition for our Diversity &amp; Inclusion agenda, based on feedback from employee focus groups run during 2020. These ambitions define the goals against which success will be measured. The plans evolve each year, with the Diversity &amp; Inclusion advocates co-creating the plan with the Executive leadership group. Our three ambitions are as follows:</w:t>
      </w:r>
    </w:p>
    <w:p>
      <w:pPr>
        <w:spacing w:after="0" w:line="208" w:lineRule="exact"/>
        <w:rPr>
          <w:sz w:val="20"/>
          <w:szCs w:val="20"/>
          <w:color w:val="auto"/>
        </w:rPr>
      </w:pPr>
    </w:p>
    <w:p>
      <w:pPr>
        <w:ind w:left="660" w:hanging="328"/>
        <w:spacing w:after="0" w:line="259"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To build an inclusive workplace culture</w:t>
      </w:r>
      <w:r>
        <w:rPr>
          <w:rFonts w:ascii="Arial" w:cs="Arial" w:eastAsia="Arial" w:hAnsi="Arial"/>
          <w:sz w:val="16"/>
          <w:szCs w:val="16"/>
          <w:color w:val="auto"/>
        </w:rPr>
        <w:t>: To foster a workplace culture that is inclusive, collaborative and accountable and supports the talent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diversity of our people.</w:t>
      </w: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To build a diverse workforce</w:t>
      </w:r>
      <w:r>
        <w:rPr>
          <w:rFonts w:ascii="Arial" w:cs="Arial" w:eastAsia="Arial" w:hAnsi="Arial"/>
          <w:sz w:val="16"/>
          <w:szCs w:val="16"/>
          <w:color w:val="auto"/>
        </w:rPr>
        <w:t>: To recruit, develop and retain a diverse workforce that is reflective of the communities in which we operate.</w:t>
      </w:r>
    </w:p>
    <w:p>
      <w:pPr>
        <w:spacing w:after="0" w:line="5"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To contribute to society</w:t>
      </w:r>
      <w:r>
        <w:rPr>
          <w:rFonts w:ascii="Arial" w:cs="Arial" w:eastAsia="Arial" w:hAnsi="Arial"/>
          <w:sz w:val="16"/>
          <w:szCs w:val="16"/>
          <w:color w:val="auto"/>
        </w:rPr>
        <w:t>: Foster community engagement partnerships with a Diversity &amp; Inclusion lens. Promote diversity within the clinical trials</w:t>
      </w:r>
      <w:r>
        <w:rPr>
          <w:rFonts w:ascii="Arial" w:cs="Arial" w:eastAsia="Arial" w:hAnsi="Arial"/>
          <w:sz w:val="16"/>
          <w:szCs w:val="16"/>
          <w:b w:val="1"/>
          <w:bCs w:val="1"/>
          <w:color w:val="auto"/>
        </w:rPr>
        <w:t xml:space="preserve"> </w:t>
      </w:r>
      <w:r>
        <w:rPr>
          <w:rFonts w:ascii="Arial" w:cs="Arial" w:eastAsia="Arial" w:hAnsi="Arial"/>
          <w:sz w:val="16"/>
          <w:szCs w:val="16"/>
          <w:color w:val="auto"/>
        </w:rPr>
        <w:t>so that all communities have access to new treatments.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8" w:name="page39"/>
    <w:bookmarkEnd w:id="38"/>
    <w:p>
      <w:pPr>
        <w:ind w:firstLine="648"/>
        <w:spacing w:after="0" w:line="260" w:lineRule="auto"/>
        <w:rPr>
          <w:sz w:val="20"/>
          <w:szCs w:val="20"/>
          <w:color w:val="auto"/>
        </w:rPr>
      </w:pPr>
      <w:r>
        <w:rPr>
          <w:rFonts w:ascii="Arial" w:cs="Arial" w:eastAsia="Arial" w:hAnsi="Arial"/>
          <w:sz w:val="16"/>
          <w:szCs w:val="16"/>
          <w:color w:val="auto"/>
        </w:rPr>
        <w:t>These ambitions are supported by key areas of focus are around talent management, country level inclusion policies, reward, training, communications and a renewed focus on culture.</w:t>
      </w:r>
    </w:p>
    <w:p>
      <w:pPr>
        <w:spacing w:after="0" w:line="202" w:lineRule="exact"/>
        <w:rPr>
          <w:sz w:val="20"/>
          <w:szCs w:val="20"/>
          <w:color w:val="auto"/>
        </w:rPr>
      </w:pPr>
    </w:p>
    <w:p>
      <w:pPr>
        <w:jc w:val="both"/>
        <w:ind w:left="660" w:hanging="328"/>
        <w:spacing w:after="0" w:line="250" w:lineRule="auto"/>
        <w:tabs>
          <w:tab w:leader="none" w:pos="649"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Talent </w:t>
      </w:r>
      <w:r>
        <w:rPr>
          <w:rFonts w:ascii="Arial" w:cs="Arial" w:eastAsia="Arial" w:hAnsi="Arial"/>
          <w:sz w:val="16"/>
          <w:szCs w:val="16"/>
          <w:color w:val="auto"/>
        </w:rPr>
        <w:t>- We recognize that more diversity in senior leadership increases organizational performance. In 2019 we launched our global Senior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Leadership Program in addition to our Vice President High Potential program for those people who have been identified as High Performing &amp; High Potential Leaders. These programs focus on core organizational skills that will enable these individuals to increase their readiness for promotion, as well as create a strong internal network of senior leaders who feel empowered to take hold of their careers. These programs help build and support our development of a diverse and inclusive group of future leaders from within and complements existing senior level programs already in existence in the organization.</w:t>
      </w:r>
    </w:p>
    <w:p>
      <w:pPr>
        <w:spacing w:after="0" w:line="4" w:lineRule="exact"/>
        <w:rPr>
          <w:rFonts w:ascii="Arial" w:cs="Arial" w:eastAsia="Arial" w:hAnsi="Arial"/>
          <w:sz w:val="16"/>
          <w:szCs w:val="16"/>
          <w:b w:val="1"/>
          <w:bCs w:val="1"/>
          <w:color w:val="auto"/>
        </w:rPr>
      </w:pPr>
    </w:p>
    <w:p>
      <w:pPr>
        <w:jc w:val="both"/>
        <w:ind w:left="660" w:hanging="328"/>
        <w:spacing w:after="0" w:line="246" w:lineRule="auto"/>
        <w:tabs>
          <w:tab w:leader="none" w:pos="649"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Training and Development </w:t>
      </w:r>
      <w:r>
        <w:rPr>
          <w:rFonts w:ascii="Arial" w:cs="Arial" w:eastAsia="Arial" w:hAnsi="Arial"/>
          <w:sz w:val="16"/>
          <w:szCs w:val="16"/>
          <w:color w:val="auto"/>
        </w:rPr>
        <w:t>- Under our Diversity and Inclusion Program, we train all our people leaders to understand unconscious bias and</w:t>
      </w:r>
      <w:r>
        <w:rPr>
          <w:rFonts w:ascii="Arial" w:cs="Arial" w:eastAsia="Arial" w:hAnsi="Arial"/>
          <w:sz w:val="16"/>
          <w:szCs w:val="16"/>
          <w:b w:val="1"/>
          <w:bCs w:val="1"/>
          <w:color w:val="auto"/>
        </w:rPr>
        <w:t xml:space="preserve"> </w:t>
      </w:r>
      <w:r>
        <w:rPr>
          <w:rFonts w:ascii="Arial" w:cs="Arial" w:eastAsia="Arial" w:hAnsi="Arial"/>
          <w:sz w:val="16"/>
          <w:szCs w:val="16"/>
          <w:color w:val="auto"/>
        </w:rPr>
        <w:t>similarity bias and also how to encourage diversity of thought and foster inclusion in their teams. Our diversity and inclusion initiatives were launched at our Company wide Wake up to Culture day during 2019. The fundamentals will be embedded into all people leader programs, and reflect the values upon which we assess performance behaviors.</w:t>
      </w:r>
    </w:p>
    <w:p>
      <w:pPr>
        <w:spacing w:after="0" w:line="1" w:lineRule="exact"/>
        <w:rPr>
          <w:rFonts w:ascii="Arial" w:cs="Arial" w:eastAsia="Arial" w:hAnsi="Arial"/>
          <w:sz w:val="16"/>
          <w:szCs w:val="16"/>
          <w:b w:val="1"/>
          <w:bCs w:val="1"/>
          <w:color w:val="auto"/>
        </w:rPr>
      </w:pPr>
    </w:p>
    <w:p>
      <w:pPr>
        <w:jc w:val="both"/>
        <w:ind w:left="660" w:hanging="328"/>
        <w:spacing w:after="0" w:line="246" w:lineRule="auto"/>
        <w:tabs>
          <w:tab w:leader="none" w:pos="649"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Recruitment and progression </w:t>
      </w:r>
      <w:r>
        <w:rPr>
          <w:rFonts w:ascii="Arial" w:cs="Arial" w:eastAsia="Arial" w:hAnsi="Arial"/>
          <w:sz w:val="16"/>
          <w:szCs w:val="16"/>
          <w:color w:val="auto"/>
        </w:rPr>
        <w:t>- We continue to strive to source the best talent in our industry from across the world to fill the highly specialized</w:t>
      </w:r>
      <w:r>
        <w:rPr>
          <w:rFonts w:ascii="Arial" w:cs="Arial" w:eastAsia="Arial" w:hAnsi="Arial"/>
          <w:sz w:val="16"/>
          <w:szCs w:val="16"/>
          <w:b w:val="1"/>
          <w:bCs w:val="1"/>
          <w:color w:val="auto"/>
        </w:rPr>
        <w:t xml:space="preserve"> </w:t>
      </w:r>
      <w:r>
        <w:rPr>
          <w:rFonts w:ascii="Arial" w:cs="Arial" w:eastAsia="Arial" w:hAnsi="Arial"/>
          <w:sz w:val="16"/>
          <w:szCs w:val="16"/>
          <w:color w:val="auto"/>
        </w:rPr>
        <w:t>roles required to help bring new drugs to market. Our most senior roles are truly global in nature. Since 2018, we mandated gender balanced short lists for senior leadership appointments across the organization in all markets in which we are located.</w:t>
      </w:r>
    </w:p>
    <w:p>
      <w:pPr>
        <w:spacing w:after="0" w:line="1" w:lineRule="exact"/>
        <w:rPr>
          <w:rFonts w:ascii="Arial" w:cs="Arial" w:eastAsia="Arial" w:hAnsi="Arial"/>
          <w:sz w:val="16"/>
          <w:szCs w:val="16"/>
          <w:b w:val="1"/>
          <w:bCs w:val="1"/>
          <w:color w:val="auto"/>
        </w:rPr>
      </w:pPr>
    </w:p>
    <w:p>
      <w:pPr>
        <w:jc w:val="both"/>
        <w:ind w:left="660" w:hanging="328"/>
        <w:spacing w:after="0" w:line="243"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Retention </w:t>
      </w:r>
      <w:r>
        <w:rPr>
          <w:rFonts w:ascii="Arial" w:cs="Arial" w:eastAsia="Arial" w:hAnsi="Arial"/>
          <w:sz w:val="16"/>
          <w:szCs w:val="16"/>
          <w:color w:val="auto"/>
        </w:rPr>
        <w:t>- We offer flexible working arrangements that help our people achieve balance. Prior to the global pandemic experienced in 2020, many</w:t>
      </w:r>
      <w:r>
        <w:rPr>
          <w:rFonts w:ascii="Arial" w:cs="Arial" w:eastAsia="Arial" w:hAnsi="Arial"/>
          <w:sz w:val="16"/>
          <w:szCs w:val="16"/>
          <w:b w:val="1"/>
          <w:bCs w:val="1"/>
          <w:color w:val="auto"/>
        </w:rPr>
        <w:t xml:space="preserve"> </w:t>
      </w:r>
      <w:r>
        <w:rPr>
          <w:rFonts w:ascii="Arial" w:cs="Arial" w:eastAsia="Arial" w:hAnsi="Arial"/>
          <w:sz w:val="16"/>
          <w:szCs w:val="16"/>
          <w:color w:val="auto"/>
        </w:rPr>
        <w:t>of our employees worked remotely. Employees were supported to work remotely during 2020. We also support and facilitate part time working arrangements. Approximately 16% of our people work part-time. We have an employee bonus program linked to individual and company performance and also operate a global recognition program where peer to peer recognition and awards take place for employees who go the extra mile. We also recognize and reward employees who reach significant service milestones within the company.</w:t>
      </w:r>
    </w:p>
    <w:p>
      <w:pPr>
        <w:jc w:val="both"/>
        <w:ind w:left="660" w:hanging="328"/>
        <w:spacing w:after="0" w:line="254"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Reward </w:t>
      </w:r>
      <w:r>
        <w:rPr>
          <w:rFonts w:ascii="Arial" w:cs="Arial" w:eastAsia="Arial" w:hAnsi="Arial"/>
          <w:sz w:val="16"/>
          <w:szCs w:val="16"/>
          <w:color w:val="auto"/>
        </w:rPr>
        <w:t>- we pay our employees equally for the same or equivalent work. We have worked hard to structure our pay principles to ensure that</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differences are not a factor in how we deliver rewards. We are committed to global pay equity for our employees worldwide and use best-in-class analysis on an ongoing basis to ensure fair pay irrespective of gender, race or ethnicity. The information relating to pay decisions is hosted through core technology, enabling our people leaders and employees direct access to information which informs and supports equitable and consistent decision making.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rights</w:t>
      </w:r>
    </w:p>
    <w:p>
      <w:pPr>
        <w:spacing w:after="0" w:line="318" w:lineRule="exact"/>
        <w:rPr>
          <w:sz w:val="20"/>
          <w:szCs w:val="20"/>
          <w:color w:val="auto"/>
        </w:rPr>
      </w:pPr>
    </w:p>
    <w:p>
      <w:pPr>
        <w:jc w:val="both"/>
        <w:ind w:firstLine="223"/>
        <w:spacing w:after="0" w:line="250" w:lineRule="auto"/>
        <w:rPr>
          <w:sz w:val="20"/>
          <w:szCs w:val="20"/>
          <w:color w:val="auto"/>
        </w:rPr>
      </w:pPr>
      <w:r>
        <w:rPr>
          <w:rFonts w:ascii="Arial" w:cs="Arial" w:eastAsia="Arial" w:hAnsi="Arial"/>
          <w:sz w:val="16"/>
          <w:szCs w:val="16"/>
          <w:color w:val="auto"/>
        </w:rPr>
        <w:t>ICON is committed to acting ethically and with integrity in all our business dealings. We are committed to human rights and the adoption and pursuit of compliance with the United Nations Guiding Principles on Human Rights. Our business model and our policies are intended to fully comply with applicable human rights legislation in the countries in which we operate. ICON’s Global Supplier Code of Conduct also addresses our zero tolerance stance to slavery and human trafficking. ICON is completely opposed to slavery and human trafficking and will not knowingly support or conduct business with any organization involved in such activities. ICON does not employ anyone below the minimum employment age in the jurisdictions in which we operate.</w:t>
      </w:r>
    </w:p>
    <w:p>
      <w:pPr>
        <w:spacing w:after="0" w:line="230" w:lineRule="exact"/>
        <w:rPr>
          <w:sz w:val="20"/>
          <w:szCs w:val="20"/>
          <w:color w:val="auto"/>
        </w:rPr>
      </w:pPr>
    </w:p>
    <w:p>
      <w:pPr>
        <w:jc w:val="both"/>
        <w:ind w:firstLine="180"/>
        <w:spacing w:after="0" w:line="260" w:lineRule="auto"/>
        <w:rPr>
          <w:sz w:val="20"/>
          <w:szCs w:val="20"/>
          <w:color w:val="auto"/>
        </w:rPr>
      </w:pPr>
      <w:r>
        <w:rPr>
          <w:rFonts w:ascii="Arial" w:cs="Arial" w:eastAsia="Arial" w:hAnsi="Arial"/>
          <w:sz w:val="16"/>
          <w:szCs w:val="16"/>
          <w:color w:val="auto"/>
        </w:rPr>
        <w:t>In our Anti-Slavery and Human Trafficking Statement, we set out the measures we are taking to prevent modern slavery in our supply chains, in addition to our own operations. A copy of our Anti-Slavery and Human Trafficking Statement is available on our website at https://investor.iconplc.com.</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Ethics and Compliance</w:t>
      </w:r>
    </w:p>
    <w:p>
      <w:pPr>
        <w:spacing w:after="0" w:line="2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ICON is committed to our core values of Accountability &amp; Delivery, Collaboration, Partnership and Integrity in everything we do. Meeting these values requires us all to work to the highest ethical standards and demonstrate a commitment to honesty, transparency and quality. This is embedded in our Global Code of Ethical Conduct which addresses the core principles underpinning the behavior required of ICON and our people in our internal interactions with each other and our external dealings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with patients, customers, health care professionals, regulators, investors, vendors and other third parties</w:t>
      </w:r>
      <w:r>
        <w:rPr>
          <w:rFonts w:ascii="Arial" w:cs="Arial" w:eastAsia="Arial" w:hAnsi="Arial"/>
          <w:sz w:val="16"/>
          <w:szCs w:val="16"/>
          <w:i w:val="1"/>
          <w:iCs w:val="1"/>
          <w:color w:val="auto"/>
        </w:rPr>
        <w:t>.</w:t>
      </w:r>
    </w:p>
    <w:p>
      <w:pPr>
        <w:spacing w:after="0" w:line="2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ICON’s Ethics and Compliance Program is fundamental to ICON’s culture of ownership and commitment to its legal and contractual obligations and its design is built around three core areas – Prevention, Detection and Correction. The Ethics and Compliance Program includes:</w:t>
      </w:r>
    </w:p>
    <w:p>
      <w:pPr>
        <w:spacing w:after="0" w:line="222"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setting standards of conduct in written and accessible company policies and procedures;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raising awareness through training and regular internal and external communications;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conducting or monitoring investigations of reported noncompliance in the risk areas under its oversight;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enhancement of monitoring and auditing areas of compliance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39" w:name="page40"/>
    <w:bookmarkEnd w:id="39"/>
    <w:p>
      <w:pPr>
        <w:jc w:val="both"/>
        <w:ind w:firstLine="648"/>
        <w:spacing w:after="0" w:line="250" w:lineRule="auto"/>
        <w:rPr>
          <w:sz w:val="20"/>
          <w:szCs w:val="20"/>
          <w:color w:val="auto"/>
        </w:rPr>
      </w:pPr>
      <w:r>
        <w:rPr>
          <w:rFonts w:ascii="Arial" w:cs="Arial" w:eastAsia="Arial" w:hAnsi="Arial"/>
          <w:sz w:val="16"/>
          <w:szCs w:val="16"/>
          <w:color w:val="auto"/>
        </w:rPr>
        <w:t>There are a number of policies and codes that make up the Ethics and Compliance Program including the Global Code of Ethical Conduct, the Global Anti-Corruption Compliance Policy, the Ethics Line Charter and the Global Supplier Code of Conduct (together “the Codes”). The Codes are available on our website at https://investor.iconplc.com. All ICON employees are required to complete ICON’s annual Ethics online training, which incorporates the key principles of each of the Codes. Violations of the Codes may result in a variety of corrective actions and in some cases may result in disciplinary action up to and including termination of employment.</w:t>
      </w:r>
    </w:p>
    <w:p>
      <w:pPr>
        <w:spacing w:after="0" w:line="2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Suspected violations of the Codes may be reported on a confidential (or anonymous, where permitted) basis in accordance with our Ethics Line Charter through ICON’s Ethics Line. ICON has open door, anti-retaliation policies in place to encourage and protect individuals who raise a concern. Ethics line reports are reported to the Board of ICON plc as appropriate.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Anti-bribery and Corruption</w:t>
      </w:r>
    </w:p>
    <w:p>
      <w:pPr>
        <w:spacing w:after="0" w:line="251" w:lineRule="exact"/>
        <w:rPr>
          <w:sz w:val="20"/>
          <w:szCs w:val="20"/>
          <w:color w:val="auto"/>
        </w:rPr>
      </w:pPr>
    </w:p>
    <w:p>
      <w:pPr>
        <w:jc w:val="both"/>
        <w:ind w:firstLine="256"/>
        <w:spacing w:after="0" w:line="235" w:lineRule="auto"/>
        <w:rPr>
          <w:sz w:val="20"/>
          <w:szCs w:val="20"/>
          <w:color w:val="auto"/>
        </w:rPr>
      </w:pPr>
      <w:r>
        <w:rPr>
          <w:rFonts w:ascii="Arial" w:cs="Arial" w:eastAsia="Arial" w:hAnsi="Arial"/>
          <w:sz w:val="16"/>
          <w:szCs w:val="16"/>
          <w:color w:val="auto"/>
        </w:rPr>
        <w:t>Our anti-bribery/anti-corruption program ('ABAC Program') is a key element of our Ethics and Compliance Program, with principles and requirements based on the underlying principal that we do not tolerate bribery or any other form of corruption or fraud. ICON and all ICON directors, employees, consultants and agents (“Covered Persons”) must act in compliance with international laws and regulations relating to bribery, corruption and illicit payments including, the US Foreign Corrupt Practices Act and the UK Bribery Act 2010.</w:t>
      </w:r>
    </w:p>
    <w:p>
      <w:pPr>
        <w:spacing w:after="0" w:line="238" w:lineRule="exact"/>
        <w:rPr>
          <w:sz w:val="20"/>
          <w:szCs w:val="20"/>
          <w:color w:val="auto"/>
        </w:rPr>
      </w:pPr>
    </w:p>
    <w:p>
      <w:pPr>
        <w:jc w:val="both"/>
        <w:ind w:firstLine="183"/>
        <w:spacing w:after="0" w:line="253" w:lineRule="auto"/>
        <w:rPr>
          <w:sz w:val="20"/>
          <w:szCs w:val="20"/>
          <w:color w:val="auto"/>
        </w:rPr>
      </w:pPr>
      <w:r>
        <w:rPr>
          <w:rFonts w:ascii="Arial" w:cs="Arial" w:eastAsia="Arial" w:hAnsi="Arial"/>
          <w:sz w:val="16"/>
          <w:szCs w:val="16"/>
          <w:color w:val="auto"/>
        </w:rPr>
        <w:t>ICON has the ISO 37001:2016 certification for its Anti-Bribery Management System having established, implemented, maintained, reviewed and improved an Anti-Bribery Management System that can prevent, detect and mitigate the risk of bribery. Our program is designed to ensure our compliance with anti-corruption laws, including due diligence, training, policies, procedures, and internal controls.</w:t>
      </w:r>
    </w:p>
    <w:p>
      <w:pPr>
        <w:spacing w:after="0" w:line="228" w:lineRule="exact"/>
        <w:rPr>
          <w:sz w:val="20"/>
          <w:szCs w:val="20"/>
          <w:color w:val="auto"/>
        </w:rPr>
      </w:pPr>
    </w:p>
    <w:p>
      <w:pPr>
        <w:jc w:val="both"/>
        <w:ind w:firstLine="210"/>
        <w:spacing w:after="0" w:line="249" w:lineRule="auto"/>
        <w:rPr>
          <w:sz w:val="20"/>
          <w:szCs w:val="20"/>
          <w:color w:val="auto"/>
        </w:rPr>
      </w:pPr>
      <w:r>
        <w:rPr>
          <w:rFonts w:ascii="Arial" w:cs="Arial" w:eastAsia="Arial" w:hAnsi="Arial"/>
          <w:sz w:val="16"/>
          <w:szCs w:val="16"/>
          <w:color w:val="auto"/>
        </w:rPr>
        <w:t>Bribery and corruption remains a business risk as we conduct our business across the globe and enter into partnerships and collaborations. There is no certainty that all employees and third party business partners (including our vendors, suppliers, agents, contractors, and other partners) will comply with anti-bribery laws. When working with third parties, we are committed to working with only those who embrace high standards of ethical behavior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23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Internal Audit team conducts ABAC Program audits. Internal Audits focus on testing for compliance and design effectiveness of the overall ABAC Program, Internal Audit incorporates an assessment of ABAC measures in all audits, as appropriate. In this approach, bribery and corruption risks are incorporated into the risk assessment and scoping process of each audit.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Security and Privacy</w:t>
      </w:r>
    </w:p>
    <w:p>
      <w:pPr>
        <w:spacing w:after="0" w:line="2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understand that information security and privacy are fundamental to ICON’s business and key to retaining customers, building investor trust, protecting patients and ensuring that we are compliant with global and regional regulations. Our cybersecurity strategy and program protects our systems and data against the changing threat landscape and it is independently assessed regularly. ICON’s processes and range of information security policies are certified to ISO 27001 and independently audited twice annually as part of surveillance audits and we also have the Cyber Essentials certification.</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people and partners also play a critical role in safeguarding data. ICON has training in place for all employees and contingent workers on information security and privacy practices so they understand their role in terms of information security and privacy and are clear on how to report incidents.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68"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6"/>
          <w:szCs w:val="16"/>
          <w:color w:val="auto"/>
        </w:rPr>
        <w:t>Our marketing strategy is focused on building a differentiated brand position for ICON and supporting our business development efforts to develop and build relationships with pharmaceutical, biotechnology, medical device, and government and public health organizations.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each of our business areas. Collectively, our business development team, senior executives and project team leaders share responsibility for the maintenance of key client relationships. Our aim is to develop deeper relationships within our client base in order to gain repeat business and give us opportunities to penetrate into other therapeutic indications and adjacent service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Competition</w:t>
      </w:r>
    </w:p>
    <w:p>
      <w:pPr>
        <w:spacing w:after="0" w:line="133" w:lineRule="exact"/>
        <w:rPr>
          <w:sz w:val="20"/>
          <w:szCs w:val="20"/>
          <w:color w:val="auto"/>
        </w:rPr>
      </w:pPr>
    </w:p>
    <w:p>
      <w:pPr>
        <w:jc w:val="both"/>
        <w:ind w:firstLine="194"/>
        <w:spacing w:after="0" w:line="249" w:lineRule="auto"/>
        <w:rPr>
          <w:sz w:val="20"/>
          <w:szCs w:val="20"/>
          <w:color w:val="auto"/>
        </w:rPr>
      </w:pPr>
      <w:r>
        <w:rPr>
          <w:rFonts w:ascii="Arial" w:cs="Arial" w:eastAsia="Arial" w:hAnsi="Arial"/>
          <w:sz w:val="16"/>
          <w:szCs w:val="16"/>
          <w:color w:val="auto"/>
        </w:rPr>
        <w:t>The CRO industry is fragmented, consisting of many small, niche service providers, a declining number of medium-sized providers and a smaller number of large CROs, including ICON, that are differentiated by the scale of their global operations, breadth of service portfolios and supporting technology infrastructure. The need to conduct complex research and access patients on a global basis is driving market share to these global CROs. When competing for large development programs, ICON competes primarily with IQVIA, PAREXEL, Pharmaceutical Product Development ('PPD'), the Covance Drug Development business of LabCorp, PRA Health Sciences and Syneos Health. In some specific markets, for example biotech and mid-tier pharma, ICON may also compete against mid-tier CROs. Competition also exists for acquisition candidates in addition to competition for customers.</w:t>
      </w:r>
    </w:p>
    <w:p>
      <w:pPr>
        <w:spacing w:after="0" w:line="232" w:lineRule="exact"/>
        <w:rPr>
          <w:sz w:val="20"/>
          <w:szCs w:val="20"/>
          <w:color w:val="auto"/>
        </w:rPr>
      </w:pPr>
    </w:p>
    <w:p>
      <w:pPr>
        <w:jc w:val="both"/>
        <w:ind w:firstLine="272"/>
        <w:spacing w:after="0" w:line="250" w:lineRule="auto"/>
        <w:rPr>
          <w:sz w:val="20"/>
          <w:szCs w:val="20"/>
          <w:color w:val="auto"/>
        </w:rPr>
      </w:pPr>
      <w:r>
        <w:rPr>
          <w:rFonts w:ascii="Arial" w:cs="Arial" w:eastAsia="Arial" w:hAnsi="Arial"/>
          <w:sz w:val="16"/>
          <w:szCs w:val="16"/>
          <w:color w:val="auto"/>
        </w:rPr>
        <w:t>CROs generally compete on the basis of previous product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believe that we compete favorably in all these areas and we continue to invest in our capabilities to ensure that we remain competitive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68" w:lineRule="exact"/>
        <w:rPr>
          <w:sz w:val="20"/>
          <w:szCs w:val="20"/>
          <w:color w:val="auto"/>
        </w:rPr>
      </w:pPr>
    </w:p>
    <w:p>
      <w:pPr>
        <w:jc w:val="both"/>
        <w:ind w:firstLine="264"/>
        <w:spacing w:after="0" w:line="251" w:lineRule="auto"/>
        <w:rPr>
          <w:sz w:val="20"/>
          <w:szCs w:val="20"/>
          <w:color w:val="auto"/>
        </w:rPr>
      </w:pPr>
      <w:r>
        <w:rPr>
          <w:rFonts w:ascii="Arial" w:cs="Arial" w:eastAsia="Arial" w:hAnsi="Arial"/>
          <w:sz w:val="16"/>
          <w:szCs w:val="16"/>
          <w:color w:val="auto"/>
        </w:rPr>
        <w:t xml:space="preserve">During the year ended December 31, 2020, revenue was earned from over 1,000 clients. During the year ended December 31, 2020, 39.1% of our revenues were derived from our top five customers, with one customer individually contributing more than 10% of our revenues during the period. This customer represented a strategic partnership with a large global pharmaceutical company and contributed 12.1% of revenue for the year. No other customer contributed more than 10% of our revenues during this period (see </w:t>
      </w:r>
      <w:r>
        <w:rPr>
          <w:rFonts w:ascii="Arial" w:cs="Arial" w:eastAsia="Arial" w:hAnsi="Arial"/>
          <w:sz w:val="16"/>
          <w:szCs w:val="16"/>
          <w:i w:val="1"/>
          <w:iCs w:val="1"/>
          <w:color w:val="auto"/>
        </w:rPr>
        <w:t>note 16 - Disaggregation of revenue</w:t>
      </w:r>
      <w:r>
        <w:rPr>
          <w:rFonts w:ascii="Arial" w:cs="Arial" w:eastAsia="Arial" w:hAnsi="Arial"/>
          <w:sz w:val="16"/>
          <w:szCs w:val="16"/>
          <w:color w:val="auto"/>
        </w:rPr>
        <w:t xml:space="preserve"> in the consolidated financial statements).</w:t>
      </w:r>
    </w:p>
    <w:p>
      <w:pPr>
        <w:spacing w:after="0" w:line="229" w:lineRule="exact"/>
        <w:rPr>
          <w:sz w:val="20"/>
          <w:szCs w:val="20"/>
          <w:color w:val="auto"/>
        </w:rPr>
      </w:pPr>
    </w:p>
    <w:p>
      <w:pPr>
        <w:jc w:val="both"/>
        <w:ind w:right="20" w:firstLine="192"/>
        <w:spacing w:after="0" w:line="253" w:lineRule="auto"/>
        <w:rPr>
          <w:sz w:val="20"/>
          <w:szCs w:val="20"/>
          <w:color w:val="auto"/>
        </w:rPr>
      </w:pPr>
      <w:r>
        <w:rPr>
          <w:rFonts w:ascii="Arial" w:cs="Arial" w:eastAsia="Arial" w:hAnsi="Arial"/>
          <w:sz w:val="16"/>
          <w:szCs w:val="16"/>
          <w:color w:val="auto"/>
        </w:rPr>
        <w:t>During the year ended December 31, 2019, 37.6% of our revenues were derived from our top five customers, with two customers individually contributing more than 10% of our revenues during the period (The largest contributing 12.5% and the second largest contributing 10.2%). No other customer contributed more than 10% of our revenues during this period.</w:t>
      </w:r>
    </w:p>
    <w:p>
      <w:pPr>
        <w:spacing w:after="0" w:line="228" w:lineRule="exact"/>
        <w:rPr>
          <w:sz w:val="20"/>
          <w:szCs w:val="20"/>
          <w:color w:val="auto"/>
        </w:rPr>
      </w:pPr>
    </w:p>
    <w:p>
      <w:pPr>
        <w:jc w:val="both"/>
        <w:ind w:firstLine="203"/>
        <w:spacing w:after="0" w:line="260" w:lineRule="auto"/>
        <w:rPr>
          <w:sz w:val="20"/>
          <w:szCs w:val="20"/>
          <w:color w:val="auto"/>
        </w:rPr>
      </w:pPr>
      <w:r>
        <w:rPr>
          <w:rFonts w:ascii="Arial" w:cs="Arial" w:eastAsia="Arial" w:hAnsi="Arial"/>
          <w:sz w:val="16"/>
          <w:szCs w:val="16"/>
          <w:color w:val="auto"/>
        </w:rPr>
        <w:t>During the year ended December 31, 2018, 39.5% of our revenues were derived from our top five customers, with one customer individually contributing more than 10% of our revenues during the period (13.6%). No other customer contributed more than 10% of our revenues during this period.</w:t>
      </w:r>
    </w:p>
    <w:p>
      <w:pPr>
        <w:spacing w:after="0" w:line="222" w:lineRule="exact"/>
        <w:rPr>
          <w:sz w:val="20"/>
          <w:szCs w:val="20"/>
          <w:color w:val="auto"/>
        </w:rPr>
      </w:pPr>
    </w:p>
    <w:p>
      <w:pPr>
        <w:jc w:val="both"/>
        <w:ind w:firstLine="260"/>
        <w:spacing w:after="0" w:line="260" w:lineRule="auto"/>
        <w:rPr>
          <w:sz w:val="20"/>
          <w:szCs w:val="20"/>
          <w:color w:val="auto"/>
        </w:rPr>
      </w:pPr>
      <w:r>
        <w:rPr>
          <w:rFonts w:ascii="Arial" w:cs="Arial" w:eastAsia="Arial" w:hAnsi="Arial"/>
          <w:sz w:val="16"/>
          <w:szCs w:val="16"/>
          <w:color w:val="auto"/>
        </w:rPr>
        <w:t>The loss of, or a significant decrease in business from one or more of these key customers could have a material adverse impact on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Unsatisfied Performance Obligation</w:t>
      </w:r>
    </w:p>
    <w:p>
      <w:pPr>
        <w:spacing w:after="0" w:line="268" w:lineRule="exact"/>
        <w:rPr>
          <w:sz w:val="20"/>
          <w:szCs w:val="20"/>
          <w:color w:val="auto"/>
        </w:rPr>
      </w:pPr>
    </w:p>
    <w:p>
      <w:pPr>
        <w:jc w:val="both"/>
        <w:ind w:firstLine="205"/>
        <w:spacing w:after="0" w:line="250" w:lineRule="auto"/>
        <w:rPr>
          <w:sz w:val="20"/>
          <w:szCs w:val="20"/>
          <w:color w:val="auto"/>
        </w:rPr>
      </w:pPr>
      <w:r>
        <w:rPr>
          <w:rFonts w:ascii="Arial" w:cs="Arial" w:eastAsia="Arial" w:hAnsi="Arial"/>
          <w:sz w:val="16"/>
          <w:szCs w:val="16"/>
          <w:color w:val="auto"/>
        </w:rPr>
        <w:t xml:space="preserve">Our unsatisfied performance obligation consists of contracted revenue yet to be earned from projects awarded by clients. At December 31, 2020 we had contracted unsatisfied performance obligations of $6.3 billion (see </w:t>
      </w:r>
      <w:r>
        <w:rPr>
          <w:rFonts w:ascii="Arial" w:cs="Arial" w:eastAsia="Arial" w:hAnsi="Arial"/>
          <w:sz w:val="16"/>
          <w:szCs w:val="16"/>
          <w:i w:val="1"/>
          <w:iCs w:val="1"/>
          <w:color w:val="auto"/>
        </w:rPr>
        <w:t>note 17 - Accounts receivable, unbilled revenue (contract assets) and unearned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or payments on account (contract liabilities) </w:t>
      </w:r>
      <w:r>
        <w:rPr>
          <w:rFonts w:ascii="Arial" w:cs="Arial" w:eastAsia="Arial" w:hAnsi="Arial"/>
          <w:sz w:val="16"/>
          <w:szCs w:val="16"/>
          <w:color w:val="auto"/>
        </w:rPr>
        <w:t>in the consolidated financial statements). We believe that our unsatisfied performance obligation as of any date</w:t>
      </w:r>
      <w:r>
        <w:rPr>
          <w:rFonts w:ascii="Arial" w:cs="Arial" w:eastAsia="Arial" w:hAnsi="Arial"/>
          <w:sz w:val="16"/>
          <w:szCs w:val="16"/>
          <w:i w:val="1"/>
          <w:iCs w:val="1"/>
          <w:color w:val="auto"/>
        </w:rPr>
        <w:t xml:space="preserve"> </w:t>
      </w:r>
      <w:r>
        <w:rPr>
          <w:rFonts w:ascii="Arial" w:cs="Arial" w:eastAsia="Arial" w:hAnsi="Arial"/>
          <w:sz w:val="16"/>
          <w:szCs w:val="16"/>
          <w:color w:val="auto"/>
        </w:rPr>
        <w:t>is 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w:t>
      </w:r>
    </w:p>
    <w:p>
      <w:pPr>
        <w:spacing w:after="0" w:line="268" w:lineRule="exact"/>
        <w:rPr>
          <w:sz w:val="20"/>
          <w:szCs w:val="20"/>
          <w:color w:val="auto"/>
        </w:rPr>
      </w:pPr>
    </w:p>
    <w:p>
      <w:pPr>
        <w:jc w:val="both"/>
        <w:ind w:firstLine="204"/>
        <w:spacing w:after="0" w:line="250" w:lineRule="auto"/>
        <w:rPr>
          <w:sz w:val="20"/>
          <w:szCs w:val="20"/>
          <w:color w:val="auto"/>
        </w:rPr>
      </w:pPr>
      <w:r>
        <w:rPr>
          <w:rFonts w:ascii="Arial" w:cs="Arial" w:eastAsia="Arial" w:hAnsi="Arial"/>
          <w:sz w:val="16"/>
          <w:szCs w:val="16"/>
          <w:color w:val="auto"/>
        </w:rPr>
        <w:t>Having access to accurate and timely information is critical in the management, delivery and quality of all aspects of drug development. ICON utilizes an extensive range of both on premise and cloud based applications that support its services including clinical trial design and planning, site start-up, patient consent, site payments, content management, real world evidence generation, customer relationship management (CRM), performance management, compliance and safety reporting and master data management. These solutions are to allow healthcare companies to manage, optimize and execute their clinical and commercial strategies in an orchestrated manner while addressing their regulatory obligations.</w:t>
      </w:r>
    </w:p>
    <w:p>
      <w:pPr>
        <w:spacing w:after="0" w:line="230" w:lineRule="exact"/>
        <w:rPr>
          <w:sz w:val="20"/>
          <w:szCs w:val="20"/>
          <w:color w:val="auto"/>
        </w:rPr>
      </w:pPr>
    </w:p>
    <w:p>
      <w:pPr>
        <w:jc w:val="both"/>
        <w:ind w:firstLine="232"/>
        <w:spacing w:after="0" w:line="250" w:lineRule="auto"/>
        <w:rPr>
          <w:sz w:val="20"/>
          <w:szCs w:val="20"/>
          <w:color w:val="auto"/>
        </w:rPr>
      </w:pPr>
      <w:r>
        <w:rPr>
          <w:rFonts w:ascii="Arial" w:cs="Arial" w:eastAsia="Arial" w:hAnsi="Arial"/>
          <w:sz w:val="16"/>
          <w:szCs w:val="16"/>
          <w:color w:val="auto"/>
        </w:rPr>
        <w:t>ICON has developed an informatics strategy built around ICONIK, a web-based information platform that enables the management, reporting, analysis and visualization of all data relating to drug development. ICONIK collects, manages and standardizes study data from multiple sources, including Electronic Data Capture (EDC), patient diaries, central laboratories and imaging, to provide a single view of study information. ICONIK enables ICON to deliver new services such as ICONIK monitoring which uses near-real time clinical data to drive monitoring visit schedules, enabling better decision making and the successful implementation of clinical trial strategies that significantly improve efficiency in clinical trials thereby reducing overall cost and time to market.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ind w:firstLine="253"/>
        <w:spacing w:after="0" w:line="251" w:lineRule="auto"/>
        <w:rPr>
          <w:sz w:val="20"/>
          <w:szCs w:val="20"/>
          <w:color w:val="auto"/>
        </w:rPr>
      </w:pPr>
      <w:r>
        <w:rPr>
          <w:rFonts w:ascii="Arial" w:cs="Arial" w:eastAsia="Arial" w:hAnsi="Arial"/>
          <w:sz w:val="16"/>
          <w:szCs w:val="16"/>
          <w:color w:val="auto"/>
        </w:rPr>
        <w:t>In addition to managing clinical data, ICONIK collects operational data, such as project management, clinical trials management system (CTMS) and metric information to drive trial efficiency and transparency. Investigator data, such as payments, site details and performance, can also be incorporated. ICONIK can be accessed via a portal that allows clients access to study related information via a secure web based environment. Data analysis from ICONIK Informatics Hub allows us to enhance the design and delivery of our projects, through stronger engagement with investigators and patients.</w:t>
      </w:r>
    </w:p>
    <w:p>
      <w:pPr>
        <w:spacing w:after="0" w:line="229" w:lineRule="exact"/>
        <w:rPr>
          <w:sz w:val="20"/>
          <w:szCs w:val="20"/>
          <w:color w:val="auto"/>
        </w:rPr>
      </w:pPr>
    </w:p>
    <w:p>
      <w:pPr>
        <w:jc w:val="both"/>
        <w:ind w:firstLine="232"/>
        <w:spacing w:after="0" w:line="260" w:lineRule="auto"/>
        <w:rPr>
          <w:sz w:val="20"/>
          <w:szCs w:val="20"/>
          <w:color w:val="auto"/>
        </w:rPr>
      </w:pPr>
      <w:r>
        <w:rPr>
          <w:rFonts w:ascii="Arial" w:cs="Arial" w:eastAsia="Arial" w:hAnsi="Arial"/>
          <w:sz w:val="16"/>
          <w:szCs w:val="16"/>
          <w:color w:val="auto"/>
        </w:rPr>
        <w:t>Firecrest, our site management and training technology, is another important component of our informatics strategy. Firecrest provides an on-line web-based portal to access visit by visit study guides which drive site performance and quality.</w:t>
      </w:r>
    </w:p>
    <w:p>
      <w:pPr>
        <w:spacing w:after="0" w:line="222"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Amazon, Oracle, Dell, SAS and Dassault. IT expenditure is authorized by strict IT governance policies requiring senior level approval of all strategic IT expenditure based on defined, measurable business benefits.</w:t>
      </w:r>
    </w:p>
    <w:p>
      <w:pPr>
        <w:spacing w:after="0" w:line="229" w:lineRule="exact"/>
        <w:rPr>
          <w:sz w:val="20"/>
          <w:szCs w:val="20"/>
          <w:color w:val="auto"/>
        </w:rPr>
      </w:pPr>
    </w:p>
    <w:p>
      <w:pPr>
        <w:jc w:val="both"/>
        <w:ind w:firstLine="212"/>
        <w:spacing w:after="0" w:line="248"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deployed leading clinical data management solutions including EDC and Clinical Data Warehouse solutions from external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behavior can then be tracked to ensure training is understood, procedures are being followed, timelines are met and study parameters are maintained. As well as meeting day to day operational requirements, these systems are feeder systems into the ICONIK platform.</w:t>
      </w:r>
    </w:p>
    <w:p>
      <w:pPr>
        <w:spacing w:after="0" w:line="233"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6"/>
          <w:szCs w:val="16"/>
          <w:color w:val="auto"/>
        </w:rPr>
        <w:t>We provide interactive response technology (IXR) to enable centralized patient randomization, drug inventory management, patient diary collection and provides our clients with a fully flexible data retrieval solution which can be utilized via telephone, internet browser or a mobile device. In our central laboratory business, we utilize a comprehensive suite of software, including a laboratory information management system (LIMS), a kit / sample management system and a web interface system to allow clients to review results online. Our Laboratory also utilizes IMRA, a web based laboratory review application that allows global access to the latest laboratory data on a study - it facilitates detailed analysis of any trends, signals, alerts or patient specific data on a real-time basis. ICON provides imaging services through the use of its internally developed MIRA platform and also utilizes Medidata’s Rave Commercial Imaging for collecting, managing and processing data to support its imaging capabilities.</w:t>
      </w:r>
    </w:p>
    <w:p>
      <w:pPr>
        <w:spacing w:after="0" w:line="235" w:lineRule="exact"/>
        <w:rPr>
          <w:sz w:val="20"/>
          <w:szCs w:val="20"/>
          <w:color w:val="auto"/>
        </w:rPr>
      </w:pPr>
    </w:p>
    <w:p>
      <w:pPr>
        <w:jc w:val="both"/>
        <w:ind w:firstLine="252"/>
        <w:spacing w:after="0" w:line="260" w:lineRule="auto"/>
        <w:rPr>
          <w:sz w:val="20"/>
          <w:szCs w:val="20"/>
          <w:color w:val="auto"/>
        </w:rPr>
      </w:pPr>
      <w:r>
        <w:rPr>
          <w:rFonts w:ascii="Arial" w:cs="Arial" w:eastAsia="Arial" w:hAnsi="Arial"/>
          <w:sz w:val="16"/>
          <w:szCs w:val="16"/>
          <w:color w:val="auto"/>
        </w:rPr>
        <w:t>ICON provides its Pharmacovigilance Services using Oracle’s ARGUS safety database, the system is FDA regulation 21 CFR Part 11 compliant and generates all the standard regulatory required reports as well the periodic reports required to support operations.</w:t>
      </w:r>
    </w:p>
    <w:p>
      <w:pPr>
        <w:spacing w:after="0" w:line="222" w:lineRule="exact"/>
        <w:rPr>
          <w:sz w:val="20"/>
          <w:szCs w:val="20"/>
          <w:color w:val="auto"/>
        </w:rPr>
      </w:pPr>
    </w:p>
    <w:p>
      <w:pPr>
        <w:jc w:val="both"/>
        <w:ind w:firstLine="271"/>
        <w:spacing w:after="0" w:line="250" w:lineRule="auto"/>
        <w:rPr>
          <w:sz w:val="20"/>
          <w:szCs w:val="20"/>
          <w:color w:val="auto"/>
        </w:rPr>
      </w:pPr>
      <w:r>
        <w:rPr>
          <w:rFonts w:ascii="Arial" w:cs="Arial" w:eastAsia="Arial" w:hAnsi="Arial"/>
          <w:sz w:val="16"/>
          <w:szCs w:val="16"/>
          <w:color w:val="auto"/>
        </w:rPr>
        <w:t>ICON supports Population Pharmacokinetics &amp; Pharmacokinetic Pharmacodynamic modeling though the use of its proprietary software NONMEM®. NONMEM® is a nonlinear mixed effects modeling tool that can be used to fit models to many different types of data. Statistical analysis with NONMEM® using the appropriate model helps pharmaceutical companies determine appropriate dosing strategies for their products, and increase their understanding of drug mechanisms and interactions. NONMEM® can also be accompanied with PDx-Pop proprietary software. PDx-Pop software is a graphical interface for NONMEM® which has its own automation methodology which expedites the iterative process of population pharmacokinetic modeling and analysis.</w:t>
      </w:r>
    </w:p>
    <w:p>
      <w:pPr>
        <w:spacing w:after="0" w:line="230" w:lineRule="exact"/>
        <w:rPr>
          <w:sz w:val="20"/>
          <w:szCs w:val="20"/>
          <w:color w:val="auto"/>
        </w:rPr>
      </w:pPr>
    </w:p>
    <w:p>
      <w:pPr>
        <w:jc w:val="both"/>
        <w:ind w:right="20" w:firstLine="199"/>
        <w:spacing w:after="0" w:line="260" w:lineRule="auto"/>
        <w:rPr>
          <w:sz w:val="20"/>
          <w:szCs w:val="20"/>
          <w:color w:val="auto"/>
        </w:rPr>
      </w:pPr>
      <w:r>
        <w:rPr>
          <w:rFonts w:ascii="Arial" w:cs="Arial" w:eastAsia="Arial" w:hAnsi="Arial"/>
          <w:sz w:val="16"/>
          <w:szCs w:val="16"/>
          <w:color w:val="auto"/>
        </w:rPr>
        <w:t>All of the Company’s global finance operations utilize Oracle’s eBusiness suite, with the integrated Excel4Apps reporting tool, to serve the organization’s financial and project accounting requirements. Workday is used to fulfill our HR people management requirements.</w:t>
      </w:r>
    </w:p>
    <w:p>
      <w:pPr>
        <w:spacing w:after="0" w:line="87"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6"/>
          <w:szCs w:val="16"/>
          <w:color w:val="auto"/>
        </w:rPr>
        <w:t>The Company’s strategy of using technology to enhance our global processes is evident from our deployment of platforms like ICONIK Metrics Stream EDMS/QMS, our global SOP Document Management system, our Web-based training delivery solution, iLearn, workflow and automation platforms such as ServiceNow, Sailpoint for identity management and governance and Pega &amp; ARGUS for pharmacovigilance. The Electronic Trial Master File is delivered via ICON’s proprietary software ICOMaster or the Wingspan software platform. Our business development and contracting teams use Salesforce.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2" w:name="page43"/>
    <w:bookmarkEnd w:id="42"/>
    <w:p>
      <w:pPr>
        <w:jc w:val="both"/>
        <w:ind w:firstLine="189"/>
        <w:spacing w:after="0" w:line="249" w:lineRule="auto"/>
        <w:rPr>
          <w:sz w:val="20"/>
          <w:szCs w:val="20"/>
          <w:color w:val="auto"/>
        </w:rPr>
      </w:pPr>
      <w:r>
        <w:rPr>
          <w:rFonts w:ascii="Arial" w:cs="Arial" w:eastAsia="Arial" w:hAnsi="Arial"/>
          <w:sz w:val="16"/>
          <w:szCs w:val="16"/>
          <w:color w:val="auto"/>
        </w:rPr>
        <w:t>Our IT systems are operated from three data center hubs in Dublin, Ireland; Philadelphia, Pennsylvania and Singapore. These hubs reside within purpose built data center facility locations. Other offices are linked to these hubs through a network managed by Verizon, a tier one global telecommunications provider. This network provides global connectivity for our applications and allows collaboration and communication using tools like Cisco Jabber, WebEx, Sharepoint and Box. Mobile staff can also access all systems via secure remote access facilities. A global corporate intranet portal provides access to all authorized data and applications for our internal staff as well as providing an internal platform for company-wide communication. IT systems are protected with robust information security controls which are independently audited biannually as part of maintaining ICON’s ISO27001:2013 certification.</w:t>
      </w:r>
    </w:p>
    <w:p>
      <w:pPr>
        <w:spacing w:after="0" w:line="286" w:lineRule="exact"/>
        <w:rPr>
          <w:sz w:val="20"/>
          <w:szCs w:val="20"/>
          <w:color w:val="auto"/>
        </w:rPr>
      </w:pPr>
    </w:p>
    <w:p>
      <w:pPr>
        <w:jc w:val="both"/>
        <w:ind w:firstLine="255"/>
        <w:spacing w:after="0" w:line="246" w:lineRule="auto"/>
        <w:rPr>
          <w:sz w:val="20"/>
          <w:szCs w:val="20"/>
          <w:color w:val="auto"/>
        </w:rPr>
      </w:pPr>
      <w:r>
        <w:rPr>
          <w:rFonts w:ascii="Arial" w:cs="Arial" w:eastAsia="Arial" w:hAnsi="Arial"/>
          <w:sz w:val="16"/>
          <w:szCs w:val="16"/>
          <w:color w:val="auto"/>
        </w:rPr>
        <w:t>ICON enables its patient site and data strategy through the services delivered via PMG Research, MeDiNova (together Accellacare), Symphony and through our partnership with Oncacare, where we work with biopharmaceutical companies and other life science providers (e.g. medical devices companies) to develop and deploy bespoke stakeholder engagement solutions. ICON’s patient engagement services enable site staff to engage directly with patients to help improve their disease and medication understanding through interventional and non-interventional support.</w:t>
      </w:r>
    </w:p>
    <w:p>
      <w:pPr>
        <w:spacing w:after="0" w:line="2" w:lineRule="exact"/>
        <w:rPr>
          <w:sz w:val="20"/>
          <w:szCs w:val="20"/>
          <w:color w:val="auto"/>
        </w:rPr>
      </w:pPr>
    </w:p>
    <w:p>
      <w:pPr>
        <w:jc w:val="both"/>
        <w:ind w:firstLine="187"/>
        <w:spacing w:after="0" w:line="260" w:lineRule="auto"/>
        <w:rPr>
          <w:sz w:val="20"/>
          <w:szCs w:val="20"/>
          <w:color w:val="auto"/>
        </w:rPr>
      </w:pPr>
      <w:r>
        <w:rPr>
          <w:rFonts w:ascii="Arial" w:cs="Arial" w:eastAsia="Arial" w:hAnsi="Arial"/>
          <w:sz w:val="16"/>
          <w:szCs w:val="16"/>
          <w:color w:val="auto"/>
        </w:rPr>
        <w:t>Through the 2019 acquisition of MMD, ICON provides molecular diagnostic laboratory capabilities that enables the development and commercialization of precision medicines in oncology. MMD delivers this via the WINDOPATH LIMS software.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key innovations and new technologies include;</w:t>
      </w:r>
    </w:p>
    <w:p>
      <w:pPr>
        <w:spacing w:after="0" w:line="302" w:lineRule="exact"/>
        <w:rPr>
          <w:sz w:val="20"/>
          <w:szCs w:val="20"/>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FLEX ADVANTAGE is our interactive response technology platform (accessible through the web and web-enabled mobile devices) for managing patient randomization, investigator sites and clinical suppliers.</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PubsHub brings speed and efficiency to medical teams by delivering easy-to-use, web-based solutions that bridge process gaps for system harmonization across companies. ICON utilizes PubsHub to automate medical and scientific communications and publications management.</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ICON Patient Engagement Platform features an easy to navigate, user friendly website enabling patients to explore new and ongoing studies available, opt-in and connect with their nearest clinical research site.</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One Search, an intuitive, integrated workflow and interrogation tool from ICON,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39"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ADDPLAN for simulation and design of exploratory/pilot and confirmatory/pivotal adaptive clinical trials (ADDPLAN® DF (Dose Finder), ADDPLAN® Base, ADDPLAN® MC (Multiple Comparison) and ADDPLAN® PE (Population Enrichment)).</w:t>
      </w:r>
    </w:p>
    <w:p>
      <w:pPr>
        <w:spacing w:after="0" w:line="33" w:lineRule="exact"/>
        <w:rPr>
          <w:rFonts w:ascii="Arial" w:cs="Arial" w:eastAsia="Arial" w:hAnsi="Arial"/>
          <w:sz w:val="16"/>
          <w:szCs w:val="16"/>
          <w:color w:val="auto"/>
        </w:rPr>
      </w:pPr>
    </w:p>
    <w:p>
      <w:pPr>
        <w:jc w:val="both"/>
        <w:ind w:left="660" w:hanging="328"/>
        <w:spacing w:after="0" w:line="253"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AptivAdvantage which is an integrated platform comprising EDC, randomization and drug supply management specifically created for execution of adaptive clinical trials and used to deliver risk-based monitoring; and Aptiv Insite which is a novel approach to risk-based monitoring, using Verification by Statistical Sampling (VSS) to manage data quality and site related risks.</w:t>
      </w:r>
    </w:p>
    <w:p>
      <w:pPr>
        <w:spacing w:after="0" w:line="39" w:lineRule="exact"/>
        <w:rPr>
          <w:rFonts w:ascii="Arial" w:cs="Arial" w:eastAsia="Arial" w:hAnsi="Arial"/>
          <w:sz w:val="16"/>
          <w:szCs w:val="16"/>
          <w:color w:val="auto"/>
        </w:rPr>
      </w:pPr>
    </w:p>
    <w:p>
      <w:pPr>
        <w:jc w:val="both"/>
        <w:ind w:left="660" w:hanging="328"/>
        <w:spacing w:after="0" w:line="251"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Sample Inventory Management System (SIMS) is an interactive reporting module in ICOLabs for use by sponsors and study teams. It offers near real time, high level traceability of all patient samples in a clinical trial as they move from accessioning through disposition. SIMS provides detailed sample inventory reports and summaries of sample status and location with drill down capabilities. It helps locate samples more rapidly, particularly at critical study junctures.</w:t>
      </w:r>
    </w:p>
    <w:p>
      <w:pPr>
        <w:spacing w:after="0" w:line="40"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Virtual/Hybrid Trials. Utilizing a combination of ICON developed capabilities in conjunction with commercially available software, ICON brings trials directly to patients, thus allowing diverse and difficult to recruit patient populations to be accessed.</w:t>
      </w:r>
    </w:p>
    <w:p>
      <w:pPr>
        <w:spacing w:after="0" w:line="33"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APECS - for Investigator Payments ensures timely and accurate payments to sites for the work performed in the care and management of patients as they participate within clinical trials.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Arrangements</w:t>
      </w:r>
    </w:p>
    <w:p>
      <w:pPr>
        <w:spacing w:after="0" w:line="268" w:lineRule="exact"/>
        <w:rPr>
          <w:sz w:val="20"/>
          <w:szCs w:val="20"/>
          <w:color w:val="auto"/>
        </w:rPr>
      </w:pPr>
    </w:p>
    <w:p>
      <w:pPr>
        <w:jc w:val="both"/>
        <w:ind w:firstLine="220"/>
        <w:spacing w:after="0" w:line="260" w:lineRule="auto"/>
        <w:rPr>
          <w:sz w:val="20"/>
          <w:szCs w:val="20"/>
          <w:color w:val="auto"/>
        </w:rPr>
      </w:pPr>
      <w:r>
        <w:rPr>
          <w:rFonts w:ascii="Arial" w:cs="Arial" w:eastAsia="Arial" w:hAnsi="Arial"/>
          <w:sz w:val="16"/>
          <w:szCs w:val="16"/>
          <w:color w:val="auto"/>
        </w:rPr>
        <w:t>We are generally awarded projects based upon our responses to requests for proposals received from companies in the pharmaceutical, biotechnology and medical device industries, or work orders executed under our strategic partnership agreements.</w:t>
      </w:r>
    </w:p>
    <w:p>
      <w:pPr>
        <w:spacing w:after="0" w:line="222" w:lineRule="exact"/>
        <w:rPr>
          <w:sz w:val="20"/>
          <w:szCs w:val="20"/>
          <w:color w:val="auto"/>
        </w:rPr>
      </w:pPr>
    </w:p>
    <w:p>
      <w:pPr>
        <w:jc w:val="both"/>
        <w:ind w:firstLine="250"/>
        <w:spacing w:after="0" w:line="251" w:lineRule="auto"/>
        <w:rPr>
          <w:sz w:val="20"/>
          <w:szCs w:val="20"/>
          <w:color w:val="auto"/>
        </w:rPr>
      </w:pPr>
      <w:r>
        <w:rPr>
          <w:rFonts w:ascii="Arial" w:cs="Arial" w:eastAsia="Arial" w:hAnsi="Arial"/>
          <w:sz w:val="16"/>
          <w:szCs w:val="16"/>
          <w:color w:val="auto"/>
        </w:rPr>
        <w:t>Revenues on long term contracts are recognized based on an assessment of progress towards completion. Payment terms usually provide either for payments based on the delivery of certain identified milestones, units delivered or monthly payments, according to a contracted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3" w:name="page44"/>
    <w:bookmarkEnd w:id="43"/>
    <w:p>
      <w:pPr>
        <w:jc w:val="both"/>
        <w:ind w:firstLine="199"/>
        <w:spacing w:after="0" w:line="251" w:lineRule="auto"/>
        <w:rPr>
          <w:sz w:val="20"/>
          <w:szCs w:val="20"/>
          <w:color w:val="auto"/>
        </w:rPr>
      </w:pPr>
      <w:r>
        <w:rPr>
          <w:rFonts w:ascii="Arial" w:cs="Arial" w:eastAsia="Arial" w:hAnsi="Arial"/>
          <w:sz w:val="16"/>
          <w:szCs w:val="16"/>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completion of certain performance targets or "milestones", on units delivered, or on a fixed monthly payment schedule. For instance, installment payments may be based on patient enrollment dates or delivery of the database.</w:t>
      </w:r>
    </w:p>
    <w:p>
      <w:pPr>
        <w:spacing w:after="0" w:line="229" w:lineRule="exact"/>
        <w:rPr>
          <w:sz w:val="20"/>
          <w:szCs w:val="20"/>
          <w:color w:val="auto"/>
        </w:rPr>
      </w:pPr>
    </w:p>
    <w:p>
      <w:pPr>
        <w:jc w:val="both"/>
        <w:ind w:firstLine="217"/>
        <w:spacing w:after="0" w:line="251" w:lineRule="auto"/>
        <w:rPr>
          <w:sz w:val="20"/>
          <w:szCs w:val="20"/>
          <w:color w:val="auto"/>
        </w:rPr>
      </w:pPr>
      <w:r>
        <w:rPr>
          <w:rFonts w:ascii="Arial" w:cs="Arial" w:eastAsia="Arial" w:hAnsi="Arial"/>
          <w:sz w:val="16"/>
          <w:szCs w:val="16"/>
          <w:color w:val="auto"/>
        </w:rPr>
        <w:t>The progress towards completion for clinical service contracts is measured based on total project costs (direct fees are therefore inclusive of third party costs). Reimbursable costs include payments to investigators, travel and accommodation costs and various other expenses incurred over the course of the clinical trial which are fully reimbursable by the client. Reimbursable expenses are included within direct costs. Reimbursable expenses are included within the contract and are invoiced on a monthly basis based on actual expenses incurred. Expenses incurred are determined by reference to activity.</w:t>
      </w:r>
    </w:p>
    <w:p>
      <w:pPr>
        <w:spacing w:after="0" w:line="229" w:lineRule="exact"/>
        <w:rPr>
          <w:sz w:val="20"/>
          <w:szCs w:val="20"/>
          <w:color w:val="auto"/>
        </w:rPr>
      </w:pPr>
    </w:p>
    <w:p>
      <w:pPr>
        <w:jc w:val="both"/>
        <w:ind w:right="20" w:firstLine="246"/>
        <w:spacing w:after="0" w:line="253" w:lineRule="auto"/>
        <w:rPr>
          <w:sz w:val="20"/>
          <w:szCs w:val="20"/>
          <w:color w:val="auto"/>
        </w:rPr>
      </w:pPr>
      <w:r>
        <w:rPr>
          <w:rFonts w:ascii="Arial" w:cs="Arial" w:eastAsia="Arial" w:hAnsi="Arial"/>
          <w:sz w:val="16"/>
          <w:szCs w:val="16"/>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228" w:lineRule="exact"/>
        <w:rPr>
          <w:sz w:val="20"/>
          <w:szCs w:val="20"/>
          <w:color w:val="auto"/>
        </w:rPr>
      </w:pPr>
    </w:p>
    <w:p>
      <w:pPr>
        <w:jc w:val="both"/>
        <w:ind w:firstLine="180"/>
        <w:spacing w:after="0" w:line="250" w:lineRule="auto"/>
        <w:rPr>
          <w:sz w:val="20"/>
          <w:szCs w:val="20"/>
          <w:color w:val="auto"/>
        </w:rPr>
      </w:pPr>
      <w:r>
        <w:rPr>
          <w:rFonts w:ascii="Arial" w:cs="Arial" w:eastAsia="Arial" w:hAnsi="Arial"/>
          <w:sz w:val="16"/>
          <w:szCs w:val="16"/>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Chief Executive Officer and other executive officers are responsible for day-to-day risk management of the Company and our Board oversees management's activities through both the full Board and its committees. Our Chief Executive Officer and other executive officers are members of ICON’s Quality and Risk Forum, which reviews risk. Our executive officers regularly report to the Board and its Committees to ensure effective and efficient oversight of our activities and to assist in proper risk management and the ongoing evaluation of management controls. The Board oversees general business and market risk management, our Audit Committee oversees risk management with respect to financial statements, accounting and financial controls and our Compensation and Organization Committee oversees risk management with respect to our compensation plans, policies and procedures. Internal audit reports functionally and administratively to our Chief Financial Officer and directly to the Audit Committee. With respect to non-financial risk management, including cybersecurity, legal compliance, privacy and enterprise risk, the Board and its Committees receive updates from the appropriate executives on the primary risks facing the Company and the measures the Company is taking to mitigate such risks.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68" w:lineRule="exact"/>
        <w:rPr>
          <w:sz w:val="20"/>
          <w:szCs w:val="20"/>
          <w:color w:val="auto"/>
        </w:rPr>
      </w:pPr>
    </w:p>
    <w:p>
      <w:pPr>
        <w:jc w:val="both"/>
        <w:ind w:firstLine="229"/>
        <w:spacing w:after="0" w:line="253" w:lineRule="auto"/>
        <w:rPr>
          <w:sz w:val="20"/>
          <w:szCs w:val="20"/>
          <w:color w:val="auto"/>
        </w:rPr>
      </w:pPr>
      <w:r>
        <w:rPr>
          <w:rFonts w:ascii="Arial" w:cs="Arial" w:eastAsia="Arial" w:hAnsi="Arial"/>
          <w:sz w:val="16"/>
          <w:szCs w:val="16"/>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201" w:lineRule="exact"/>
        <w:rPr>
          <w:sz w:val="20"/>
          <w:szCs w:val="20"/>
          <w:color w:val="auto"/>
        </w:rPr>
      </w:pPr>
    </w:p>
    <w:p>
      <w:pPr>
        <w:jc w:val="both"/>
        <w:ind w:firstLine="181"/>
        <w:spacing w:after="0" w:line="250" w:lineRule="auto"/>
        <w:rPr>
          <w:sz w:val="20"/>
          <w:szCs w:val="20"/>
          <w:color w:val="auto"/>
        </w:rPr>
      </w:pPr>
      <w:r>
        <w:rPr>
          <w:rFonts w:ascii="Arial" w:cs="Arial" w:eastAsia="Arial" w:hAnsi="Arial"/>
          <w:sz w:val="16"/>
          <w:szCs w:val="16"/>
          <w:color w:val="auto"/>
        </w:rPr>
        <w:t>The FDA and other prominent regulators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03" w:lineRule="exact"/>
        <w:rPr>
          <w:sz w:val="20"/>
          <w:szCs w:val="20"/>
          <w:color w:val="auto"/>
        </w:rPr>
      </w:pPr>
    </w:p>
    <w:p>
      <w:pPr>
        <w:jc w:val="both"/>
        <w:ind w:firstLine="217"/>
        <w:spacing w:after="0" w:line="251" w:lineRule="auto"/>
        <w:rPr>
          <w:sz w:val="20"/>
          <w:szCs w:val="20"/>
          <w:color w:val="auto"/>
        </w:rPr>
      </w:pPr>
      <w:r>
        <w:rPr>
          <w:rFonts w:ascii="Arial" w:cs="Arial" w:eastAsia="Arial" w:hAnsi="Arial"/>
          <w:sz w:val="16"/>
          <w:szCs w:val="16"/>
          <w:color w:val="auto"/>
        </w:rPr>
        <w:t>In providing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202" w:lineRule="exact"/>
        <w:rPr>
          <w:sz w:val="20"/>
          <w:szCs w:val="20"/>
          <w:color w:val="auto"/>
        </w:rPr>
      </w:pPr>
    </w:p>
    <w:p>
      <w:pPr>
        <w:jc w:val="both"/>
        <w:ind w:firstLine="190"/>
        <w:spacing w:after="0" w:line="260" w:lineRule="auto"/>
        <w:rPr>
          <w:sz w:val="20"/>
          <w:szCs w:val="20"/>
          <w:color w:val="auto"/>
        </w:rPr>
      </w:pPr>
      <w:r>
        <w:rPr>
          <w:rFonts w:ascii="Arial" w:cs="Arial" w:eastAsia="Arial" w:hAnsi="Arial"/>
          <w:sz w:val="16"/>
          <w:szCs w:val="16"/>
          <w:color w:val="auto"/>
        </w:rPr>
        <w:t>The services we provide outside the United States are ultimately subject to similar regulation by the relevant regulatory authority. In addition, our activities in Europe are affected by the European Medicines Agency.</w:t>
      </w:r>
    </w:p>
    <w:p>
      <w:pPr>
        <w:spacing w:after="0" w:line="195" w:lineRule="exact"/>
        <w:rPr>
          <w:sz w:val="20"/>
          <w:szCs w:val="20"/>
          <w:color w:val="auto"/>
        </w:rPr>
      </w:pPr>
    </w:p>
    <w:p>
      <w:pPr>
        <w:jc w:val="both"/>
        <w:ind w:firstLine="187"/>
        <w:spacing w:after="0" w:line="251" w:lineRule="auto"/>
        <w:rPr>
          <w:sz w:val="20"/>
          <w:szCs w:val="20"/>
          <w:color w:val="auto"/>
        </w:rPr>
      </w:pPr>
      <w:r>
        <w:rPr>
          <w:rFonts w:ascii="Arial" w:cs="Arial" w:eastAsia="Arial" w:hAnsi="Arial"/>
          <w:sz w:val="16"/>
          <w:szCs w:val="16"/>
          <w:color w:val="auto"/>
        </w:rPr>
        <w:t>We must retain records for each study for specified periods for inspection by the client and by the applicable regulatory authority during audits. If we fail to comply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Potential Liability and Insurance</w:t>
      </w:r>
    </w:p>
    <w:p>
      <w:pPr>
        <w:spacing w:after="0" w:line="268" w:lineRule="exact"/>
        <w:rPr>
          <w:sz w:val="20"/>
          <w:szCs w:val="20"/>
          <w:color w:val="auto"/>
        </w:rPr>
      </w:pPr>
    </w:p>
    <w:p>
      <w:pPr>
        <w:jc w:val="both"/>
        <w:ind w:firstLine="203"/>
        <w:spacing w:after="0" w:line="253" w:lineRule="auto"/>
        <w:rPr>
          <w:sz w:val="20"/>
          <w:szCs w:val="20"/>
          <w:color w:val="auto"/>
        </w:rPr>
      </w:pPr>
      <w:r>
        <w:rPr>
          <w:rFonts w:ascii="Arial" w:cs="Arial" w:eastAsia="Arial" w:hAnsi="Arial"/>
          <w:sz w:val="16"/>
          <w:szCs w:val="16"/>
          <w:color w:val="auto"/>
        </w:rPr>
        <w:t>The nature of our business exposes us to potential liability including, but not limited to, potential liability for (i) breach of contract or negligence claims by our customers; (ii) non-compliance with regulatory or legal obligations including, but not limited to, anti-bribery and anti-corruption laws; (iii) third party (such as patients) claims in respect of our performance of services.</w:t>
      </w:r>
    </w:p>
    <w:p>
      <w:pPr>
        <w:spacing w:after="0" w:line="174" w:lineRule="exact"/>
        <w:rPr>
          <w:sz w:val="20"/>
          <w:szCs w:val="20"/>
          <w:color w:val="auto"/>
        </w:rPr>
      </w:pPr>
    </w:p>
    <w:p>
      <w:pPr>
        <w:jc w:val="both"/>
        <w:ind w:firstLine="226"/>
        <w:spacing w:after="0" w:line="260" w:lineRule="auto"/>
        <w:rPr>
          <w:sz w:val="20"/>
          <w:szCs w:val="20"/>
          <w:color w:val="auto"/>
        </w:rPr>
      </w:pPr>
      <w:r>
        <w:rPr>
          <w:rFonts w:ascii="Arial" w:cs="Arial" w:eastAsia="Arial" w:hAnsi="Arial"/>
          <w:sz w:val="16"/>
          <w:szCs w:val="16"/>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try to reduce this potential liability by:</w:t>
      </w:r>
    </w:p>
    <w:p>
      <w:pPr>
        <w:spacing w:after="0" w:line="248" w:lineRule="exact"/>
        <w:rPr>
          <w:sz w:val="20"/>
          <w:szCs w:val="20"/>
          <w:color w:val="auto"/>
        </w:rPr>
      </w:pPr>
    </w:p>
    <w:p>
      <w:pPr>
        <w:jc w:val="both"/>
        <w:ind w:left="820" w:hanging="164"/>
        <w:spacing w:after="0" w:line="246" w:lineRule="auto"/>
        <w:tabs>
          <w:tab w:leader="none" w:pos="8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Seeking contractual indemnification from customers in relation to certain activities. However,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This indemnification does not protect us against our own acts or omissions such as our negligence or where our performance does not reach the required contractual, industry or regulatory standard.</w:t>
      </w:r>
    </w:p>
    <w:p>
      <w:pPr>
        <w:spacing w:after="0" w:line="2" w:lineRule="exact"/>
        <w:rPr>
          <w:rFonts w:ascii="Arial" w:cs="Arial" w:eastAsia="Arial" w:hAnsi="Arial"/>
          <w:sz w:val="16"/>
          <w:szCs w:val="16"/>
          <w:color w:val="auto"/>
        </w:rPr>
      </w:pPr>
    </w:p>
    <w:p>
      <w:pPr>
        <w:jc w:val="both"/>
        <w:ind w:left="820" w:hanging="164"/>
        <w:spacing w:after="0" w:line="253" w:lineRule="auto"/>
        <w:tabs>
          <w:tab w:leader="none" w:pos="8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Maintaining worldwide professional liability insurance. While we believe our insurance coverage is adequate, there is no guarantee that we will continue to be able to maintain such insurance coverage on terms acceptable to us, if at all, or that the relevant policy will respond and provide cover when we want it to.</w:t>
      </w:r>
    </w:p>
    <w:p>
      <w:pPr>
        <w:spacing w:after="0" w:line="228" w:lineRule="exact"/>
        <w:rPr>
          <w:sz w:val="20"/>
          <w:szCs w:val="20"/>
          <w:color w:val="auto"/>
        </w:rPr>
      </w:pPr>
    </w:p>
    <w:p>
      <w:pPr>
        <w:jc w:val="both"/>
        <w:ind w:firstLine="197"/>
        <w:spacing w:after="0" w:line="253" w:lineRule="auto"/>
        <w:rPr>
          <w:sz w:val="20"/>
          <w:szCs w:val="20"/>
          <w:color w:val="auto"/>
        </w:rPr>
      </w:pPr>
      <w:r>
        <w:rPr>
          <w:rFonts w:ascii="Arial" w:cs="Arial" w:eastAsia="Arial" w:hAnsi="Arial"/>
          <w:sz w:val="16"/>
          <w:szCs w:val="16"/>
          <w:color w:val="auto"/>
        </w:rPr>
        <w:t>We could be materially adversely affected if ICON is required to pay damages or bear the costs of defending or settling any claim outside the scope of or in excess of a contractual indemnification provision, an indemnifying party does not fulfill its indemnification obligations, the claim is in excess of the level of our insurance coverage or the relevant circumstances are not covered by our insurance policies.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Description of Property</w:t>
      </w:r>
    </w:p>
    <w:p>
      <w:pPr>
        <w:spacing w:after="0" w:line="268" w:lineRule="exact"/>
        <w:rPr>
          <w:sz w:val="20"/>
          <w:szCs w:val="20"/>
          <w:color w:val="auto"/>
        </w:rPr>
      </w:pPr>
    </w:p>
    <w:p>
      <w:pPr>
        <w:jc w:val="both"/>
        <w:ind w:firstLine="213"/>
        <w:spacing w:after="0" w:line="260" w:lineRule="auto"/>
        <w:rPr>
          <w:sz w:val="20"/>
          <w:szCs w:val="20"/>
          <w:color w:val="auto"/>
        </w:rPr>
      </w:pPr>
      <w:r>
        <w:rPr>
          <w:rFonts w:ascii="Arial" w:cs="Arial" w:eastAsia="Arial" w:hAnsi="Arial"/>
          <w:sz w:val="16"/>
          <w:szCs w:val="16"/>
          <w:color w:val="auto"/>
        </w:rPr>
        <w:t>Our principal executive offices are located in South County Business Park, Leopardstown, Dublin, Republic of Ireland, where we own an office facility of approximately 15,000 square meters. We lease all other properties.</w:t>
      </w:r>
    </w:p>
    <w:p>
      <w:pPr>
        <w:spacing w:after="0" w:line="222" w:lineRule="exact"/>
        <w:rPr>
          <w:sz w:val="20"/>
          <w:szCs w:val="20"/>
          <w:color w:val="auto"/>
        </w:rPr>
      </w:pPr>
    </w:p>
    <w:p>
      <w:pPr>
        <w:jc w:val="both"/>
        <w:ind w:firstLine="180"/>
        <w:spacing w:after="0" w:line="249" w:lineRule="auto"/>
        <w:rPr>
          <w:sz w:val="20"/>
          <w:szCs w:val="20"/>
          <w:color w:val="auto"/>
        </w:rPr>
      </w:pPr>
      <w:r>
        <w:rPr>
          <w:rFonts w:ascii="Arial" w:cs="Arial" w:eastAsia="Arial" w:hAnsi="Arial"/>
          <w:sz w:val="16"/>
          <w:szCs w:val="16"/>
          <w:color w:val="auto"/>
        </w:rPr>
        <w:t>We maintain thirty-three offices in North America; thirty in the United States, two in Canada and one in Mexico. We maintain thirty-seven in Europe; eleven of our offices in the UK, four in France, three each in Germany and Spain, two each in Italy, Ireland, and Poland and one in each of the Czech Republic, Hungary, Israel, Latvia, Romania, Russia, Sweden, The Netherlands, Turkey and the Ukraine. We have fifteen offices in Asia; four each in India and China (including one in Hong Kong), two in Japan, one in each of Singapore,The Philippines, South Korea, Taiwan and Thailand. We have one office in Australia and one in New Zealand. We have five offices in South America; one in each of Argentina, Brazil, Chile, Colombia and Peru. We maintain one office in South Africa.</w:t>
      </w:r>
    </w:p>
    <w:p>
      <w:pPr>
        <w:spacing w:after="0" w:line="21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Organizational Structure</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Details of the Company’s significant subsidiaries or entities under the Company's control at December 31, 2020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358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6"/>
                <w:szCs w:val="16"/>
                <w:b w:val="1"/>
                <w:bCs w:val="1"/>
                <w:i w:val="1"/>
                <w:iCs w:val="1"/>
                <w:color w:val="auto"/>
              </w:rPr>
              <w:t>Country</w:t>
            </w:r>
          </w:p>
        </w:tc>
        <w:tc>
          <w:tcPr>
            <w:tcW w:w="260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b w:val="1"/>
                <w:bCs w:val="1"/>
                <w:i w:val="1"/>
                <w:iCs w:val="1"/>
                <w:color w:val="auto"/>
              </w:rPr>
              <w:t>Group ownership</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ICON Clinical Research, S.A.</w:t>
            </w:r>
          </w:p>
        </w:tc>
        <w:tc>
          <w:tcPr>
            <w:tcW w:w="3580" w:type="dxa"/>
            <w:vAlign w:val="bottom"/>
          </w:tcPr>
          <w:p>
            <w:pPr>
              <w:ind w:left="1340"/>
              <w:spacing w:after="0"/>
              <w:rPr>
                <w:sz w:val="20"/>
                <w:szCs w:val="20"/>
                <w:color w:val="auto"/>
              </w:rPr>
            </w:pPr>
            <w:r>
              <w:rPr>
                <w:rFonts w:ascii="Arial" w:cs="Arial" w:eastAsia="Arial" w:hAnsi="Arial"/>
                <w:sz w:val="16"/>
                <w:szCs w:val="16"/>
                <w:color w:val="auto"/>
              </w:rPr>
              <w:t>Argentina</w:t>
            </w:r>
          </w:p>
        </w:tc>
        <w:tc>
          <w:tcPr>
            <w:tcW w:w="2600" w:type="dxa"/>
            <w:vAlign w:val="bottom"/>
          </w:tcPr>
          <w:p>
            <w:pPr>
              <w:jc w:val="center"/>
              <w:ind w:left="339"/>
              <w:spacing w:after="0"/>
              <w:rPr>
                <w:sz w:val="20"/>
                <w:szCs w:val="20"/>
                <w:color w:val="auto"/>
              </w:rPr>
            </w:pPr>
            <w:r>
              <w:rPr>
                <w:rFonts w:ascii="Arial" w:cs="Arial" w:eastAsia="Arial" w:hAnsi="Arial"/>
                <w:sz w:val="16"/>
                <w:szCs w:val="16"/>
                <w:color w:val="auto"/>
              </w:rPr>
              <w:t>100%</w:t>
            </w: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PTY Limited</w:t>
            </w:r>
          </w:p>
        </w:tc>
        <w:tc>
          <w:tcPr>
            <w:tcW w:w="358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Australia</w:t>
            </w:r>
          </w:p>
        </w:tc>
        <w:tc>
          <w:tcPr>
            <w:tcW w:w="260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rPr>
              <w:t>100%</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MedPass International Pty Ltd</w:t>
            </w:r>
          </w:p>
        </w:tc>
        <w:tc>
          <w:tcPr>
            <w:tcW w:w="3580" w:type="dxa"/>
            <w:vAlign w:val="bottom"/>
          </w:tcPr>
          <w:p>
            <w:pPr>
              <w:ind w:left="1340"/>
              <w:spacing w:after="0"/>
              <w:rPr>
                <w:sz w:val="20"/>
                <w:szCs w:val="20"/>
                <w:color w:val="auto"/>
              </w:rPr>
            </w:pPr>
            <w:r>
              <w:rPr>
                <w:rFonts w:ascii="Arial" w:cs="Arial" w:eastAsia="Arial" w:hAnsi="Arial"/>
                <w:sz w:val="16"/>
                <w:szCs w:val="16"/>
                <w:color w:val="auto"/>
              </w:rPr>
              <w:t>Australia</w:t>
            </w:r>
          </w:p>
        </w:tc>
        <w:tc>
          <w:tcPr>
            <w:tcW w:w="2600" w:type="dxa"/>
            <w:vAlign w:val="bottom"/>
          </w:tcPr>
          <w:p>
            <w:pPr>
              <w:jc w:val="center"/>
              <w:ind w:left="339"/>
              <w:spacing w:after="0"/>
              <w:rPr>
                <w:sz w:val="20"/>
                <w:szCs w:val="20"/>
                <w:color w:val="auto"/>
              </w:rPr>
            </w:pPr>
            <w:r>
              <w:rPr>
                <w:rFonts w:ascii="Arial" w:cs="Arial" w:eastAsia="Arial" w:hAnsi="Arial"/>
                <w:sz w:val="16"/>
                <w:szCs w:val="16"/>
                <w:color w:val="auto"/>
              </w:rPr>
              <w:t>100%</w:t>
            </w: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Austria GmbH</w:t>
            </w:r>
          </w:p>
        </w:tc>
        <w:tc>
          <w:tcPr>
            <w:tcW w:w="358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Austria</w:t>
            </w:r>
          </w:p>
        </w:tc>
        <w:tc>
          <w:tcPr>
            <w:tcW w:w="260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rPr>
              <w:t>100%</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DOCS International Belgium N.V.</w:t>
            </w:r>
          </w:p>
        </w:tc>
        <w:tc>
          <w:tcPr>
            <w:tcW w:w="3580" w:type="dxa"/>
            <w:vAlign w:val="bottom"/>
          </w:tcPr>
          <w:p>
            <w:pPr>
              <w:ind w:left="1340"/>
              <w:spacing w:after="0"/>
              <w:rPr>
                <w:sz w:val="20"/>
                <w:szCs w:val="20"/>
                <w:color w:val="auto"/>
              </w:rPr>
            </w:pPr>
            <w:r>
              <w:rPr>
                <w:rFonts w:ascii="Arial" w:cs="Arial" w:eastAsia="Arial" w:hAnsi="Arial"/>
                <w:sz w:val="16"/>
                <w:szCs w:val="16"/>
                <w:color w:val="auto"/>
              </w:rPr>
              <w:t>Belgium</w:t>
            </w:r>
          </w:p>
        </w:tc>
        <w:tc>
          <w:tcPr>
            <w:tcW w:w="2600" w:type="dxa"/>
            <w:vAlign w:val="bottom"/>
          </w:tcPr>
          <w:p>
            <w:pPr>
              <w:jc w:val="center"/>
              <w:ind w:left="339"/>
              <w:spacing w:after="0"/>
              <w:rPr>
                <w:sz w:val="20"/>
                <w:szCs w:val="20"/>
                <w:color w:val="auto"/>
              </w:rPr>
            </w:pPr>
            <w:r>
              <w:rPr>
                <w:rFonts w:ascii="Arial" w:cs="Arial" w:eastAsia="Arial" w:hAnsi="Arial"/>
                <w:sz w:val="16"/>
                <w:szCs w:val="16"/>
                <w:color w:val="auto"/>
              </w:rPr>
              <w:t>100%</w:t>
            </w: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Pesquisas Clínicas LTDA.</w:t>
            </w:r>
          </w:p>
        </w:tc>
        <w:tc>
          <w:tcPr>
            <w:tcW w:w="358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Brazil</w:t>
            </w:r>
          </w:p>
        </w:tc>
        <w:tc>
          <w:tcPr>
            <w:tcW w:w="260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rPr>
              <w:t>100%</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ICON Clinical Research EOOD</w:t>
            </w:r>
          </w:p>
        </w:tc>
        <w:tc>
          <w:tcPr>
            <w:tcW w:w="3580" w:type="dxa"/>
            <w:vAlign w:val="bottom"/>
          </w:tcPr>
          <w:p>
            <w:pPr>
              <w:ind w:left="1340"/>
              <w:spacing w:after="0"/>
              <w:rPr>
                <w:sz w:val="20"/>
                <w:szCs w:val="20"/>
                <w:color w:val="auto"/>
              </w:rPr>
            </w:pPr>
            <w:r>
              <w:rPr>
                <w:rFonts w:ascii="Arial" w:cs="Arial" w:eastAsia="Arial" w:hAnsi="Arial"/>
                <w:sz w:val="16"/>
                <w:szCs w:val="16"/>
                <w:color w:val="auto"/>
              </w:rPr>
              <w:t>Bulgaria</w:t>
            </w:r>
          </w:p>
        </w:tc>
        <w:tc>
          <w:tcPr>
            <w:tcW w:w="2600" w:type="dxa"/>
            <w:vAlign w:val="bottom"/>
          </w:tcPr>
          <w:p>
            <w:pPr>
              <w:jc w:val="center"/>
              <w:ind w:left="339"/>
              <w:spacing w:after="0"/>
              <w:rPr>
                <w:sz w:val="20"/>
                <w:szCs w:val="20"/>
                <w:color w:val="auto"/>
              </w:rPr>
            </w:pPr>
            <w:r>
              <w:rPr>
                <w:rFonts w:ascii="Arial" w:cs="Arial" w:eastAsia="Arial" w:hAnsi="Arial"/>
                <w:sz w:val="16"/>
                <w:szCs w:val="16"/>
                <w:color w:val="auto"/>
              </w:rPr>
              <w:t>100%</w:t>
            </w: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(Canada) Inc.</w:t>
            </w:r>
          </w:p>
        </w:tc>
        <w:tc>
          <w:tcPr>
            <w:tcW w:w="358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Canada</w:t>
            </w:r>
          </w:p>
        </w:tc>
        <w:tc>
          <w:tcPr>
            <w:tcW w:w="260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rPr>
              <w:t>100%</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ICON Life Sciences Canada Inc.</w:t>
            </w:r>
          </w:p>
        </w:tc>
        <w:tc>
          <w:tcPr>
            <w:tcW w:w="3580" w:type="dxa"/>
            <w:vAlign w:val="bottom"/>
          </w:tcPr>
          <w:p>
            <w:pPr>
              <w:ind w:left="1340"/>
              <w:spacing w:after="0"/>
              <w:rPr>
                <w:sz w:val="20"/>
                <w:szCs w:val="20"/>
                <w:color w:val="auto"/>
              </w:rPr>
            </w:pPr>
            <w:r>
              <w:rPr>
                <w:rFonts w:ascii="Arial" w:cs="Arial" w:eastAsia="Arial" w:hAnsi="Arial"/>
                <w:sz w:val="16"/>
                <w:szCs w:val="16"/>
                <w:color w:val="auto"/>
              </w:rPr>
              <w:t>Canada</w:t>
            </w:r>
          </w:p>
        </w:tc>
        <w:tc>
          <w:tcPr>
            <w:tcW w:w="2600" w:type="dxa"/>
            <w:vAlign w:val="bottom"/>
          </w:tcPr>
          <w:p>
            <w:pPr>
              <w:jc w:val="center"/>
              <w:ind w:left="339"/>
              <w:spacing w:after="0"/>
              <w:rPr>
                <w:sz w:val="20"/>
                <w:szCs w:val="20"/>
                <w:color w:val="auto"/>
              </w:rPr>
            </w:pPr>
            <w:r>
              <w:rPr>
                <w:rFonts w:ascii="Arial" w:cs="Arial" w:eastAsia="Arial" w:hAnsi="Arial"/>
                <w:sz w:val="16"/>
                <w:szCs w:val="16"/>
                <w:color w:val="auto"/>
              </w:rPr>
              <w:t>100%</w:t>
            </w: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Oxford Outcomes LTD</w:t>
            </w:r>
          </w:p>
        </w:tc>
        <w:tc>
          <w:tcPr>
            <w:tcW w:w="358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Canada</w:t>
            </w:r>
          </w:p>
        </w:tc>
        <w:tc>
          <w:tcPr>
            <w:tcW w:w="260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rPr>
              <w:t>100%</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ICON Chile Limitada</w:t>
            </w:r>
          </w:p>
        </w:tc>
        <w:tc>
          <w:tcPr>
            <w:tcW w:w="3580" w:type="dxa"/>
            <w:vAlign w:val="bottom"/>
          </w:tcPr>
          <w:p>
            <w:pPr>
              <w:ind w:left="1340"/>
              <w:spacing w:after="0"/>
              <w:rPr>
                <w:sz w:val="20"/>
                <w:szCs w:val="20"/>
                <w:color w:val="auto"/>
              </w:rPr>
            </w:pPr>
            <w:r>
              <w:rPr>
                <w:rFonts w:ascii="Arial" w:cs="Arial" w:eastAsia="Arial" w:hAnsi="Arial"/>
                <w:sz w:val="16"/>
                <w:szCs w:val="16"/>
                <w:color w:val="auto"/>
              </w:rPr>
              <w:t>Chile</w:t>
            </w:r>
          </w:p>
        </w:tc>
        <w:tc>
          <w:tcPr>
            <w:tcW w:w="2600" w:type="dxa"/>
            <w:vAlign w:val="bottom"/>
          </w:tcPr>
          <w:p>
            <w:pPr>
              <w:jc w:val="center"/>
              <w:ind w:left="339"/>
              <w:spacing w:after="0"/>
              <w:rPr>
                <w:sz w:val="20"/>
                <w:szCs w:val="20"/>
                <w:color w:val="auto"/>
              </w:rPr>
            </w:pPr>
            <w:r>
              <w:rPr>
                <w:rFonts w:ascii="Arial" w:cs="Arial" w:eastAsia="Arial" w:hAnsi="Arial"/>
                <w:sz w:val="16"/>
                <w:szCs w:val="16"/>
                <w:color w:val="auto"/>
              </w:rPr>
              <w:t>100%</w:t>
            </w:r>
          </w:p>
        </w:tc>
      </w:tr>
      <w:tr>
        <w:trPr>
          <w:trHeight w:val="233"/>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CRS (Beijing) Clinical Research Co., Limited</w:t>
            </w:r>
          </w:p>
        </w:tc>
        <w:tc>
          <w:tcPr>
            <w:tcW w:w="358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China</w:t>
            </w:r>
          </w:p>
        </w:tc>
        <w:tc>
          <w:tcPr>
            <w:tcW w:w="260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rPr>
              <w:t>100%</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ICON Clinical Research (Beijing No.2) Co., Ltd</w:t>
            </w:r>
          </w:p>
        </w:tc>
        <w:tc>
          <w:tcPr>
            <w:tcW w:w="3580" w:type="dxa"/>
            <w:vAlign w:val="bottom"/>
          </w:tcPr>
          <w:p>
            <w:pPr>
              <w:ind w:left="1340"/>
              <w:spacing w:after="0"/>
              <w:rPr>
                <w:sz w:val="20"/>
                <w:szCs w:val="20"/>
                <w:color w:val="auto"/>
              </w:rPr>
            </w:pPr>
            <w:r>
              <w:rPr>
                <w:rFonts w:ascii="Arial" w:cs="Arial" w:eastAsia="Arial" w:hAnsi="Arial"/>
                <w:sz w:val="16"/>
                <w:szCs w:val="16"/>
                <w:color w:val="auto"/>
              </w:rPr>
              <w:t>China</w:t>
            </w:r>
          </w:p>
        </w:tc>
        <w:tc>
          <w:tcPr>
            <w:tcW w:w="2600" w:type="dxa"/>
            <w:vAlign w:val="bottom"/>
          </w:tcPr>
          <w:p>
            <w:pPr>
              <w:jc w:val="center"/>
              <w:ind w:left="339"/>
              <w:spacing w:after="0"/>
              <w:rPr>
                <w:sz w:val="20"/>
                <w:szCs w:val="20"/>
                <w:color w:val="auto"/>
              </w:rPr>
            </w:pPr>
            <w:r>
              <w:rPr>
                <w:rFonts w:ascii="Arial" w:cs="Arial" w:eastAsia="Arial" w:hAnsi="Arial"/>
                <w:sz w:val="16"/>
                <w:szCs w:val="16"/>
                <w:color w:val="auto"/>
              </w:rPr>
              <w:t>100%</w:t>
            </w: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(Beijing) Co., Ltd</w:t>
            </w:r>
          </w:p>
        </w:tc>
        <w:tc>
          <w:tcPr>
            <w:tcW w:w="358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China</w:t>
            </w:r>
          </w:p>
        </w:tc>
        <w:tc>
          <w:tcPr>
            <w:tcW w:w="260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rPr>
              <w:t>100%</w:t>
            </w:r>
          </w:p>
        </w:tc>
      </w:tr>
      <w:tr>
        <w:trPr>
          <w:trHeight w:val="213"/>
        </w:trPr>
        <w:tc>
          <w:tcPr>
            <w:tcW w:w="5040" w:type="dxa"/>
            <w:vAlign w:val="bottom"/>
          </w:tcPr>
          <w:p>
            <w:pPr>
              <w:ind w:left="360"/>
              <w:spacing w:after="0"/>
              <w:rPr>
                <w:sz w:val="20"/>
                <w:szCs w:val="20"/>
                <w:color w:val="auto"/>
              </w:rPr>
            </w:pPr>
            <w:r>
              <w:rPr>
                <w:rFonts w:ascii="Arial" w:cs="Arial" w:eastAsia="Arial" w:hAnsi="Arial"/>
                <w:sz w:val="16"/>
                <w:szCs w:val="16"/>
                <w:color w:val="auto"/>
              </w:rPr>
              <w:t>ICON Clinical Research Hong Kong Limited</w:t>
            </w:r>
          </w:p>
        </w:tc>
        <w:tc>
          <w:tcPr>
            <w:tcW w:w="3580" w:type="dxa"/>
            <w:vAlign w:val="bottom"/>
          </w:tcPr>
          <w:p>
            <w:pPr>
              <w:ind w:left="1340"/>
              <w:spacing w:after="0"/>
              <w:rPr>
                <w:sz w:val="20"/>
                <w:szCs w:val="20"/>
                <w:color w:val="auto"/>
              </w:rPr>
            </w:pPr>
            <w:r>
              <w:rPr>
                <w:rFonts w:ascii="Arial" w:cs="Arial" w:eastAsia="Arial" w:hAnsi="Arial"/>
                <w:sz w:val="16"/>
                <w:szCs w:val="16"/>
                <w:color w:val="auto"/>
              </w:rPr>
              <w:t>China (Hong Kong)</w:t>
            </w:r>
          </w:p>
        </w:tc>
        <w:tc>
          <w:tcPr>
            <w:tcW w:w="2600" w:type="dxa"/>
            <w:vAlign w:val="bottom"/>
          </w:tcPr>
          <w:p>
            <w:pPr>
              <w:jc w:val="center"/>
              <w:ind w:left="339"/>
              <w:spacing w:after="0"/>
              <w:rPr>
                <w:sz w:val="20"/>
                <w:szCs w:val="20"/>
                <w:color w:val="auto"/>
              </w:rPr>
            </w:pPr>
            <w:r>
              <w:rPr>
                <w:rFonts w:ascii="Arial" w:cs="Arial" w:eastAsia="Arial" w:hAnsi="Arial"/>
                <w:sz w:val="16"/>
                <w:szCs w:val="16"/>
                <w:color w:val="auto"/>
              </w:rPr>
              <w:t>100%</w:t>
            </w:r>
          </w:p>
        </w:tc>
      </w:tr>
      <w:tr>
        <w:trPr>
          <w:trHeight w:val="219"/>
        </w:trPr>
        <w:tc>
          <w:tcPr>
            <w:tcW w:w="5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Ispitivanja ICON d.o.o (ICON Research Ltd.)</w:t>
            </w:r>
          </w:p>
        </w:tc>
        <w:tc>
          <w:tcPr>
            <w:tcW w:w="358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Croatia</w:t>
            </w:r>
          </w:p>
        </w:tc>
        <w:tc>
          <w:tcPr>
            <w:tcW w:w="260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rPr>
              <w:t>100%</w:t>
            </w:r>
          </w:p>
        </w:tc>
      </w:tr>
      <w:tr>
        <w:trPr>
          <w:trHeight w:val="210"/>
        </w:trPr>
        <w:tc>
          <w:tcPr>
            <w:tcW w:w="5040" w:type="dxa"/>
            <w:vAlign w:val="bottom"/>
          </w:tcPr>
          <w:p>
            <w:pPr>
              <w:ind w:left="360"/>
              <w:spacing w:after="0"/>
              <w:rPr>
                <w:sz w:val="20"/>
                <w:szCs w:val="20"/>
                <w:color w:val="auto"/>
              </w:rPr>
            </w:pPr>
            <w:r>
              <w:rPr>
                <w:rFonts w:ascii="Arial" w:cs="Arial" w:eastAsia="Arial" w:hAnsi="Arial"/>
                <w:sz w:val="16"/>
                <w:szCs w:val="16"/>
                <w:color w:val="auto"/>
              </w:rPr>
              <w:t>ICON Clinical Research s.r.o.</w:t>
            </w:r>
          </w:p>
        </w:tc>
        <w:tc>
          <w:tcPr>
            <w:tcW w:w="3580" w:type="dxa"/>
            <w:vAlign w:val="bottom"/>
          </w:tcPr>
          <w:p>
            <w:pPr>
              <w:ind w:left="1340"/>
              <w:spacing w:after="0"/>
              <w:rPr>
                <w:sz w:val="20"/>
                <w:szCs w:val="20"/>
                <w:color w:val="auto"/>
              </w:rPr>
            </w:pPr>
            <w:r>
              <w:rPr>
                <w:rFonts w:ascii="Arial" w:cs="Arial" w:eastAsia="Arial" w:hAnsi="Arial"/>
                <w:sz w:val="16"/>
                <w:szCs w:val="16"/>
                <w:color w:val="auto"/>
              </w:rPr>
              <w:t>Czech Republic</w:t>
            </w:r>
          </w:p>
        </w:tc>
        <w:tc>
          <w:tcPr>
            <w:tcW w:w="2600" w:type="dxa"/>
            <w:vAlign w:val="bottom"/>
          </w:tcPr>
          <w:p>
            <w:pPr>
              <w:jc w:val="center"/>
              <w:ind w:left="339"/>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23"/>
        </w:trPr>
        <w:tc>
          <w:tcPr>
            <w:tcW w:w="6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2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Country</w:t>
            </w:r>
          </w:p>
        </w:tc>
        <w:tc>
          <w:tcPr>
            <w:tcW w:w="2620" w:type="dxa"/>
            <w:vAlign w:val="bottom"/>
            <w:tcBorders>
              <w:bottom w:val="single" w:sz="8" w:color="auto"/>
            </w:tcBorders>
            <w:shd w:val="clear" w:color="auto" w:fill="CCEEFF"/>
          </w:tcPr>
          <w:p>
            <w:pPr>
              <w:jc w:val="center"/>
              <w:ind w:left="359"/>
              <w:spacing w:after="0"/>
              <w:rPr>
                <w:sz w:val="20"/>
                <w:szCs w:val="20"/>
                <w:color w:val="auto"/>
              </w:rPr>
            </w:pPr>
            <w:r>
              <w:rPr>
                <w:rFonts w:ascii="Arial" w:cs="Arial" w:eastAsia="Arial" w:hAnsi="Arial"/>
                <w:sz w:val="16"/>
                <w:szCs w:val="16"/>
                <w:b w:val="1"/>
                <w:bCs w:val="1"/>
                <w:i w:val="1"/>
                <w:iCs w:val="1"/>
                <w:color w:val="auto"/>
              </w:rPr>
              <w:t>Group ownership</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Nordic Countries A/S</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Denmark</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DOCS International Finland Oy</w:t>
            </w:r>
          </w:p>
        </w:tc>
        <w:tc>
          <w:tcPr>
            <w:tcW w:w="2440" w:type="dxa"/>
            <w:vAlign w:val="bottom"/>
          </w:tcPr>
          <w:p>
            <w:pPr>
              <w:ind w:left="220"/>
              <w:spacing w:after="0"/>
              <w:rPr>
                <w:sz w:val="20"/>
                <w:szCs w:val="20"/>
                <w:color w:val="auto"/>
              </w:rPr>
            </w:pPr>
            <w:r>
              <w:rPr>
                <w:rFonts w:ascii="Arial" w:cs="Arial" w:eastAsia="Arial" w:hAnsi="Arial"/>
                <w:sz w:val="16"/>
                <w:szCs w:val="16"/>
                <w:color w:val="auto"/>
              </w:rPr>
              <w:t>Finland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France S.A.S.</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SARL</w:t>
            </w:r>
          </w:p>
        </w:tc>
        <w:tc>
          <w:tcPr>
            <w:tcW w:w="2440" w:type="dxa"/>
            <w:vAlign w:val="bottom"/>
          </w:tcPr>
          <w:p>
            <w:pPr>
              <w:ind w:left="220"/>
              <w:spacing w:after="0"/>
              <w:rPr>
                <w:sz w:val="20"/>
                <w:szCs w:val="20"/>
                <w:color w:val="auto"/>
              </w:rPr>
            </w:pPr>
            <w:r>
              <w:rPr>
                <w:rFonts w:ascii="Arial" w:cs="Arial" w:eastAsia="Arial" w:hAnsi="Arial"/>
                <w:sz w:val="16"/>
                <w:szCs w:val="16"/>
                <w:color w:val="auto"/>
              </w:rPr>
              <w:t>France</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Mapi Développement SAS</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Mapi Research Trust*</w:t>
            </w:r>
          </w:p>
        </w:tc>
        <w:tc>
          <w:tcPr>
            <w:tcW w:w="2440" w:type="dxa"/>
            <w:vAlign w:val="bottom"/>
          </w:tcPr>
          <w:p>
            <w:pPr>
              <w:ind w:left="220"/>
              <w:spacing w:after="0"/>
              <w:rPr>
                <w:sz w:val="20"/>
                <w:szCs w:val="20"/>
                <w:color w:val="auto"/>
              </w:rPr>
            </w:pPr>
            <w:r>
              <w:rPr>
                <w:rFonts w:ascii="Arial" w:cs="Arial" w:eastAsia="Arial" w:hAnsi="Arial"/>
                <w:sz w:val="16"/>
                <w:szCs w:val="16"/>
                <w:color w:val="auto"/>
              </w:rPr>
              <w:t>France</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Mapi SAS</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MedPass International SAS</w:t>
            </w:r>
          </w:p>
        </w:tc>
        <w:tc>
          <w:tcPr>
            <w:tcW w:w="2440" w:type="dxa"/>
            <w:vAlign w:val="bottom"/>
          </w:tcPr>
          <w:p>
            <w:pPr>
              <w:ind w:left="220"/>
              <w:spacing w:after="0"/>
              <w:rPr>
                <w:sz w:val="20"/>
                <w:szCs w:val="20"/>
                <w:color w:val="auto"/>
              </w:rPr>
            </w:pPr>
            <w:r>
              <w:rPr>
                <w:rFonts w:ascii="Arial" w:cs="Arial" w:eastAsia="Arial" w:hAnsi="Arial"/>
                <w:sz w:val="16"/>
                <w:szCs w:val="16"/>
                <w:color w:val="auto"/>
              </w:rPr>
              <w:t>France</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MedPass SAS</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MPLR SAS</w:t>
            </w:r>
          </w:p>
        </w:tc>
        <w:tc>
          <w:tcPr>
            <w:tcW w:w="2440" w:type="dxa"/>
            <w:vAlign w:val="bottom"/>
          </w:tcPr>
          <w:p>
            <w:pPr>
              <w:ind w:left="220"/>
              <w:spacing w:after="0"/>
              <w:rPr>
                <w:sz w:val="20"/>
                <w:szCs w:val="20"/>
                <w:color w:val="auto"/>
              </w:rPr>
            </w:pPr>
            <w:r>
              <w:rPr>
                <w:rFonts w:ascii="Arial" w:cs="Arial" w:eastAsia="Arial" w:hAnsi="Arial"/>
                <w:sz w:val="16"/>
                <w:szCs w:val="16"/>
                <w:color w:val="auto"/>
              </w:rPr>
              <w:t>France</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Germany GmbH</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Germany</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GmbH</w:t>
            </w:r>
          </w:p>
        </w:tc>
        <w:tc>
          <w:tcPr>
            <w:tcW w:w="2440" w:type="dxa"/>
            <w:vAlign w:val="bottom"/>
          </w:tcPr>
          <w:p>
            <w:pPr>
              <w:ind w:left="220"/>
              <w:spacing w:after="0"/>
              <w:rPr>
                <w:sz w:val="20"/>
                <w:szCs w:val="20"/>
                <w:color w:val="auto"/>
              </w:rPr>
            </w:pPr>
            <w:r>
              <w:rPr>
                <w:rFonts w:ascii="Arial" w:cs="Arial" w:eastAsia="Arial" w:hAnsi="Arial"/>
                <w:sz w:val="16"/>
                <w:szCs w:val="16"/>
                <w:color w:val="auto"/>
              </w:rPr>
              <w:t>Germany</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180"/>
        </w:trPr>
        <w:tc>
          <w:tcPr>
            <w:tcW w:w="616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ICON Klinikai Kutató Korlátolt Felelősségű Társaság</w:t>
            </w:r>
          </w:p>
        </w:tc>
        <w:tc>
          <w:tcPr>
            <w:tcW w:w="244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01"/>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Limited Liability Company)</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Hungary</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India Private Limited</w:t>
            </w:r>
          </w:p>
        </w:tc>
        <w:tc>
          <w:tcPr>
            <w:tcW w:w="2440" w:type="dxa"/>
            <w:vAlign w:val="bottom"/>
          </w:tcPr>
          <w:p>
            <w:pPr>
              <w:ind w:left="220"/>
              <w:spacing w:after="0"/>
              <w:rPr>
                <w:sz w:val="20"/>
                <w:szCs w:val="20"/>
                <w:color w:val="auto"/>
              </w:rPr>
            </w:pPr>
            <w:r>
              <w:rPr>
                <w:rFonts w:ascii="Arial" w:cs="Arial" w:eastAsia="Arial" w:hAnsi="Arial"/>
                <w:sz w:val="16"/>
                <w:szCs w:val="16"/>
                <w:color w:val="auto"/>
              </w:rPr>
              <w:t>India</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Israel Limited</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Israel</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Japan K.K.</w:t>
            </w:r>
          </w:p>
        </w:tc>
        <w:tc>
          <w:tcPr>
            <w:tcW w:w="2440" w:type="dxa"/>
            <w:vAlign w:val="bottom"/>
          </w:tcPr>
          <w:p>
            <w:pPr>
              <w:ind w:left="220"/>
              <w:spacing w:after="0"/>
              <w:rPr>
                <w:sz w:val="20"/>
                <w:szCs w:val="20"/>
                <w:color w:val="auto"/>
              </w:rPr>
            </w:pPr>
            <w:r>
              <w:rPr>
                <w:rFonts w:ascii="Arial" w:cs="Arial" w:eastAsia="Arial" w:hAnsi="Arial"/>
                <w:sz w:val="16"/>
                <w:szCs w:val="16"/>
                <w:color w:val="auto"/>
              </w:rPr>
              <w:t>Japan</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Investments Limited</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Jersey</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177"/>
        </w:trPr>
        <w:tc>
          <w:tcPr>
            <w:tcW w:w="6160" w:type="dxa"/>
            <w:vAlign w:val="bottom"/>
          </w:tcPr>
          <w:p>
            <w:pPr>
              <w:ind w:left="360"/>
              <w:spacing w:after="0" w:line="178" w:lineRule="exact"/>
              <w:rPr>
                <w:sz w:val="20"/>
                <w:szCs w:val="20"/>
                <w:color w:val="auto"/>
              </w:rPr>
            </w:pPr>
            <w:r>
              <w:rPr>
                <w:rFonts w:ascii="Arial" w:cs="Arial" w:eastAsia="Arial" w:hAnsi="Arial"/>
                <w:sz w:val="16"/>
                <w:szCs w:val="16"/>
                <w:color w:val="auto"/>
              </w:rPr>
              <w:t>ICON Clinical Research Korea Yuhan Hoesa (ICON Clinical Research Korea</w:t>
            </w:r>
          </w:p>
        </w:tc>
        <w:tc>
          <w:tcPr>
            <w:tcW w:w="244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198"/>
        </w:trPr>
        <w:tc>
          <w:tcPr>
            <w:tcW w:w="6160" w:type="dxa"/>
            <w:vAlign w:val="bottom"/>
          </w:tcPr>
          <w:p>
            <w:pPr>
              <w:ind w:left="360"/>
              <w:spacing w:after="0"/>
              <w:rPr>
                <w:sz w:val="20"/>
                <w:szCs w:val="20"/>
                <w:color w:val="auto"/>
              </w:rPr>
            </w:pPr>
            <w:r>
              <w:rPr>
                <w:rFonts w:ascii="Arial" w:cs="Arial" w:eastAsia="Arial" w:hAnsi="Arial"/>
                <w:sz w:val="16"/>
                <w:szCs w:val="16"/>
                <w:color w:val="auto"/>
              </w:rPr>
              <w:t>Ltd.)</w:t>
            </w:r>
          </w:p>
        </w:tc>
        <w:tc>
          <w:tcPr>
            <w:tcW w:w="2440" w:type="dxa"/>
            <w:vAlign w:val="bottom"/>
          </w:tcPr>
          <w:p>
            <w:pPr>
              <w:ind w:left="220"/>
              <w:spacing w:after="0"/>
              <w:rPr>
                <w:sz w:val="20"/>
                <w:szCs w:val="20"/>
                <w:color w:val="auto"/>
              </w:rPr>
            </w:pPr>
            <w:r>
              <w:rPr>
                <w:rFonts w:ascii="Arial" w:cs="Arial" w:eastAsia="Arial" w:hAnsi="Arial"/>
                <w:sz w:val="16"/>
                <w:szCs w:val="16"/>
                <w:color w:val="auto"/>
              </w:rPr>
              <w:t>Korea</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CRO Malaysia SDN. BHD.</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Malaysia</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México, S.A. de C.V.</w:t>
            </w:r>
          </w:p>
        </w:tc>
        <w:tc>
          <w:tcPr>
            <w:tcW w:w="2440" w:type="dxa"/>
            <w:vAlign w:val="bottom"/>
          </w:tcPr>
          <w:p>
            <w:pPr>
              <w:ind w:left="220"/>
              <w:spacing w:after="0"/>
              <w:rPr>
                <w:sz w:val="20"/>
                <w:szCs w:val="20"/>
                <w:color w:val="auto"/>
              </w:rPr>
            </w:pPr>
            <w:r>
              <w:rPr>
                <w:rFonts w:ascii="Arial" w:cs="Arial" w:eastAsia="Arial" w:hAnsi="Arial"/>
                <w:sz w:val="16"/>
                <w:szCs w:val="16"/>
                <w:color w:val="auto"/>
              </w:rPr>
              <w:t>Mexico</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Insourcing B.V.</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Netherlands</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DOCS International B.V.</w:t>
            </w:r>
          </w:p>
        </w:tc>
        <w:tc>
          <w:tcPr>
            <w:tcW w:w="2440" w:type="dxa"/>
            <w:vAlign w:val="bottom"/>
          </w:tcPr>
          <w:p>
            <w:pPr>
              <w:ind w:left="220"/>
              <w:spacing w:after="0"/>
              <w:rPr>
                <w:sz w:val="20"/>
                <w:szCs w:val="20"/>
                <w:color w:val="auto"/>
              </w:rPr>
            </w:pPr>
            <w:r>
              <w:rPr>
                <w:rFonts w:ascii="Arial" w:cs="Arial" w:eastAsia="Arial" w:hAnsi="Arial"/>
                <w:sz w:val="16"/>
                <w:szCs w:val="16"/>
                <w:color w:val="auto"/>
              </w:rPr>
              <w:t>Netherlands</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Contracting Solutions Holdings B.V.</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Netherlands</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(New Zealand) Limited</w:t>
            </w:r>
          </w:p>
        </w:tc>
        <w:tc>
          <w:tcPr>
            <w:tcW w:w="2440" w:type="dxa"/>
            <w:vAlign w:val="bottom"/>
          </w:tcPr>
          <w:p>
            <w:pPr>
              <w:ind w:left="220"/>
              <w:spacing w:after="0"/>
              <w:rPr>
                <w:sz w:val="20"/>
                <w:szCs w:val="20"/>
                <w:color w:val="auto"/>
              </w:rPr>
            </w:pPr>
            <w:r>
              <w:rPr>
                <w:rFonts w:ascii="Arial" w:cs="Arial" w:eastAsia="Arial" w:hAnsi="Arial"/>
                <w:sz w:val="16"/>
                <w:szCs w:val="16"/>
                <w:color w:val="auto"/>
              </w:rPr>
              <w:t>New Zealand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Perú S.A.</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Peru</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Services Philippines, Inc.</w:t>
            </w:r>
          </w:p>
        </w:tc>
        <w:tc>
          <w:tcPr>
            <w:tcW w:w="2440" w:type="dxa"/>
            <w:vAlign w:val="bottom"/>
          </w:tcPr>
          <w:p>
            <w:pPr>
              <w:ind w:left="220"/>
              <w:spacing w:after="0"/>
              <w:rPr>
                <w:sz w:val="20"/>
                <w:szCs w:val="20"/>
                <w:color w:val="auto"/>
              </w:rPr>
            </w:pPr>
            <w:r>
              <w:rPr>
                <w:rFonts w:ascii="Arial" w:cs="Arial" w:eastAsia="Arial" w:hAnsi="Arial"/>
                <w:sz w:val="16"/>
                <w:szCs w:val="16"/>
                <w:color w:val="auto"/>
              </w:rPr>
              <w:t>Philippines</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Poland Sp. z o.o.</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Poland</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Sp. z o.o.</w:t>
            </w:r>
          </w:p>
        </w:tc>
        <w:tc>
          <w:tcPr>
            <w:tcW w:w="2440" w:type="dxa"/>
            <w:vAlign w:val="bottom"/>
          </w:tcPr>
          <w:p>
            <w:pPr>
              <w:ind w:left="220"/>
              <w:spacing w:after="0"/>
              <w:rPr>
                <w:sz w:val="20"/>
                <w:szCs w:val="20"/>
                <w:color w:val="auto"/>
              </w:rPr>
            </w:pPr>
            <w:r>
              <w:rPr>
                <w:rFonts w:ascii="Arial" w:cs="Arial" w:eastAsia="Arial" w:hAnsi="Arial"/>
                <w:sz w:val="16"/>
                <w:szCs w:val="16"/>
                <w:color w:val="auto"/>
              </w:rPr>
              <w:t>Poland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Symphony Clinical Research Sp. z o.o.</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Poland</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Accellacare Limited</w:t>
            </w:r>
          </w:p>
        </w:tc>
        <w:tc>
          <w:tcPr>
            <w:tcW w:w="2440" w:type="dxa"/>
            <w:vAlign w:val="bottom"/>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Resourcing Limited</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(LR) Limited</w:t>
            </w:r>
          </w:p>
        </w:tc>
        <w:tc>
          <w:tcPr>
            <w:tcW w:w="2440" w:type="dxa"/>
            <w:vAlign w:val="bottom"/>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International Unlimited Company</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Limited</w:t>
            </w:r>
          </w:p>
        </w:tc>
        <w:tc>
          <w:tcPr>
            <w:tcW w:w="2440" w:type="dxa"/>
            <w:vAlign w:val="bottom"/>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Property Development (Ireland) Limited</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Global Treasury Unlimited Company</w:t>
            </w:r>
          </w:p>
        </w:tc>
        <w:tc>
          <w:tcPr>
            <w:tcW w:w="2440" w:type="dxa"/>
            <w:vAlign w:val="bottom"/>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Holdings Unlimited Company</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Holdings Clinical Research International Limited</w:t>
            </w:r>
          </w:p>
        </w:tc>
        <w:tc>
          <w:tcPr>
            <w:tcW w:w="2440" w:type="dxa"/>
            <w:vAlign w:val="bottom"/>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Investments Five Unlimited Company</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Investments Four Unlimited Company</w:t>
            </w:r>
          </w:p>
        </w:tc>
        <w:tc>
          <w:tcPr>
            <w:tcW w:w="2440" w:type="dxa"/>
            <w:vAlign w:val="bottom"/>
          </w:tcPr>
          <w:p>
            <w:pPr>
              <w:ind w:left="220"/>
              <w:spacing w:after="0"/>
              <w:rPr>
                <w:sz w:val="20"/>
                <w:szCs w:val="20"/>
                <w:color w:val="auto"/>
              </w:rPr>
            </w:pPr>
            <w:r>
              <w:rPr>
                <w:rFonts w:ascii="Arial" w:cs="Arial" w:eastAsia="Arial" w:hAnsi="Arial"/>
                <w:sz w:val="16"/>
                <w:szCs w:val="16"/>
                <w:color w:val="auto"/>
              </w:rPr>
              <w:t>Republic of Ireland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S.R.L.</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Romania</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(Rus) LLC</w:t>
            </w:r>
          </w:p>
        </w:tc>
        <w:tc>
          <w:tcPr>
            <w:tcW w:w="2440" w:type="dxa"/>
            <w:vAlign w:val="bottom"/>
          </w:tcPr>
          <w:p>
            <w:pPr>
              <w:ind w:left="220"/>
              <w:spacing w:after="0"/>
              <w:rPr>
                <w:sz w:val="20"/>
                <w:szCs w:val="20"/>
                <w:color w:val="auto"/>
              </w:rPr>
            </w:pPr>
            <w:r>
              <w:rPr>
                <w:rFonts w:ascii="Arial" w:cs="Arial" w:eastAsia="Arial" w:hAnsi="Arial"/>
                <w:sz w:val="16"/>
                <w:szCs w:val="16"/>
                <w:color w:val="auto"/>
              </w:rPr>
              <w:t>Russia</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d.o.o. Beograd</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Serbia</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(Pte) Limited</w:t>
            </w:r>
          </w:p>
        </w:tc>
        <w:tc>
          <w:tcPr>
            <w:tcW w:w="2440" w:type="dxa"/>
            <w:vAlign w:val="bottom"/>
          </w:tcPr>
          <w:p>
            <w:pPr>
              <w:ind w:left="220"/>
              <w:spacing w:after="0"/>
              <w:rPr>
                <w:sz w:val="20"/>
                <w:szCs w:val="20"/>
                <w:color w:val="auto"/>
              </w:rPr>
            </w:pPr>
            <w:r>
              <w:rPr>
                <w:rFonts w:ascii="Arial" w:cs="Arial" w:eastAsia="Arial" w:hAnsi="Arial"/>
                <w:sz w:val="16"/>
                <w:szCs w:val="16"/>
                <w:color w:val="auto"/>
              </w:rPr>
              <w:t>Singapore</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Slovakia, s.r.o.</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Slovakia</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MeDiNova Merc Clinical Research (SA) Pty Limited</w:t>
            </w:r>
          </w:p>
        </w:tc>
        <w:tc>
          <w:tcPr>
            <w:tcW w:w="2440" w:type="dxa"/>
            <w:vAlign w:val="bottom"/>
          </w:tcPr>
          <w:p>
            <w:pPr>
              <w:ind w:left="220"/>
              <w:spacing w:after="0"/>
              <w:rPr>
                <w:sz w:val="20"/>
                <w:szCs w:val="20"/>
                <w:color w:val="auto"/>
              </w:rPr>
            </w:pPr>
            <w:r>
              <w:rPr>
                <w:rFonts w:ascii="Arial" w:cs="Arial" w:eastAsia="Arial" w:hAnsi="Arial"/>
                <w:sz w:val="16"/>
                <w:szCs w:val="16"/>
                <w:color w:val="auto"/>
              </w:rPr>
              <w:t>South Africa</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España, S.L.</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Spain</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MeDiNova Investigacion y Desarrollo S.L.</w:t>
            </w:r>
          </w:p>
        </w:tc>
        <w:tc>
          <w:tcPr>
            <w:tcW w:w="2440" w:type="dxa"/>
            <w:vAlign w:val="bottom"/>
          </w:tcPr>
          <w:p>
            <w:pPr>
              <w:ind w:left="220"/>
              <w:spacing w:after="0"/>
              <w:rPr>
                <w:sz w:val="20"/>
                <w:szCs w:val="20"/>
                <w:color w:val="auto"/>
              </w:rPr>
            </w:pPr>
            <w:r>
              <w:rPr>
                <w:rFonts w:ascii="Arial" w:cs="Arial" w:eastAsia="Arial" w:hAnsi="Arial"/>
                <w:sz w:val="16"/>
                <w:szCs w:val="16"/>
                <w:color w:val="auto"/>
              </w:rPr>
              <w:t>Spain</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Sweden AB</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Sweden</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DOCS International Switzerland GmbH</w:t>
            </w:r>
          </w:p>
        </w:tc>
        <w:tc>
          <w:tcPr>
            <w:tcW w:w="2440" w:type="dxa"/>
            <w:vAlign w:val="bottom"/>
          </w:tcPr>
          <w:p>
            <w:pPr>
              <w:ind w:left="220"/>
              <w:spacing w:after="0"/>
              <w:rPr>
                <w:sz w:val="20"/>
                <w:szCs w:val="20"/>
                <w:color w:val="auto"/>
              </w:rPr>
            </w:pPr>
            <w:r>
              <w:rPr>
                <w:rFonts w:ascii="Arial" w:cs="Arial" w:eastAsia="Arial" w:hAnsi="Arial"/>
                <w:sz w:val="16"/>
                <w:szCs w:val="16"/>
                <w:color w:val="auto"/>
              </w:rPr>
              <w:t>Switzerland</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(Switzerland) GmbH</w:t>
            </w:r>
          </w:p>
        </w:tc>
        <w:tc>
          <w:tcPr>
            <w:tcW w:w="2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Switzerland</w:t>
            </w:r>
          </w:p>
        </w:tc>
        <w:tc>
          <w:tcPr>
            <w:tcW w:w="26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100%</w:t>
            </w:r>
          </w:p>
        </w:tc>
      </w:tr>
      <w:tr>
        <w:trPr>
          <w:trHeight w:val="210"/>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Taiwan Limited</w:t>
            </w:r>
          </w:p>
        </w:tc>
        <w:tc>
          <w:tcPr>
            <w:tcW w:w="2440" w:type="dxa"/>
            <w:vAlign w:val="bottom"/>
          </w:tcPr>
          <w:p>
            <w:pPr>
              <w:ind w:left="220"/>
              <w:spacing w:after="0"/>
              <w:rPr>
                <w:sz w:val="20"/>
                <w:szCs w:val="20"/>
                <w:color w:val="auto"/>
              </w:rPr>
            </w:pPr>
            <w:r>
              <w:rPr>
                <w:rFonts w:ascii="Arial" w:cs="Arial" w:eastAsia="Arial" w:hAnsi="Arial"/>
                <w:sz w:val="16"/>
                <w:szCs w:val="16"/>
                <w:color w:val="auto"/>
              </w:rPr>
              <w:t>Taiwan</w:t>
            </w:r>
          </w:p>
        </w:tc>
        <w:tc>
          <w:tcPr>
            <w:tcW w:w="2620" w:type="dxa"/>
            <w:vAlign w:val="bottom"/>
          </w:tcPr>
          <w:p>
            <w:pPr>
              <w:jc w:val="center"/>
              <w:ind w:left="359"/>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ectPr>
          <w:pgSz w:w="11900" w:h="16838" w:orient="portrait"/>
          <w:cols w:equalWidth="0" w:num="1">
            <w:col w:w="11220"/>
          </w:cols>
          <w:pgMar w:left="320" w:top="1031" w:right="35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23"/>
        </w:trPr>
        <w:tc>
          <w:tcPr>
            <w:tcW w:w="61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Company</w:t>
            </w:r>
          </w:p>
        </w:tc>
        <w:tc>
          <w:tcPr>
            <w:tcW w:w="2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Country</w:t>
            </w:r>
          </w:p>
        </w:tc>
        <w:tc>
          <w:tcPr>
            <w:tcW w:w="272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b w:val="1"/>
                <w:bCs w:val="1"/>
                <w:i w:val="1"/>
                <w:iCs w:val="1"/>
                <w:color w:val="auto"/>
              </w:rPr>
              <w:t>Group ownership</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Clinical Research (Thailand) Limited</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Thailand</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Ankara Klinik Arastirma Dis Ticaret Anonim Sirketi</w:t>
            </w:r>
          </w:p>
        </w:tc>
        <w:tc>
          <w:tcPr>
            <w:tcW w:w="2340" w:type="dxa"/>
            <w:vAlign w:val="bottom"/>
          </w:tcPr>
          <w:p>
            <w:pPr>
              <w:ind w:left="220"/>
              <w:spacing w:after="0"/>
              <w:rPr>
                <w:sz w:val="20"/>
                <w:szCs w:val="20"/>
                <w:color w:val="auto"/>
              </w:rPr>
            </w:pPr>
            <w:r>
              <w:rPr>
                <w:rFonts w:ascii="Arial" w:cs="Arial" w:eastAsia="Arial" w:hAnsi="Arial"/>
                <w:sz w:val="16"/>
                <w:szCs w:val="16"/>
                <w:color w:val="auto"/>
              </w:rPr>
              <w:t>Turkey</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Ukraine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LLC</w:t>
            </w:r>
          </w:p>
        </w:tc>
        <w:tc>
          <w:tcPr>
            <w:tcW w:w="2340" w:type="dxa"/>
            <w:vAlign w:val="bottom"/>
          </w:tcPr>
          <w:p>
            <w:pPr>
              <w:ind w:left="220"/>
              <w:spacing w:after="0"/>
              <w:rPr>
                <w:sz w:val="20"/>
                <w:szCs w:val="20"/>
                <w:color w:val="auto"/>
              </w:rPr>
            </w:pPr>
            <w:r>
              <w:rPr>
                <w:rFonts w:ascii="Arial" w:cs="Arial" w:eastAsia="Arial" w:hAnsi="Arial"/>
                <w:sz w:val="16"/>
                <w:szCs w:val="16"/>
                <w:color w:val="auto"/>
              </w:rPr>
              <w:t>Ukraine</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DOCS International UK Limited</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(U.K.) Limited</w:t>
            </w: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Development Solutions Limited</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Mapi Life Sciences UK Limited</w:t>
            </w: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VSK (Kenilworth) Limited</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MeDiNova Limited</w:t>
            </w: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MeDiNova Lakeside Clinical Research Limited</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MeDiNova Merc (UK) Limited</w:t>
            </w: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Improving Treatments Limited</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MedPass Group Limited</w:t>
            </w: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MedPass Limited</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MedPass International Limited</w:t>
            </w:r>
          </w:p>
        </w:tc>
        <w:tc>
          <w:tcPr>
            <w:tcW w:w="2340" w:type="dxa"/>
            <w:vAlign w:val="bottom"/>
          </w:tcPr>
          <w:p>
            <w:pPr>
              <w:ind w:left="220"/>
              <w:spacing w:after="0"/>
              <w:rPr>
                <w:sz w:val="20"/>
                <w:szCs w:val="20"/>
                <w:color w:val="auto"/>
              </w:rPr>
            </w:pPr>
            <w:r>
              <w:rPr>
                <w:rFonts w:ascii="Arial" w:cs="Arial" w:eastAsia="Arial" w:hAnsi="Arial"/>
                <w:sz w:val="16"/>
                <w:szCs w:val="16"/>
                <w:color w:val="auto"/>
              </w:rPr>
              <w:t>United Kingdom</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Addplan, Inc.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Beacon Bioscience, Inc.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C4 MedSolutions,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CHC Group,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Complete Healthcare Communications,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Complete Publication Solutions,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CRN Holdings,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Clinical Resource Network,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CRN North America,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DOCS Global, Inc.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Global Pharmaceutical Strategies Group,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Clinical Research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Early Phase Services,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Government and Public Health Solutions, Inc.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ICON Laboratory Services, Inc.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ICON US Holdings Inc.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Care Strategic Solutions,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MMMM Consulting,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MMMM Group,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Molecular MD Corp.</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PMG Research of Bristol,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PMG Research of Charleston,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PMG Research of Charlotte,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PMG Research of Christie Clinic,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PMG Research of Hickory,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PMG Research of Raleigh,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PMG Research of Rocky Mount,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PMG Research of Salisbury,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PMG Research of Wilmington,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PMG Research of Winston-Salem,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PMG Research, Inc.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Pricespective, LLC</w:t>
            </w:r>
          </w:p>
        </w:tc>
        <w:tc>
          <w:tcPr>
            <w:tcW w:w="2340" w:type="dxa"/>
            <w:vAlign w:val="bottom"/>
          </w:tcPr>
          <w:p>
            <w:pPr>
              <w:ind w:left="220"/>
              <w:spacing w:after="0"/>
              <w:rPr>
                <w:sz w:val="20"/>
                <w:szCs w:val="20"/>
                <w:color w:val="auto"/>
              </w:rPr>
            </w:pPr>
            <w:r>
              <w:rPr>
                <w:rFonts w:ascii="Arial" w:cs="Arial" w:eastAsia="Arial" w:hAnsi="Arial"/>
                <w:sz w:val="16"/>
                <w:szCs w:val="16"/>
                <w:color w:val="auto"/>
              </w:rPr>
              <w:t>USA</w:t>
            </w:r>
          </w:p>
        </w:tc>
        <w:tc>
          <w:tcPr>
            <w:tcW w:w="2720" w:type="dxa"/>
            <w:vAlign w:val="bottom"/>
          </w:tcPr>
          <w:p>
            <w:pPr>
              <w:jc w:val="center"/>
              <w:ind w:left="459"/>
              <w:spacing w:after="0"/>
              <w:rPr>
                <w:sz w:val="20"/>
                <w:szCs w:val="20"/>
                <w:color w:val="auto"/>
              </w:rPr>
            </w:pPr>
            <w:r>
              <w:rPr>
                <w:rFonts w:ascii="Arial" w:cs="Arial" w:eastAsia="Arial" w:hAnsi="Arial"/>
                <w:sz w:val="16"/>
                <w:szCs w:val="16"/>
                <w:color w:val="auto"/>
              </w:rPr>
              <w:t>100%</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PubsHub LLC</w:t>
            </w:r>
          </w:p>
        </w:tc>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USA</w:t>
            </w:r>
          </w:p>
        </w:tc>
        <w:tc>
          <w:tcPr>
            <w:tcW w:w="2720" w:type="dxa"/>
            <w:vAlign w:val="bottom"/>
            <w:shd w:val="clear" w:color="auto" w:fill="CCEEFF"/>
          </w:tcPr>
          <w:p>
            <w:pPr>
              <w:jc w:val="center"/>
              <w:ind w:left="459"/>
              <w:spacing w:after="0"/>
              <w:rPr>
                <w:sz w:val="20"/>
                <w:szCs w:val="20"/>
                <w:color w:val="auto"/>
              </w:rPr>
            </w:pPr>
            <w:r>
              <w:rPr>
                <w:rFonts w:ascii="Arial" w:cs="Arial" w:eastAsia="Arial" w:hAnsi="Arial"/>
                <w:sz w:val="16"/>
                <w:szCs w:val="16"/>
                <w:color w:val="auto"/>
              </w:rPr>
              <w:t>100%</w:t>
            </w: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*Mapi Research Trust is an association, its members are ICON Subsidiary entities.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4A.  </w:t>
      </w:r>
      <w:r>
        <w:rPr>
          <w:rFonts w:ascii="Arial" w:cs="Arial" w:eastAsia="Arial" w:hAnsi="Arial"/>
          <w:sz w:val="16"/>
          <w:szCs w:val="16"/>
          <w:b w:val="1"/>
          <w:bCs w:val="1"/>
          <w:i w:val="1"/>
          <w:iCs w:val="1"/>
          <w:color w:val="auto"/>
        </w:rPr>
        <w:t>Unresolved Staff Comments.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20"/>
          </w:cols>
          <w:pgMar w:left="320" w:top="10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Operating and Financial Review and Prospects.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jc w:val="both"/>
        <w:ind w:firstLine="215"/>
        <w:spacing w:after="0" w:line="258" w:lineRule="auto"/>
        <w:rPr>
          <w:sz w:val="20"/>
          <w:szCs w:val="20"/>
          <w:color w:val="auto"/>
        </w:rPr>
      </w:pPr>
      <w:r>
        <w:rPr>
          <w:rFonts w:ascii="Arial" w:cs="Arial" w:eastAsia="Arial" w:hAnsi="Arial"/>
          <w:sz w:val="16"/>
          <w:szCs w:val="16"/>
          <w:i w:val="1"/>
          <w:iCs w:val="1"/>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 The information included in the discussion and analysis below provides details on the information for the years ended December 31, 2020 and December 31, 2019. Information related to the year ended December 31, 2018 has not been included. It can be found in the company's filing of the form 20-F for the year ended December 31, 2019.</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8" w:lineRule="exact"/>
        <w:rPr>
          <w:sz w:val="20"/>
          <w:szCs w:val="20"/>
          <w:color w:val="auto"/>
        </w:rPr>
      </w:pPr>
    </w:p>
    <w:p>
      <w:pPr>
        <w:jc w:val="both"/>
        <w:ind w:firstLine="236"/>
        <w:spacing w:after="0" w:line="251"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solution. At December 31, 2020, we employed approximately 15,730 employees, in 93 locations in 41 countries. During the year ended December 31, 2020 we derived approximately 33.1%, 57.1% and 9.8% of our revenue in the United States, Europe and Rest of World, respectively.</w:t>
      </w:r>
    </w:p>
    <w:p>
      <w:pPr>
        <w:spacing w:after="0" w:line="229" w:lineRule="exact"/>
        <w:rPr>
          <w:sz w:val="20"/>
          <w:szCs w:val="20"/>
          <w:color w:val="auto"/>
        </w:rPr>
      </w:pPr>
    </w:p>
    <w:p>
      <w:pPr>
        <w:jc w:val="both"/>
        <w:ind w:firstLine="190"/>
        <w:spacing w:after="0" w:line="248"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35"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29" w:lineRule="exact"/>
        <w:rPr>
          <w:sz w:val="20"/>
          <w:szCs w:val="20"/>
          <w:color w:val="auto"/>
        </w:rPr>
      </w:pPr>
    </w:p>
    <w:p>
      <w:pPr>
        <w:jc w:val="both"/>
        <w:ind w:firstLine="231"/>
        <w:spacing w:after="0" w:line="25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30" w:lineRule="exact"/>
        <w:rPr>
          <w:sz w:val="20"/>
          <w:szCs w:val="20"/>
          <w:color w:val="auto"/>
        </w:rPr>
      </w:pPr>
    </w:p>
    <w:p>
      <w:pPr>
        <w:jc w:val="both"/>
        <w:ind w:firstLine="328"/>
        <w:spacing w:after="0" w:line="251" w:lineRule="auto"/>
        <w:rPr>
          <w:sz w:val="20"/>
          <w:szCs w:val="20"/>
          <w:color w:val="auto"/>
        </w:rPr>
      </w:pPr>
      <w:r>
        <w:rPr>
          <w:rFonts w:ascii="Arial" w:cs="Arial" w:eastAsia="Arial" w:hAnsi="Arial"/>
          <w:sz w:val="16"/>
          <w:szCs w:val="16"/>
          <w:color w:val="auto"/>
        </w:rPr>
        <w:t>Our unsatisfied performance obligation comprises our assessment of contracted revenue yet to be earned from projects awarded by clients. At December 31, 2020 we had unsatisfied performance obligations of approximately $6.3 billion. We believe that our unsatisfied performance obligation as of 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29" w:lineRule="exact"/>
        <w:rPr>
          <w:sz w:val="20"/>
          <w:szCs w:val="20"/>
          <w:color w:val="auto"/>
        </w:rPr>
      </w:pPr>
    </w:p>
    <w:p>
      <w:pPr>
        <w:jc w:val="both"/>
        <w:ind w:firstLine="275"/>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both"/>
        <w:ind w:firstLine="184"/>
        <w:spacing w:after="0" w:line="248"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34" w:lineRule="exact"/>
        <w:rPr>
          <w:sz w:val="20"/>
          <w:szCs w:val="20"/>
          <w:color w:val="auto"/>
        </w:rPr>
      </w:pPr>
    </w:p>
    <w:p>
      <w:pPr>
        <w:jc w:val="both"/>
        <w:ind w:firstLine="252"/>
        <w:spacing w:after="0" w:line="253"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8" w:lineRule="exact"/>
        <w:rPr>
          <w:sz w:val="20"/>
          <w:szCs w:val="20"/>
          <w:color w:val="auto"/>
        </w:rPr>
      </w:pPr>
    </w:p>
    <w:p>
      <w:pPr>
        <w:ind w:left="520" w:hanging="338"/>
        <w:spacing w:after="0"/>
        <w:tabs>
          <w:tab w:leader="none" w:pos="52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Assessment of COVID-19 impact on operating results</w:t>
      </w: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As a result of the global spread of COVID-19, the Company has experienced a net negative impact on its operations during the year. We have experienced restrictions on our ability to ensure laboratory samples are collected and analyzed on time, our ability to monitor our clinical trials, the ability of patients or other service providers to travel, and our ability to travel, as a result of the outbreak. While we continue to see a gradual improvement in operations, at this point in time, there continues to be significant uncertainty relating to the long-term effect of COVID-19 on our business as the situation evolves. While our site network and office facilities have begun to re-open on a phased basis, the extent to which the outbreak may continue to impact our business will depend on future developments, which are highly uncertain and cannot be predicted with confidence, such as the ultimate geographic spread of COVID-19, additional phases of the outbreak, travel restrictions and actions to contain the outbreak or treat its impact, such as social distancing and quarantines or lock-downs, business closures or business disruptions and the effectiveness of actions taken throughout the world to contain and treat the disease.</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However, ICON has mobilized its vaccine resources to address the COVID-19 global threat, including its ability to conduct home-based trials to minimize infection. In addition, the Company has seen some offsetting positive business impact from COVID-19 and is currently providing clinical monitoring and safety oversight on more than 100 COVID-19 trials for both the private and government sectors.</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the year ended December 31, 2020, ICON provided clinical trial services to the Pfizer and BioNTech SE investigational COVID-19 vaccine program. ICON worked with Pfizer and 153 sites in the US, Europe and Latin America to ensure over 44,000 patients were recruited within four months for phase 3 of the trial, during the global pandemic, in one of the largest and most expeditious clinical trials ever performed. Trial capabilities were key to enabling agility and speed in the global study, which included a high level of remote clinical monitoring and source data verification in addition to on-site monitoring, safeguarding data quality and integrity in the evolving pandemic environment.</w:t>
      </w:r>
    </w:p>
    <w:p>
      <w:pPr>
        <w:spacing w:after="0" w:line="21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Revenue for the year ended December 31, 2020 decreased by $8.6 million, or 0.3%, to $2,797.3 million, compared to $2,805.8 million for the year ended December 31, 2019. Revenue decreased by 0.5% in constant currency. The decrease in revenues in the year ended December 31, 2020 reflected the impact the COVID-19 global pandemic has had on operations including; our ability to ensure laboratory samples are collected and analyzed on time, our ability to perform on-site monitoring of clinical trials, the ability of patients or other service providers to travel, and our ability to travel. This impact was most significant in late Q1 and early Q2 when the impact on sites was most pronounced. Certain cost saving measures were introduced in response to COVID-19 during this period. While the impact of COVID-19 and the resulting restrictions on travel and related operational activity continues, the Company has been involved in clinical monitoring and safety oversight on significant COVID-19 trials during quarters three and four. These activities have offset in part the negative impact on activity experienced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49" w:name="page50"/>
    <w:bookmarkEnd w:id="49"/>
    <w:p>
      <w:pPr>
        <w:jc w:val="both"/>
        <w:ind w:firstLine="648"/>
        <w:spacing w:after="0" w:line="260"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gridSpan w:val="3"/>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8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jc w:val="right"/>
              <w:ind w:right="359"/>
              <w:spacing w:after="0" w:line="156" w:lineRule="exact"/>
              <w:rPr>
                <w:sz w:val="20"/>
                <w:szCs w:val="20"/>
                <w:color w:val="auto"/>
              </w:rPr>
            </w:pPr>
            <w:r>
              <w:rPr>
                <w:rFonts w:ascii="Arial" w:cs="Arial" w:eastAsia="Arial" w:hAnsi="Arial"/>
                <w:sz w:val="16"/>
                <w:szCs w:val="16"/>
                <w:b w:val="1"/>
                <w:bCs w:val="1"/>
                <w:color w:val="auto"/>
              </w:rPr>
              <w:t>Percentage of Revenue</w:t>
            </w:r>
          </w:p>
        </w:tc>
        <w:tc>
          <w:tcPr>
            <w:tcW w:w="88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jc w:val="right"/>
              <w:ind w:right="640"/>
              <w:spacing w:after="0" w:line="156"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Revenue</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100.0 %</w:t>
            </w:r>
          </w:p>
        </w:tc>
        <w:tc>
          <w:tcPr>
            <w:tcW w:w="11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100.0 %</w:t>
            </w:r>
          </w:p>
        </w:tc>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Costs and expenses:</w:t>
            </w:r>
          </w:p>
        </w:tc>
        <w:tc>
          <w:tcPr>
            <w:tcW w:w="2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Direct costs</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70.8 %</w:t>
            </w:r>
          </w:p>
        </w:tc>
        <w:tc>
          <w:tcPr>
            <w:tcW w:w="11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70.4 %</w:t>
            </w:r>
          </w:p>
        </w:tc>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12.2 %</w:t>
            </w:r>
          </w:p>
        </w:tc>
        <w:tc>
          <w:tcPr>
            <w:tcW w:w="1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12.0 %</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Depreciation</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1.7 %</w:t>
            </w:r>
          </w:p>
        </w:tc>
        <w:tc>
          <w:tcPr>
            <w:tcW w:w="11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1.6 %</w:t>
            </w:r>
          </w:p>
        </w:tc>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5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Amortization</w:t>
            </w:r>
          </w:p>
        </w:tc>
        <w:tc>
          <w:tcPr>
            <w:tcW w:w="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0.7 %</w:t>
            </w:r>
          </w:p>
        </w:tc>
        <w:tc>
          <w:tcPr>
            <w:tcW w:w="1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0.6 %</w:t>
            </w:r>
          </w:p>
        </w:tc>
        <w:tc>
          <w:tcPr>
            <w:tcW w:w="2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20.6 %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Arial" w:cs="Arial" w:eastAsia="Arial" w:hAnsi="Arial"/>
                <w:sz w:val="16"/>
                <w:szCs w:val="16"/>
                <w:color w:val="auto"/>
              </w:rPr>
              <w:t>Income from operations (excluding restructuring)</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14.6 %</w:t>
            </w:r>
          </w:p>
        </w:tc>
        <w:tc>
          <w:tcPr>
            <w:tcW w:w="11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15.4 %</w:t>
            </w:r>
          </w:p>
        </w:tc>
        <w:tc>
          <w:tcPr>
            <w:tcW w:w="200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5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Restructuring</w:t>
            </w:r>
          </w:p>
        </w:tc>
        <w:tc>
          <w:tcPr>
            <w:tcW w:w="5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0.6 %</w:t>
            </w:r>
          </w:p>
        </w:tc>
        <w:tc>
          <w:tcPr>
            <w:tcW w:w="1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2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Income from operations (including restructuring)</w:t>
            </w: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14.0 %</w:t>
            </w:r>
          </w:p>
        </w:tc>
        <w:tc>
          <w:tcPr>
            <w:tcW w:w="1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15.4 %</w:t>
            </w:r>
          </w:p>
        </w:tc>
        <w:tc>
          <w:tcPr>
            <w:tcW w:w="2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6020" w:type="dxa"/>
            <w:vAlign w:val="bottom"/>
            <w:gridSpan w:val="7"/>
          </w:tcPr>
          <w:p>
            <w:pPr>
              <w:spacing w:after="0"/>
              <w:rPr>
                <w:sz w:val="20"/>
                <w:szCs w:val="20"/>
                <w:color w:val="auto"/>
              </w:rPr>
            </w:pPr>
            <w:r>
              <w:rPr>
                <w:rFonts w:ascii="Arial" w:cs="Arial" w:eastAsia="Arial" w:hAnsi="Arial"/>
                <w:sz w:val="16"/>
                <w:szCs w:val="16"/>
                <w:b w:val="1"/>
                <w:bCs w:val="1"/>
                <w:i w:val="1"/>
                <w:iCs w:val="1"/>
                <w:color w:val="auto"/>
              </w:rPr>
              <w:t>Year ended December 31, 2020 compared to year ended December 31, 2019</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Revenue</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shd w:val="clear" w:color="auto" w:fill="CCEEFF"/>
          </w:tcPr>
          <w:p>
            <w:pPr>
              <w:jc w:val="center"/>
              <w:ind w:right="79"/>
              <w:spacing w:after="0" w:line="162" w:lineRule="exact"/>
              <w:rPr>
                <w:sz w:val="20"/>
                <w:szCs w:val="20"/>
                <w:color w:val="auto"/>
              </w:rPr>
            </w:pPr>
            <w:r>
              <w:rPr>
                <w:rFonts w:ascii="Arial" w:cs="Arial" w:eastAsia="Arial" w:hAnsi="Arial"/>
                <w:sz w:val="16"/>
                <w:szCs w:val="16"/>
                <w:b w:val="1"/>
                <w:bCs w:val="1"/>
                <w:color w:val="auto"/>
                <w:w w:val="99"/>
              </w:rPr>
              <w:t>Year Ended</w:t>
            </w: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720" w:type="dxa"/>
            <w:vAlign w:val="bottom"/>
            <w:gridSpan w:val="2"/>
            <w:vMerge w:val="restart"/>
            <w:shd w:val="clear" w:color="auto" w:fill="CCEEFF"/>
          </w:tcPr>
          <w:p>
            <w:pPr>
              <w:jc w:val="right"/>
              <w:ind w:right="1539"/>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jc w:val="center"/>
              <w:ind w:left="559"/>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gridSpan w:val="2"/>
            <w:vMerge w:val="continue"/>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2,797,288 $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2,805,839</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(8,551)</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firstLine="195"/>
        <w:spacing w:after="0" w:line="248" w:lineRule="auto"/>
        <w:rPr>
          <w:sz w:val="20"/>
          <w:szCs w:val="20"/>
          <w:color w:val="auto"/>
        </w:rPr>
      </w:pPr>
      <w:r>
        <w:rPr>
          <w:rFonts w:ascii="Arial" w:cs="Arial" w:eastAsia="Arial" w:hAnsi="Arial"/>
          <w:sz w:val="16"/>
          <w:szCs w:val="16"/>
          <w:color w:val="auto"/>
        </w:rPr>
        <w:t>Revenue for the year ended December 31, 2020 decreased by $8.6 million, or 0.3%, to $2,797.3 million, compared to $2,805.8 million for the year ended December 31, 2019. Revenue decreased by 0.5% in constant currency. The decrease in revenues in the year ended December 31, 2020 reflected the impact the COVID-19 global pandemic has had on operations including; our ability to ensure laboratory samples are collected and analyzed on time, our ability to perform on-site monitoring of clinical trials, the ability of patients or other service providers to travel, and our ability to travel. This impact was most significant in late quarter one and early quarter two when the impact on sites was most significant. While the impact of COVID-19 and the resulting restrictions on travel and related operational activity continues, the Company has been involved in clinical monitoring and safety oversight on significant COVID-19 trials during quarters three and four which have offset in part the negative impact on activity experienced during the year.</w:t>
      </w:r>
    </w:p>
    <w:p>
      <w:pPr>
        <w:spacing w:after="0" w:line="181" w:lineRule="exact"/>
        <w:rPr>
          <w:sz w:val="20"/>
          <w:szCs w:val="20"/>
          <w:color w:val="auto"/>
        </w:rPr>
      </w:pPr>
    </w:p>
    <w:p>
      <w:pPr>
        <w:jc w:val="both"/>
        <w:ind w:firstLine="180"/>
        <w:spacing w:after="0" w:line="250" w:lineRule="auto"/>
        <w:rPr>
          <w:sz w:val="20"/>
          <w:szCs w:val="20"/>
          <w:color w:val="auto"/>
        </w:rPr>
      </w:pPr>
      <w:r>
        <w:rPr>
          <w:rFonts w:ascii="Arial" w:cs="Arial" w:eastAsia="Arial" w:hAnsi="Arial"/>
          <w:sz w:val="16"/>
          <w:szCs w:val="16"/>
          <w:color w:val="auto"/>
        </w:rPr>
        <w:t>Revenues from our top five customers amounted to $1,092.8 million in the year ended December 31, 2020 compared to $1,055.3 million in the year ended December 31, 2019 or 39.1% and 37.6% respectively. The largest of these customers related to a strategic partnership with a large global pharmaceutical company. Revenue from this customer contributed 12.1% of revenue for the year, compared to 12.5% of revenue for the year ended December 31, 2019. The second largest customer, also a large global pharmaceutical company, accounted for less than 10% of the Group's revenue for the year ended December 31, 2020 compared to 10.2% of revenue for the year ended December 31, 2019.</w:t>
      </w:r>
    </w:p>
    <w:p>
      <w:pPr>
        <w:spacing w:after="0" w:line="176" w:lineRule="exact"/>
        <w:rPr>
          <w:sz w:val="20"/>
          <w:szCs w:val="20"/>
          <w:color w:val="auto"/>
        </w:rPr>
      </w:pPr>
    </w:p>
    <w:p>
      <w:pPr>
        <w:jc w:val="both"/>
        <w:ind w:firstLine="182"/>
        <w:spacing w:after="0" w:line="257" w:lineRule="auto"/>
        <w:rPr>
          <w:sz w:val="20"/>
          <w:szCs w:val="20"/>
          <w:color w:val="auto"/>
        </w:rPr>
      </w:pPr>
      <w:r>
        <w:rPr>
          <w:rFonts w:ascii="Arial" w:cs="Arial" w:eastAsia="Arial" w:hAnsi="Arial"/>
          <w:sz w:val="16"/>
          <w:szCs w:val="16"/>
          <w:color w:val="auto"/>
        </w:rPr>
        <w:t xml:space="preserve">Revenue in Ireland decreased by $71.5 million in the year ended December 31, 2020, to $1,181.3 million, compared to $1,252.8 million for the year ended December 31, 2019. Revenue in Ireland during the year ended December 31, 2020 decreased by 5.7% compared to an overall decrease in Group revenue of 0.3%. Revenue in Ireland is principally a function of our global contracting model (see </w:t>
      </w:r>
      <w:r>
        <w:rPr>
          <w:rFonts w:ascii="Arial" w:cs="Arial" w:eastAsia="Arial" w:hAnsi="Arial"/>
          <w:sz w:val="16"/>
          <w:szCs w:val="16"/>
          <w:i w:val="1"/>
          <w:iCs w:val="1"/>
          <w:color w:val="auto"/>
        </w:rPr>
        <w:t>note 19 - Business segment and geographical information</w:t>
      </w:r>
      <w:r>
        <w:rPr>
          <w:rFonts w:ascii="Arial" w:cs="Arial" w:eastAsia="Arial" w:hAnsi="Arial"/>
          <w:sz w:val="16"/>
          <w:szCs w:val="16"/>
          <w:color w:val="auto"/>
        </w:rPr>
        <w:t xml:space="preserve"> </w:t>
      </w:r>
      <w:r>
        <w:rPr>
          <w:rFonts w:ascii="Arial" w:cs="Arial" w:eastAsia="Arial" w:hAnsi="Arial"/>
          <w:sz w:val="17"/>
          <w:szCs w:val="17"/>
          <w:color w:val="auto"/>
        </w:rPr>
        <w:t>i</w:t>
      </w:r>
      <w:r>
        <w:rPr>
          <w:rFonts w:ascii="Arial" w:cs="Arial" w:eastAsia="Arial" w:hAnsi="Arial"/>
          <w:sz w:val="16"/>
          <w:szCs w:val="16"/>
          <w:color w:val="auto"/>
        </w:rPr>
        <w:t>n the consolidated financial statements).</w:t>
      </w:r>
    </w:p>
    <w:p>
      <w:pPr>
        <w:spacing w:after="0" w:line="226" w:lineRule="exact"/>
        <w:rPr>
          <w:sz w:val="20"/>
          <w:szCs w:val="20"/>
          <w:color w:val="auto"/>
        </w:rPr>
      </w:pPr>
    </w:p>
    <w:p>
      <w:pPr>
        <w:jc w:val="both"/>
        <w:ind w:firstLine="228"/>
        <w:spacing w:after="0" w:line="260" w:lineRule="auto"/>
        <w:rPr>
          <w:sz w:val="20"/>
          <w:szCs w:val="20"/>
          <w:color w:val="auto"/>
        </w:rPr>
      </w:pPr>
      <w:r>
        <w:rPr>
          <w:rFonts w:ascii="Arial" w:cs="Arial" w:eastAsia="Arial" w:hAnsi="Arial"/>
          <w:sz w:val="16"/>
          <w:szCs w:val="16"/>
          <w:color w:val="auto"/>
        </w:rPr>
        <w:t>Revenue for Rest of Europe increased by $28.0 million or 7.2%, to $416.9 million, compared to $388.9 million for the year ended December 31, 2019, principally reflecting the acquisition of MeDiNova in May 2019 and MedPass in January 2020.</w:t>
      </w:r>
    </w:p>
    <w:p>
      <w:pPr>
        <w:spacing w:after="0" w:line="222" w:lineRule="exact"/>
        <w:rPr>
          <w:sz w:val="20"/>
          <w:szCs w:val="20"/>
          <w:color w:val="auto"/>
        </w:rPr>
      </w:pPr>
    </w:p>
    <w:p>
      <w:pPr>
        <w:jc w:val="both"/>
        <w:ind w:firstLine="199"/>
        <w:spacing w:after="0" w:line="260" w:lineRule="auto"/>
        <w:rPr>
          <w:sz w:val="20"/>
          <w:szCs w:val="20"/>
          <w:color w:val="auto"/>
        </w:rPr>
      </w:pPr>
      <w:r>
        <w:rPr>
          <w:rFonts w:ascii="Arial" w:cs="Arial" w:eastAsia="Arial" w:hAnsi="Arial"/>
          <w:sz w:val="16"/>
          <w:szCs w:val="16"/>
          <w:color w:val="auto"/>
        </w:rPr>
        <w:t>Revenue in the U.S. increased by $33.1 million or 3.7%, to $925.6 million, compared to $892.5 million for the year ended December 31, 2019, principally reflecting the acquisition of Symphony in September 2019.</w:t>
      </w:r>
    </w:p>
    <w:p>
      <w:pPr>
        <w:spacing w:after="0" w:line="222"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6"/>
          <w:szCs w:val="16"/>
          <w:color w:val="auto"/>
        </w:rPr>
        <w:t>Revenue in our Rest of World (‘Other’) region increased by $2.0 million or 0.7%, to $273.5 million, compared to $271.6 million for the year ended December 31, 2019. Revenues in non-U.S. dollar operations in this region were impacted by foreign currency translation and the movement in local rates to the U.S. dollar over the comparative year.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0" w:name="page51"/>
    <w:bookmarkEnd w:id="50"/>
    <w:p>
      <w:pPr>
        <w:ind w:left="180"/>
        <w:spacing w:after="0"/>
        <w:rPr>
          <w:sz w:val="20"/>
          <w:szCs w:val="20"/>
          <w:color w:val="auto"/>
        </w:rPr>
      </w:pPr>
      <w:r>
        <w:rPr>
          <w:rFonts w:ascii="Arial" w:cs="Arial" w:eastAsia="Arial" w:hAnsi="Arial"/>
          <w:sz w:val="16"/>
          <w:szCs w:val="16"/>
          <w:b w:val="1"/>
          <w:bCs w:val="1"/>
          <w:i w:val="1"/>
          <w:iCs w:val="1"/>
          <w:color w:val="auto"/>
        </w:rPr>
        <w:t>Direct costs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16"/>
        </w:trPr>
        <w:tc>
          <w:tcPr>
            <w:tcW w:w="5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r>
      <w:tr>
        <w:trPr>
          <w:trHeight w:val="20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1,979,883</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1,974,135</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5,748</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70.8 %</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70.4 %</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0.3 %</w:t>
            </w:r>
          </w:p>
        </w:tc>
      </w:tr>
    </w:tbl>
    <w:p>
      <w:pPr>
        <w:spacing w:after="0" w:line="332" w:lineRule="exact"/>
        <w:rPr>
          <w:sz w:val="20"/>
          <w:szCs w:val="20"/>
          <w:color w:val="auto"/>
        </w:rPr>
      </w:pPr>
    </w:p>
    <w:p>
      <w:pPr>
        <w:jc w:val="both"/>
        <w:ind w:firstLine="238"/>
        <w:spacing w:after="0" w:line="249" w:lineRule="auto"/>
        <w:rPr>
          <w:sz w:val="20"/>
          <w:szCs w:val="20"/>
          <w:color w:val="auto"/>
        </w:rPr>
      </w:pPr>
      <w:r>
        <w:rPr>
          <w:rFonts w:ascii="Arial" w:cs="Arial" w:eastAsia="Arial" w:hAnsi="Arial"/>
          <w:sz w:val="16"/>
          <w:szCs w:val="16"/>
          <w:color w:val="auto"/>
        </w:rPr>
        <w:t>Direct costs for the year increased by $5.7 million, or 0.3%, to $1,979.9 million, compared to $1,974.1 million for the year ended December 31, 2019. Direct costs consist primarily of investigator and other reimbursable costs, compensation, associated fringe benefits and share based compensation expense for project-related employees and other direct project driven costs. The increase in direct costs during the year arose due to an increase in headcount and a corresponding increase in personnel related expenditure of $80.7 million combined with an increase in other direct project related costs of $2.3 million, increases in laboratory costs of $12.5 million, partly offset by a decrease in third party investigator and other reimbursable costs of $84.7 million and a decrease in travel related costs of $5.1 million.</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left="399"/>
              <w:spacing w:after="0"/>
              <w:rPr>
                <w:sz w:val="20"/>
                <w:szCs w:val="20"/>
                <w:color w:val="auto"/>
              </w:rPr>
            </w:pPr>
            <w:r>
              <w:rPr>
                <w:rFonts w:ascii="Arial" w:cs="Arial" w:eastAsia="Arial" w:hAnsi="Arial"/>
                <w:sz w:val="16"/>
                <w:szCs w:val="16"/>
                <w:b w:val="1"/>
                <w:bCs w:val="1"/>
                <w:color w:val="auto"/>
                <w:w w:val="99"/>
              </w:rPr>
              <w:t>Year Ended</w:t>
            </w: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5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2"/>
            <w:shd w:val="clear" w:color="auto" w:fill="CCEEFF"/>
          </w:tcPr>
          <w:p>
            <w:pPr>
              <w:jc w:val="center"/>
              <w:ind w:left="37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341,690</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336,748</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4,942</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12.2 %</w:t>
            </w:r>
          </w:p>
        </w:tc>
        <w:tc>
          <w:tcPr>
            <w:tcW w:w="8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12.0 %</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1.5 %</w:t>
            </w:r>
          </w:p>
        </w:tc>
      </w:tr>
    </w:tbl>
    <w:p>
      <w:pPr>
        <w:spacing w:after="0" w:line="345" w:lineRule="exact"/>
        <w:rPr>
          <w:sz w:val="20"/>
          <w:szCs w:val="20"/>
          <w:color w:val="auto"/>
        </w:rPr>
      </w:pPr>
    </w:p>
    <w:p>
      <w:pPr>
        <w:jc w:val="both"/>
        <w:ind w:firstLine="228"/>
        <w:spacing w:after="0" w:line="248" w:lineRule="auto"/>
        <w:rPr>
          <w:sz w:val="20"/>
          <w:szCs w:val="20"/>
          <w:color w:val="auto"/>
        </w:rPr>
      </w:pPr>
      <w:r>
        <w:rPr>
          <w:rFonts w:ascii="Arial" w:cs="Arial" w:eastAsia="Arial" w:hAnsi="Arial"/>
          <w:sz w:val="16"/>
          <w:szCs w:val="16"/>
          <w:color w:val="auto"/>
        </w:rPr>
        <w:t>Selling, general and administrative expenses for the year increased by $4.9 million, or 1.5%, to $341.7 million, compared to $336.7 million for the year ended December 31, 2019.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revenue, selling, general and administrative expenses increased to 12.2% of revenue, compared to 12.0% of revenue for the year ended December 31, 2019. During the year, the increase in selling, general and administrative expenses relates to an increase in general overhead costs net of foreign exchange costs of $2.8 million, an increase of $5.2 million in facilities related costs, an increase of $0.5 million in professional fees and an increase of $0.4 million in personnel related costs. These increases were partly offset by a decrease of $3.3 million in acquisition costs and a decrease of $0.7 million in marketing fees.</w:t>
      </w:r>
    </w:p>
    <w:p>
      <w:pPr>
        <w:spacing w:after="0" w:line="180" w:lineRule="exact"/>
        <w:rPr>
          <w:sz w:val="20"/>
          <w:szCs w:val="20"/>
          <w:color w:val="auto"/>
        </w:rPr>
      </w:pPr>
    </w:p>
    <w:p>
      <w:pPr>
        <w:jc w:val="both"/>
        <w:ind w:firstLine="191"/>
        <w:spacing w:after="0" w:line="260" w:lineRule="auto"/>
        <w:rPr>
          <w:sz w:val="20"/>
          <w:szCs w:val="20"/>
          <w:color w:val="auto"/>
        </w:rPr>
      </w:pPr>
      <w:r>
        <w:rPr>
          <w:rFonts w:ascii="Arial" w:cs="Arial" w:eastAsia="Arial" w:hAnsi="Arial"/>
          <w:sz w:val="16"/>
          <w:szCs w:val="16"/>
          <w:color w:val="auto"/>
        </w:rPr>
        <w:t xml:space="preserve">Share based compensation expense recognized during the years ended December 31, 2020 and December 31, 2019 was $26.3 million and $26.8 million respectively (see </w:t>
      </w:r>
      <w:r>
        <w:rPr>
          <w:rFonts w:ascii="Arial" w:cs="Arial" w:eastAsia="Arial" w:hAnsi="Arial"/>
          <w:sz w:val="16"/>
          <w:szCs w:val="16"/>
          <w:i w:val="1"/>
          <w:iCs w:val="1"/>
          <w:color w:val="auto"/>
        </w:rPr>
        <w:t>note 10 - Equity Incentive Schemes and Stock Compensation Charges</w:t>
      </w:r>
      <w:r>
        <w:rPr>
          <w:rFonts w:ascii="Arial" w:cs="Arial" w:eastAsia="Arial" w:hAnsi="Arial"/>
          <w:sz w:val="16"/>
          <w:szCs w:val="16"/>
          <w:color w:val="auto"/>
        </w:rPr>
        <w:t xml:space="preserve"> to the consolidated financial statements).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4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Year Ended</w:t>
            </w: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4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48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46,892</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45,603</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1,289</w:t>
            </w: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1.7 %</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1.6 %</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9"/>
        </w:trPr>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19,234</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15,947</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3,287</w:t>
            </w:r>
          </w:p>
        </w:tc>
      </w:tr>
      <w:tr>
        <w:trPr>
          <w:trHeight w:val="210"/>
        </w:trPr>
        <w:tc>
          <w:tcPr>
            <w:tcW w:w="5480" w:type="dxa"/>
            <w:vAlign w:val="bottom"/>
          </w:tcPr>
          <w:p>
            <w:pPr>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0.7 %</w:t>
            </w:r>
          </w:p>
        </w:tc>
        <w:tc>
          <w:tcPr>
            <w:tcW w:w="8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0.6 %</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20.6 %</w:t>
            </w:r>
          </w:p>
        </w:tc>
      </w:tr>
    </w:tbl>
    <w:p>
      <w:pPr>
        <w:spacing w:after="0" w:line="345"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16"/>
          <w:szCs w:val="16"/>
          <w:color w:val="auto"/>
        </w:rPr>
        <w:t>Depreciation expense for the year increased by $1.3 million or 2.8%, to $46.9 million, compared to $45.6 million for the year ended December 31, 2019. The depreciation charge reflects investments in facilities, information systems and equipment supporting the Company’s continued growth. As a percentage of revenue, the depreciation expense increased to 1.7% of revenues, compared to 1.6% for the year ended December 31, 2019. Amortization expense for the year increased by $3.3 million or 20.6%, to $19.2 million, compared to $15.9 million for the year ended December 31, 2019. The amortization expense represents the amortization of intangible assets acquired in business combinations. The increase in amortization expense for the year reflects the amortization of newly acquired intangibles arising on the acquisition of MMD, MeDiNova, Symphony and MedPass. These increases were partly offset by the completion of amortization on other assets. As a percentage of revenue, the amortization expense increased to 0.7%, compared to at 0.6% of revenue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ind w:left="180"/>
        <w:spacing w:after="0"/>
        <w:rPr>
          <w:sz w:val="20"/>
          <w:szCs w:val="20"/>
          <w:color w:val="auto"/>
        </w:rPr>
      </w:pPr>
      <w:r>
        <w:rPr>
          <w:rFonts w:ascii="Arial" w:cs="Arial" w:eastAsia="Arial" w:hAnsi="Arial"/>
          <w:sz w:val="16"/>
          <w:szCs w:val="16"/>
          <w:b w:val="1"/>
          <w:bCs w:val="1"/>
          <w:i w:val="1"/>
          <w:iCs w:val="1"/>
          <w:color w:val="auto"/>
        </w:rPr>
        <w:t>Restructuring costs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jc w:val="center"/>
              <w:ind w:left="119"/>
              <w:spacing w:after="0"/>
              <w:rPr>
                <w:sz w:val="20"/>
                <w:szCs w:val="20"/>
                <w:color w:val="auto"/>
              </w:rPr>
            </w:pPr>
            <w:r>
              <w:rPr>
                <w:rFonts w:ascii="Arial" w:cs="Arial" w:eastAsia="Arial" w:hAnsi="Arial"/>
                <w:sz w:val="16"/>
                <w:szCs w:val="16"/>
                <w:b w:val="1"/>
                <w:bCs w:val="1"/>
                <w:color w:val="auto"/>
                <w:w w:val="99"/>
              </w:rPr>
              <w:t>Year Ended</w:t>
            </w:r>
          </w:p>
        </w:tc>
        <w:tc>
          <w:tcPr>
            <w:tcW w:w="1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6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gridSpan w:val="2"/>
            <w:shd w:val="clear" w:color="auto" w:fill="CCEEFF"/>
          </w:tcPr>
          <w:p>
            <w:pPr>
              <w:jc w:val="center"/>
              <w:ind w:left="139"/>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18,089</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   $</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18,089</w:t>
            </w: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0.6 %</w:t>
            </w:r>
          </w:p>
        </w:tc>
        <w:tc>
          <w:tcPr>
            <w:tcW w:w="100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color w:val="auto"/>
              </w:rPr>
              <w:t>— %</w:t>
            </w:r>
          </w:p>
        </w:tc>
        <w:tc>
          <w:tcPr>
            <w:tcW w:w="1500" w:type="dxa"/>
            <w:vAlign w:val="bottom"/>
          </w:tcPr>
          <w:p>
            <w:pPr>
              <w:jc w:val="right"/>
              <w:spacing w:after="0"/>
              <w:rPr>
                <w:sz w:val="20"/>
                <w:szCs w:val="20"/>
                <w:color w:val="auto"/>
              </w:rPr>
            </w:pPr>
            <w:r>
              <w:rPr>
                <w:rFonts w:ascii="Arial" w:cs="Arial" w:eastAsia="Arial" w:hAnsi="Arial"/>
                <w:sz w:val="16"/>
                <w:szCs w:val="16"/>
                <w:color w:val="auto"/>
              </w:rPr>
              <w:t>100.0 %</w:t>
            </w:r>
          </w:p>
        </w:tc>
      </w:tr>
    </w:tbl>
    <w:p>
      <w:pPr>
        <w:spacing w:after="0" w:line="332" w:lineRule="exact"/>
        <w:rPr>
          <w:sz w:val="20"/>
          <w:szCs w:val="20"/>
          <w:color w:val="auto"/>
        </w:rPr>
      </w:pPr>
    </w:p>
    <w:p>
      <w:pPr>
        <w:jc w:val="both"/>
        <w:ind w:firstLine="215"/>
        <w:spacing w:after="0" w:line="253" w:lineRule="auto"/>
        <w:rPr>
          <w:sz w:val="20"/>
          <w:szCs w:val="20"/>
          <w:color w:val="auto"/>
        </w:rPr>
      </w:pPr>
      <w:r>
        <w:rPr>
          <w:rFonts w:ascii="Arial" w:cs="Arial" w:eastAsia="Arial" w:hAnsi="Arial"/>
          <w:sz w:val="16"/>
          <w:szCs w:val="16"/>
          <w:color w:val="auto"/>
        </w:rPr>
        <w:t xml:space="preserve">During the year ended December 31, 2020 the Company implemented a restructuring plan to improve operating efficiencies resulting in recognition of a restructuring charge of $18.1 million. The restructuring plan reflected resource rationalization across the business to improve resource utilization. There was no restructuring charge during the year ended December 31, 2019 (see </w:t>
      </w:r>
      <w:r>
        <w:rPr>
          <w:rFonts w:ascii="Arial" w:cs="Arial" w:eastAsia="Arial" w:hAnsi="Arial"/>
          <w:sz w:val="16"/>
          <w:szCs w:val="16"/>
          <w:i w:val="1"/>
          <w:iCs w:val="1"/>
          <w:color w:val="auto"/>
        </w:rPr>
        <w:t>note 14 - Restructuring charges</w:t>
      </w:r>
      <w:r>
        <w:rPr>
          <w:rFonts w:ascii="Arial" w:cs="Arial" w:eastAsia="Arial" w:hAnsi="Arial"/>
          <w:sz w:val="16"/>
          <w:szCs w:val="16"/>
          <w:color w:val="auto"/>
        </w:rPr>
        <w:t xml:space="preserve"> to the consolidated financial statements).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6"/>
        </w:trPr>
        <w:tc>
          <w:tcPr>
            <w:tcW w:w="5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 (incl. restructuring)</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391,500</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433,406</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(41,906)</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14.0 %</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9"/>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 (excl. restructuring)</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409,589</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433,406</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(23,817)</w:t>
            </w:r>
          </w:p>
        </w:tc>
      </w:tr>
      <w:tr>
        <w:trPr>
          <w:trHeight w:val="210"/>
        </w:trPr>
        <w:tc>
          <w:tcPr>
            <w:tcW w:w="5400" w:type="dxa"/>
            <w:vAlign w:val="bottom"/>
          </w:tcPr>
          <w:p>
            <w:pPr>
              <w:spacing w:after="0"/>
              <w:rPr>
                <w:sz w:val="20"/>
                <w:szCs w:val="20"/>
                <w:color w:val="auto"/>
              </w:rPr>
            </w:pPr>
            <w:r>
              <w:rPr>
                <w:rFonts w:ascii="Arial" w:cs="Arial" w:eastAsia="Arial" w:hAnsi="Arial"/>
                <w:sz w:val="16"/>
                <w:szCs w:val="16"/>
                <w:color w:val="auto"/>
              </w:rPr>
              <w:t>% of revenue</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14.6 %</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15.4 %</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345" w:lineRule="exact"/>
        <w:rPr>
          <w:sz w:val="20"/>
          <w:szCs w:val="20"/>
          <w:color w:val="auto"/>
        </w:rPr>
      </w:pPr>
    </w:p>
    <w:p>
      <w:pPr>
        <w:jc w:val="both"/>
        <w:ind w:firstLine="177"/>
        <w:spacing w:after="0" w:line="253" w:lineRule="auto"/>
        <w:rPr>
          <w:sz w:val="20"/>
          <w:szCs w:val="20"/>
          <w:color w:val="auto"/>
        </w:rPr>
      </w:pPr>
      <w:r>
        <w:rPr>
          <w:rFonts w:ascii="Arial" w:cs="Arial" w:eastAsia="Arial" w:hAnsi="Arial"/>
          <w:sz w:val="16"/>
          <w:szCs w:val="16"/>
          <w:color w:val="auto"/>
        </w:rPr>
        <w:t>As a result of the above, income from operations decreased by $41.9 million, or 9.7%, to $391.5 million ($409.6 million excluding restructuring), compared to $433.4 million ($433.4 million, excluding restructuring charges) for the year ended December 31, 2019. As a percentage of revenue, income from operations decreased to 14.0% (14.6% excluding restructuring) of revenues compared to 15.4% of revenues for year ended December 31, 2019.</w:t>
      </w:r>
    </w:p>
    <w:p>
      <w:pPr>
        <w:spacing w:after="0" w:line="228" w:lineRule="exact"/>
        <w:rPr>
          <w:sz w:val="20"/>
          <w:szCs w:val="20"/>
          <w:color w:val="auto"/>
        </w:rPr>
      </w:pPr>
    </w:p>
    <w:p>
      <w:pPr>
        <w:jc w:val="both"/>
        <w:ind w:right="20" w:firstLine="228"/>
        <w:spacing w:after="0" w:line="251" w:lineRule="auto"/>
        <w:rPr>
          <w:sz w:val="20"/>
          <w:szCs w:val="20"/>
          <w:color w:val="auto"/>
        </w:rPr>
      </w:pPr>
      <w:r>
        <w:rPr>
          <w:rFonts w:ascii="Arial" w:cs="Arial" w:eastAsia="Arial" w:hAnsi="Arial"/>
          <w:sz w:val="16"/>
          <w:szCs w:val="16"/>
          <w:color w:val="auto"/>
        </w:rPr>
        <w:t>Income from operations in Ireland decreased by $37.8 million or 12.0% ($18.9 million or 6.0% excluding restructuring) to $276.5 million ($295.4 million excluding restructuring), compared to $314.3 million ($314.3 million excluding restructuring) for the year ended December 31, 2019. Income from operations in Ireland and other geographic regions are reflective of the Company’s global transfer pricing model and the centralization of intragroup financing activities in Ireland.</w:t>
      </w:r>
    </w:p>
    <w:p>
      <w:pPr>
        <w:spacing w:after="0" w:line="229" w:lineRule="exact"/>
        <w:rPr>
          <w:sz w:val="20"/>
          <w:szCs w:val="20"/>
          <w:color w:val="auto"/>
        </w:rPr>
      </w:pPr>
    </w:p>
    <w:p>
      <w:pPr>
        <w:jc w:val="both"/>
        <w:ind w:firstLine="262"/>
        <w:spacing w:after="0" w:line="251" w:lineRule="auto"/>
        <w:rPr>
          <w:sz w:val="20"/>
          <w:szCs w:val="20"/>
          <w:color w:val="auto"/>
        </w:rPr>
      </w:pPr>
      <w:r>
        <w:rPr>
          <w:rFonts w:ascii="Arial" w:cs="Arial" w:eastAsia="Arial" w:hAnsi="Arial"/>
          <w:sz w:val="16"/>
          <w:szCs w:val="16"/>
          <w:color w:val="auto"/>
        </w:rPr>
        <w:t>In the Rest of Europe region, income from operations decreased by $2.2 million ($2.6 million excluding restructuring), to $35.8 million ($35.4 million excluding restructuring), compared to $38.0 million ($38.0 million excluding restructuring) for the year ended December 31, 2019. As a percentage of revenues, income from operations in the Rest of Europe region decreased to 8.6% (8.5% excluding restructuring), compared to 9.8% for the year ended December 31, 2019.</w:t>
      </w:r>
    </w:p>
    <w:p>
      <w:pPr>
        <w:spacing w:after="0" w:line="229" w:lineRule="exact"/>
        <w:rPr>
          <w:sz w:val="20"/>
          <w:szCs w:val="20"/>
          <w:color w:val="auto"/>
        </w:rPr>
      </w:pPr>
    </w:p>
    <w:p>
      <w:pPr>
        <w:jc w:val="both"/>
        <w:ind w:firstLine="217"/>
        <w:spacing w:after="0" w:line="253" w:lineRule="auto"/>
        <w:rPr>
          <w:sz w:val="20"/>
          <w:szCs w:val="20"/>
          <w:color w:val="auto"/>
        </w:rPr>
      </w:pPr>
      <w:r>
        <w:rPr>
          <w:rFonts w:ascii="Arial" w:cs="Arial" w:eastAsia="Arial" w:hAnsi="Arial"/>
          <w:sz w:val="16"/>
          <w:szCs w:val="16"/>
          <w:color w:val="auto"/>
        </w:rPr>
        <w:t>In the U.S. region, income from operations decreased by $2.3 million ($2.6 million excluding restructuring), or 3.7%, to $58.0 million compared to $60.3 million for the year ended December 31, 2019. As a percentage of revenues, income from operations in the U.S. region decreased to 6.3% (6.2% excluding restructuring) compared to 6.8% for the year ended December 31, 2019.</w:t>
      </w:r>
    </w:p>
    <w:p>
      <w:pPr>
        <w:spacing w:after="0" w:line="228" w:lineRule="exact"/>
        <w:rPr>
          <w:sz w:val="20"/>
          <w:szCs w:val="20"/>
          <w:color w:val="auto"/>
        </w:rPr>
      </w:pPr>
    </w:p>
    <w:p>
      <w:pPr>
        <w:jc w:val="both"/>
        <w:ind w:right="20" w:firstLine="184"/>
        <w:spacing w:after="0" w:line="253" w:lineRule="auto"/>
        <w:rPr>
          <w:sz w:val="20"/>
          <w:szCs w:val="20"/>
          <w:color w:val="auto"/>
        </w:rPr>
      </w:pPr>
      <w:r>
        <w:rPr>
          <w:rFonts w:ascii="Arial" w:cs="Arial" w:eastAsia="Arial" w:hAnsi="Arial"/>
          <w:sz w:val="16"/>
          <w:szCs w:val="16"/>
          <w:color w:val="auto"/>
        </w:rPr>
        <w:t>In other regions, income from operations increased by $0.4 million ($0.3 million excluding restructuring), to $21.2 million, compared to $20.9 million for the year ended December 31, 2019. As a percentage of revenues, income from operations in the other regions increased to 7.8% (7.7% excluding restructuring), compared to 7.7% for the year ended December 31, 2019.</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Year Ended</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8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(4,135)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(13,019)</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(13,276)</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799"/>
              <w:spacing w:after="0"/>
              <w:rPr>
                <w:sz w:val="20"/>
                <w:szCs w:val="20"/>
                <w:color w:val="auto"/>
              </w:rPr>
            </w:pPr>
            <w:r>
              <w:rPr>
                <w:rFonts w:ascii="Arial" w:cs="Arial" w:eastAsia="Arial" w:hAnsi="Arial"/>
                <w:sz w:val="16"/>
                <w:szCs w:val="16"/>
                <w:color w:val="auto"/>
              </w:rPr>
              <w:t>257</w:t>
            </w: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pacing w:after="0" w:line="345"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6"/>
          <w:szCs w:val="16"/>
          <w:color w:val="auto"/>
        </w:rPr>
        <w:t>Interest expense decreased to $13.0 million compared to $13.3 million for the year ended December 31, 2019. No amounts were drawn down on the revolving credit facility during the year ended December 31, 2020 or the year ended December 31, 2019. Interest income for the year ended December 31, 2020 decreased to $2.7 million, compared to $6.9 million for the year ended December 31, 2019. This reflects reduced returns on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ind w:left="18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Year Ended</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(including restructuring)</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47,875</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51,133</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(3,258)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Effective income tax rate (including restructuring)</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12.6 %</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12.0 %</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(excluding restructuring)</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50,136</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51,133</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(997)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Effective income tax rate (excluding restructuring)</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12.6 %</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12.0 %</w:t>
            </w: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Provision for income taxes for the year decreased to $47.9 million ($50.1 million excluding restructuring) compared to $51.1 million for the year ended December 31, 2019. The Company’s effective tax rate for the year ended December 31, 2020 was 12.6% (12.6% excluding restructuring) compared to 12.0% for the year ended December 31, 2019. The Company’s effective tax rate is principally a function of the distribution of pre-tax profits in the territories in which it operates.</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Net income per Ordinary Share attributable to the Group</w:t>
      </w:r>
    </w:p>
    <w:p>
      <w:pPr>
        <w:spacing w:after="0" w:line="268" w:lineRule="exact"/>
        <w:rPr>
          <w:sz w:val="20"/>
          <w:szCs w:val="20"/>
          <w:color w:val="auto"/>
        </w:rPr>
      </w:pPr>
    </w:p>
    <w:p>
      <w:pPr>
        <w:jc w:val="both"/>
        <w:ind w:firstLine="269"/>
        <w:spacing w:after="0" w:line="25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30" w:lineRule="exact"/>
        <w:rPr>
          <w:sz w:val="20"/>
          <w:szCs w:val="20"/>
          <w:color w:val="auto"/>
        </w:rPr>
      </w:pPr>
    </w:p>
    <w:p>
      <w:pPr>
        <w:jc w:val="both"/>
        <w:ind w:firstLine="208"/>
        <w:spacing w:after="0" w:line="253" w:lineRule="auto"/>
        <w:rPr>
          <w:sz w:val="20"/>
          <w:szCs w:val="20"/>
          <w:color w:val="auto"/>
        </w:rPr>
      </w:pPr>
      <w:r>
        <w:rPr>
          <w:rFonts w:ascii="Arial" w:cs="Arial" w:eastAsia="Arial" w:hAnsi="Arial"/>
          <w:sz w:val="16"/>
          <w:szCs w:val="16"/>
          <w:color w:val="auto"/>
        </w:rPr>
        <w:t>Basic and diluted net income per ordinary share attributable to the Group includes the adjustment to reflect the accretion of the noncontrolling interest in MeDiNova to its redemption value. This adjustment to reflect changes in the redemption amount of the noncontrolling interest has been excluded from net income when calculating adjusted net income per ordinary share attributable to the Group (non-GAAP). See below section on non-GAAP financial measures.</w:t>
      </w:r>
    </w:p>
    <w:p>
      <w:pPr>
        <w:spacing w:after="0" w:line="228" w:lineRule="exact"/>
        <w:rPr>
          <w:sz w:val="20"/>
          <w:szCs w:val="20"/>
          <w:color w:val="auto"/>
        </w:rPr>
      </w:pPr>
    </w:p>
    <w:p>
      <w:pPr>
        <w:jc w:val="both"/>
        <w:ind w:firstLine="195"/>
        <w:spacing w:after="0" w:line="260" w:lineRule="auto"/>
        <w:rPr>
          <w:sz w:val="20"/>
          <w:szCs w:val="20"/>
          <w:color w:val="auto"/>
        </w:rPr>
      </w:pPr>
      <w:r>
        <w:rPr>
          <w:rFonts w:ascii="Arial" w:cs="Arial" w:eastAsia="Arial" w:hAnsi="Arial"/>
          <w:sz w:val="16"/>
          <w:szCs w:val="16"/>
          <w:color w:val="auto"/>
        </w:rPr>
        <w:t>The reconciliation between net income attributable to the Group per the Statement of Operating Income and the net income used to calculate net income per ordinary share attributable to the Group is as follows: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40" w:type="dxa"/>
            <w:vAlign w:val="bottom"/>
            <w:tcBorders>
              <w:top w:val="single" w:sz="8" w:color="auto"/>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Year ended</w:t>
            </w:r>
          </w:p>
        </w:tc>
        <w:tc>
          <w:tcPr>
            <w:tcW w:w="1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30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 2020</w:t>
            </w:r>
          </w:p>
        </w:tc>
        <w:tc>
          <w:tcPr>
            <w:tcW w:w="236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 2019</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 in thousands</w:t>
            </w:r>
          </w:p>
        </w:tc>
        <w:tc>
          <w:tcPr>
            <w:tcW w:w="1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b w:val="1"/>
                <w:bCs w:val="1"/>
                <w:color w:val="auto"/>
              </w:rPr>
              <w:t>Net income attributable to the Group</w:t>
            </w:r>
          </w:p>
        </w:tc>
        <w:tc>
          <w:tcPr>
            <w:tcW w:w="2300" w:type="dxa"/>
            <w:vAlign w:val="bottom"/>
          </w:tcPr>
          <w:p>
            <w:pPr>
              <w:jc w:val="right"/>
              <w:ind w:right="259"/>
              <w:spacing w:after="0"/>
              <w:rPr>
                <w:sz w:val="20"/>
                <w:szCs w:val="20"/>
                <w:color w:val="auto"/>
              </w:rPr>
            </w:pPr>
            <w:r>
              <w:rPr>
                <w:rFonts w:ascii="Arial" w:cs="Arial" w:eastAsia="Arial" w:hAnsi="Arial"/>
                <w:sz w:val="16"/>
                <w:szCs w:val="16"/>
                <w:b w:val="1"/>
                <w:bCs w:val="1"/>
                <w:color w:val="auto"/>
              </w:rPr>
              <w:t>332,331</w:t>
            </w:r>
          </w:p>
        </w:tc>
        <w:tc>
          <w:tcPr>
            <w:tcW w:w="2360" w:type="dxa"/>
            <w:vAlign w:val="bottom"/>
          </w:tcPr>
          <w:p>
            <w:pPr>
              <w:jc w:val="right"/>
              <w:ind w:right="359"/>
              <w:spacing w:after="0"/>
              <w:rPr>
                <w:sz w:val="20"/>
                <w:szCs w:val="20"/>
                <w:color w:val="auto"/>
              </w:rPr>
            </w:pPr>
            <w:r>
              <w:rPr>
                <w:rFonts w:ascii="Arial" w:cs="Arial" w:eastAsia="Arial" w:hAnsi="Arial"/>
                <w:sz w:val="16"/>
                <w:szCs w:val="16"/>
                <w:b w:val="1"/>
                <w:bCs w:val="1"/>
                <w:color w:val="auto"/>
              </w:rPr>
              <w:t>373,986</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322,656</w:t>
            </w:r>
          </w:p>
        </w:tc>
        <w:tc>
          <w:tcPr>
            <w:tcW w:w="0" w:type="dxa"/>
            <w:vAlign w:val="bottom"/>
          </w:tcPr>
          <w:p>
            <w:pPr>
              <w:spacing w:after="0"/>
              <w:rPr>
                <w:sz w:val="1"/>
                <w:szCs w:val="1"/>
                <w:color w:val="auto"/>
              </w:rPr>
            </w:pPr>
          </w:p>
        </w:tc>
      </w:tr>
      <w:tr>
        <w:trPr>
          <w:trHeight w:val="214"/>
        </w:trPr>
        <w:tc>
          <w:tcPr>
            <w:tcW w:w="4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Noncontrolling interest adjustment to redemption amount</w:t>
            </w:r>
          </w:p>
        </w:tc>
        <w:tc>
          <w:tcPr>
            <w:tcW w:w="23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(4,522)</w:t>
            </w:r>
          </w:p>
        </w:tc>
        <w:tc>
          <w:tcPr>
            <w:tcW w:w="23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(5,048)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4640" w:type="dxa"/>
            <w:vAlign w:val="bottom"/>
          </w:tcPr>
          <w:p>
            <w:pPr>
              <w:spacing w:after="0" w:line="158" w:lineRule="exact"/>
              <w:rPr>
                <w:sz w:val="20"/>
                <w:szCs w:val="20"/>
                <w:color w:val="auto"/>
              </w:rPr>
            </w:pPr>
            <w:r>
              <w:rPr>
                <w:rFonts w:ascii="Arial" w:cs="Arial" w:eastAsia="Arial" w:hAnsi="Arial"/>
                <w:sz w:val="16"/>
                <w:szCs w:val="16"/>
                <w:b w:val="1"/>
                <w:bCs w:val="1"/>
                <w:color w:val="auto"/>
              </w:rPr>
              <w:t>Net income attributable to the Group (including NCI</w:t>
            </w:r>
          </w:p>
        </w:tc>
        <w:tc>
          <w:tcPr>
            <w:tcW w:w="23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327,809</w:t>
            </w:r>
          </w:p>
        </w:tc>
        <w:tc>
          <w:tcPr>
            <w:tcW w:w="23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368,938</w:t>
            </w:r>
          </w:p>
        </w:tc>
        <w:tc>
          <w:tcPr>
            <w:tcW w:w="1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322,656</w:t>
            </w:r>
          </w:p>
        </w:tc>
        <w:tc>
          <w:tcPr>
            <w:tcW w:w="0" w:type="dxa"/>
            <w:vAlign w:val="bottom"/>
          </w:tcPr>
          <w:p>
            <w:pPr>
              <w:spacing w:after="0"/>
              <w:rPr>
                <w:sz w:val="1"/>
                <w:szCs w:val="1"/>
                <w:color w:val="auto"/>
              </w:rPr>
            </w:pPr>
          </w:p>
        </w:tc>
      </w:tr>
      <w:tr>
        <w:trPr>
          <w:trHeight w:val="215"/>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redemption adjustment)</w:t>
            </w:r>
          </w:p>
        </w:tc>
        <w:tc>
          <w:tcPr>
            <w:tcW w:w="2300" w:type="dxa"/>
            <w:vAlign w:val="bottom"/>
            <w:tcBorders>
              <w:bottom w:val="single" w:sz="8" w:color="auto"/>
            </w:tcBorders>
            <w:vMerge w:val="continue"/>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jc w:val="both"/>
        <w:ind w:right="20" w:firstLine="287"/>
        <w:spacing w:after="0" w:line="260" w:lineRule="auto"/>
        <w:rPr>
          <w:sz w:val="20"/>
          <w:szCs w:val="20"/>
          <w:color w:val="auto"/>
        </w:rPr>
      </w:pPr>
      <w:r>
        <w:rPr>
          <w:rFonts w:ascii="Arial" w:cs="Arial" w:eastAsia="Arial" w:hAnsi="Arial"/>
          <w:sz w:val="16"/>
          <w:szCs w:val="16"/>
          <w:color w:val="auto"/>
        </w:rPr>
        <w:t>The net income per Ordinary Share attributable to the Group and adjusted net income per Ordinary Share attributable to the Group reflecting the noncontrolling interest adjustment to redemption amount is as follows: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Borders>
              <w:top w:val="single" w:sz="8" w:color="auto"/>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Year ended</w:t>
            </w:r>
          </w:p>
        </w:tc>
        <w:tc>
          <w:tcPr>
            <w:tcW w:w="1840" w:type="dxa"/>
            <w:vAlign w:val="bottom"/>
            <w:tcBorders>
              <w:top w:val="single" w:sz="8" w:color="auto"/>
            </w:tcBorders>
            <w:shd w:val="clear" w:color="auto" w:fill="CCEEFF"/>
          </w:tcPr>
          <w:p>
            <w:pPr>
              <w:spacing w:after="0"/>
              <w:rPr>
                <w:sz w:val="19"/>
                <w:szCs w:val="19"/>
                <w:color w:val="auto"/>
              </w:rPr>
            </w:pPr>
          </w:p>
        </w:tc>
      </w:tr>
      <w:tr>
        <w:trPr>
          <w:trHeight w:val="215"/>
        </w:trPr>
        <w:tc>
          <w:tcPr>
            <w:tcW w:w="49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December 31, 2020</w:t>
            </w:r>
          </w:p>
        </w:tc>
        <w:tc>
          <w:tcPr>
            <w:tcW w:w="2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December 31, 2019</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156"/>
        </w:trPr>
        <w:tc>
          <w:tcPr>
            <w:tcW w:w="4920" w:type="dxa"/>
            <w:vAlign w:val="bottom"/>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Net income per Ordinary Share attributable to the Group</w:t>
            </w:r>
          </w:p>
        </w:tc>
        <w:tc>
          <w:tcPr>
            <w:tcW w:w="22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(including NCI redemption adjustment):</w:t>
            </w:r>
          </w:p>
        </w:tc>
        <w:tc>
          <w:tcPr>
            <w:tcW w:w="2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Basic (GAAP)</w:t>
            </w:r>
          </w:p>
        </w:tc>
        <w:tc>
          <w:tcPr>
            <w:tcW w:w="2200" w:type="dxa"/>
            <w:vAlign w:val="bottom"/>
          </w:tcPr>
          <w:p>
            <w:pPr>
              <w:jc w:val="right"/>
              <w:ind w:right="299"/>
              <w:spacing w:after="0"/>
              <w:rPr>
                <w:sz w:val="20"/>
                <w:szCs w:val="20"/>
                <w:color w:val="auto"/>
              </w:rPr>
            </w:pPr>
            <w:r>
              <w:rPr>
                <w:rFonts w:ascii="Arial" w:cs="Arial" w:eastAsia="Arial" w:hAnsi="Arial"/>
                <w:sz w:val="16"/>
                <w:szCs w:val="16"/>
                <w:color w:val="auto"/>
              </w:rPr>
              <w:t>6.20</w:t>
            </w:r>
          </w:p>
        </w:tc>
        <w:tc>
          <w:tcPr>
            <w:tcW w:w="2220" w:type="dxa"/>
            <w:vAlign w:val="bottom"/>
          </w:tcPr>
          <w:p>
            <w:pPr>
              <w:jc w:val="right"/>
              <w:ind w:right="339"/>
              <w:spacing w:after="0"/>
              <w:rPr>
                <w:sz w:val="20"/>
                <w:szCs w:val="20"/>
                <w:color w:val="auto"/>
              </w:rPr>
            </w:pPr>
            <w:r>
              <w:rPr>
                <w:rFonts w:ascii="Arial" w:cs="Arial" w:eastAsia="Arial" w:hAnsi="Arial"/>
                <w:sz w:val="16"/>
                <w:szCs w:val="16"/>
                <w:color w:val="auto"/>
              </w:rPr>
              <w:t>6.85</w:t>
            </w:r>
          </w:p>
        </w:tc>
        <w:tc>
          <w:tcPr>
            <w:tcW w:w="184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9"/>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Diluted (GAAP)</w:t>
            </w:r>
          </w:p>
        </w:tc>
        <w:tc>
          <w:tcPr>
            <w:tcW w:w="2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6.15</w:t>
            </w:r>
          </w:p>
        </w:tc>
        <w:tc>
          <w:tcPr>
            <w:tcW w:w="22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6.79</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70"/>
        </w:trPr>
        <w:tc>
          <w:tcPr>
            <w:tcW w:w="492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r>
      <w:tr>
        <w:trPr>
          <w:trHeight w:val="156"/>
        </w:trPr>
        <w:tc>
          <w:tcPr>
            <w:tcW w:w="492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Adjusted net income per Ordinary Share attributable to the</w:t>
            </w:r>
          </w:p>
        </w:tc>
        <w:tc>
          <w:tcPr>
            <w:tcW w:w="22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Group (excluding NCI redemption adjustment):</w:t>
            </w:r>
          </w:p>
        </w:tc>
        <w:tc>
          <w:tcPr>
            <w:tcW w:w="220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6"/>
                <w:szCs w:val="16"/>
                <w:color w:val="auto"/>
              </w:rPr>
              <w:t>Adjusted basic (non-GAAP)</w:t>
            </w:r>
          </w:p>
        </w:tc>
        <w:tc>
          <w:tcPr>
            <w:tcW w:w="2200" w:type="dxa"/>
            <w:vAlign w:val="bottom"/>
          </w:tcPr>
          <w:p>
            <w:pPr>
              <w:jc w:val="right"/>
              <w:ind w:right="299"/>
              <w:spacing w:after="0"/>
              <w:rPr>
                <w:sz w:val="20"/>
                <w:szCs w:val="20"/>
                <w:color w:val="auto"/>
              </w:rPr>
            </w:pPr>
            <w:r>
              <w:rPr>
                <w:rFonts w:ascii="Arial" w:cs="Arial" w:eastAsia="Arial" w:hAnsi="Arial"/>
                <w:sz w:val="16"/>
                <w:szCs w:val="16"/>
                <w:color w:val="auto"/>
              </w:rPr>
              <w:t>6.29</w:t>
            </w:r>
          </w:p>
        </w:tc>
        <w:tc>
          <w:tcPr>
            <w:tcW w:w="2220" w:type="dxa"/>
            <w:vAlign w:val="bottom"/>
          </w:tcPr>
          <w:p>
            <w:pPr>
              <w:jc w:val="right"/>
              <w:ind w:right="339"/>
              <w:spacing w:after="0"/>
              <w:rPr>
                <w:sz w:val="20"/>
                <w:szCs w:val="20"/>
                <w:color w:val="auto"/>
              </w:rPr>
            </w:pPr>
            <w:r>
              <w:rPr>
                <w:rFonts w:ascii="Arial" w:cs="Arial" w:eastAsia="Arial" w:hAnsi="Arial"/>
                <w:sz w:val="16"/>
                <w:szCs w:val="16"/>
                <w:color w:val="auto"/>
              </w:rPr>
              <w:t>6.94</w:t>
            </w:r>
          </w:p>
        </w:tc>
        <w:tc>
          <w:tcPr>
            <w:tcW w:w="184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9"/>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Adjusted diluted (non-GAAP)</w:t>
            </w:r>
          </w:p>
        </w:tc>
        <w:tc>
          <w:tcPr>
            <w:tcW w:w="22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6.24</w:t>
            </w:r>
          </w:p>
        </w:tc>
        <w:tc>
          <w:tcPr>
            <w:tcW w:w="22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6.88</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r>
      <w:tr>
        <w:trPr>
          <w:trHeight w:val="270"/>
        </w:trPr>
        <w:tc>
          <w:tcPr>
            <w:tcW w:w="492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Non-GAAP Financial Measure</w:t>
      </w:r>
    </w:p>
    <w:p>
      <w:pPr>
        <w:spacing w:after="0" w:line="264" w:lineRule="exact"/>
        <w:rPr>
          <w:sz w:val="20"/>
          <w:szCs w:val="20"/>
          <w:color w:val="auto"/>
        </w:rPr>
      </w:pPr>
    </w:p>
    <w:p>
      <w:pPr>
        <w:jc w:val="both"/>
        <w:ind w:firstLine="221"/>
        <w:spacing w:after="0" w:line="251" w:lineRule="auto"/>
        <w:rPr>
          <w:sz w:val="20"/>
          <w:szCs w:val="20"/>
          <w:color w:val="auto"/>
        </w:rPr>
      </w:pPr>
      <w:r>
        <w:rPr>
          <w:rFonts w:ascii="Arial" w:cs="Arial" w:eastAsia="Arial" w:hAnsi="Arial"/>
          <w:sz w:val="16"/>
          <w:szCs w:val="16"/>
          <w:color w:val="auto"/>
        </w:rPr>
        <w:t>We consider this non-GAAP financial measure to be a useful supplemental measure of our operating performance. A non-GAAP financial measure is a measure of historical or future financial performance, financial position or cash flows that excludes or includes amounts that are not excluded from or included in the most directly comparable measure calculated and presented in accordance with GAAP. Described below is the non-GAAP financial measure used by management to evaluate our operating performance and that we consider more useful to investors.</w:t>
      </w:r>
    </w:p>
    <w:p>
      <w:pPr>
        <w:spacing w:after="0" w:line="229" w:lineRule="exact"/>
        <w:rPr>
          <w:sz w:val="20"/>
          <w:szCs w:val="20"/>
          <w:color w:val="auto"/>
        </w:rPr>
      </w:pPr>
    </w:p>
    <w:p>
      <w:pPr>
        <w:jc w:val="both"/>
        <w:ind w:firstLine="177"/>
        <w:spacing w:after="0" w:line="248" w:lineRule="auto"/>
        <w:rPr>
          <w:sz w:val="20"/>
          <w:szCs w:val="20"/>
          <w:color w:val="auto"/>
        </w:rPr>
      </w:pPr>
      <w:r>
        <w:rPr>
          <w:rFonts w:ascii="Arial" w:cs="Arial" w:eastAsia="Arial" w:hAnsi="Arial"/>
          <w:sz w:val="16"/>
          <w:szCs w:val="16"/>
          <w:color w:val="auto"/>
        </w:rPr>
        <w:t>The non-GAAP financial measures we present in this Form 20-F may not be comparable to those presented by other companies due to the fact that not all companies use the same definitions. In Item 5, we have presented Net income per Ordinary Share attributable to the Group (GAAP) and Adjusted Net income per Ordinary Share attributable to the Group (non-GAAP). We have provided a reconciliation between the non-GAAP financial measure and its closest comparable GAAP measure being the Net income per Ordinary Share attributable to the Group. The reconciliation reflects one reconciling item for the adjustment of the MeDiNova noncontrolling interest balance to its redemption value. We believe providing the Adjusted Net income per Ordinary Share attributable to the Group (non-GAAP) provides better insight into the performance of the Company and enhances comparability with previous financial performance of the Company. The noncontrolling interest in MeDiNova is a non-recurring item. On March 9, 2020 ICON exercised its option to call the outstanding shares in the noncontrolling interest to take 100% ownership of MeDiNova. Effective from this date, the noncontrolling interest was derecognized and a liability was recognized, representing the assessment of the redemption value of the noncontrolling interest. No additional noncontrolling interest adjustment was recorded after the exercise of the call option on the outstanding shares on March 9, 2020.</w:t>
      </w:r>
    </w:p>
    <w:p>
      <w:pPr>
        <w:spacing w:after="0" w:line="232" w:lineRule="exact"/>
        <w:rPr>
          <w:sz w:val="20"/>
          <w:szCs w:val="20"/>
          <w:color w:val="auto"/>
        </w:rPr>
      </w:pPr>
    </w:p>
    <w:p>
      <w:pPr>
        <w:jc w:val="both"/>
        <w:ind w:right="20" w:firstLine="230"/>
        <w:spacing w:after="0" w:line="260" w:lineRule="auto"/>
        <w:rPr>
          <w:sz w:val="20"/>
          <w:szCs w:val="20"/>
          <w:color w:val="auto"/>
        </w:rPr>
      </w:pPr>
      <w:r>
        <w:rPr>
          <w:rFonts w:ascii="Arial" w:cs="Arial" w:eastAsia="Arial" w:hAnsi="Arial"/>
          <w:sz w:val="16"/>
          <w:szCs w:val="16"/>
          <w:color w:val="auto"/>
        </w:rPr>
        <w:t>In order to facilitate a clear understanding of our financial performance, you should examine this measure in conjunction with Net income per Ordinary Share attributable to the Group as presented in our Form 20-F.</w:t>
      </w:r>
    </w:p>
    <w:p>
      <w:pPr>
        <w:spacing w:after="0" w:line="202" w:lineRule="exact"/>
        <w:rPr>
          <w:sz w:val="20"/>
          <w:szCs w:val="20"/>
          <w:color w:val="auto"/>
        </w:rPr>
      </w:pPr>
    </w:p>
    <w:p>
      <w:pPr>
        <w:ind w:left="580" w:hanging="392"/>
        <w:spacing w:after="0"/>
        <w:tabs>
          <w:tab w:leader="none" w:pos="58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jc w:val="both"/>
        <w:ind w:firstLine="199"/>
        <w:spacing w:after="0" w:line="253"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28" w:lineRule="exact"/>
        <w:rPr>
          <w:sz w:val="20"/>
          <w:szCs w:val="20"/>
          <w:color w:val="auto"/>
        </w:rPr>
      </w:pPr>
    </w:p>
    <w:p>
      <w:pPr>
        <w:jc w:val="both"/>
        <w:ind w:firstLine="246"/>
        <w:spacing w:after="0" w:line="25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small down payment at the time the contract is entered into, with the balance paid in installments over the contract duration, in some cases on the achievement of certain milestones. Therefore, cash receipts do not correspond to costs incurred and revenue recognized on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Cash and cash equivalents and borrowings (net)</w:t>
      </w:r>
    </w:p>
    <w:p>
      <w:pPr>
        <w:spacing w:after="0" w:line="125"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24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Balance</w:t>
            </w:r>
          </w:p>
        </w:tc>
        <w:tc>
          <w:tcPr>
            <w:tcW w:w="1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45"/>
        </w:trPr>
        <w:tc>
          <w:tcPr>
            <w:tcW w:w="2480" w:type="dxa"/>
            <w:vAlign w:val="bottom"/>
            <w:shd w:val="clear" w:color="auto" w:fill="CCEEFF"/>
          </w:tcPr>
          <w:p>
            <w:pPr>
              <w:spacing w:after="0"/>
              <w:rPr>
                <w:sz w:val="3"/>
                <w:szCs w:val="3"/>
                <w:color w:val="auto"/>
              </w:rPr>
            </w:pPr>
          </w:p>
        </w:tc>
        <w:tc>
          <w:tcPr>
            <w:tcW w:w="1620" w:type="dxa"/>
            <w:vAlign w:val="bottom"/>
            <w:vMerge w:val="continue"/>
            <w:shd w:val="clear" w:color="auto" w:fill="CCEEFF"/>
          </w:tcPr>
          <w:p>
            <w:pPr>
              <w:spacing w:after="0"/>
              <w:rPr>
                <w:sz w:val="3"/>
                <w:szCs w:val="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Drawn down/</w:t>
            </w:r>
          </w:p>
        </w:tc>
        <w:tc>
          <w:tcPr>
            <w:tcW w:w="14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Net cash inflow/</w:t>
            </w:r>
          </w:p>
        </w:tc>
        <w:tc>
          <w:tcPr>
            <w:tcW w:w="14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Other non-cash</w:t>
            </w:r>
          </w:p>
        </w:tc>
        <w:tc>
          <w:tcPr>
            <w:tcW w:w="15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Effect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December 31,</w:t>
            </w:r>
          </w:p>
        </w:tc>
        <w:tc>
          <w:tcPr>
            <w:tcW w:w="1300" w:type="dxa"/>
            <w:vAlign w:val="bottom"/>
            <w:vMerge w:val="continue"/>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(repaid)*</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(outflow)</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adjustments</w:t>
            </w: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exchange rates</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5"/>
        </w:trPr>
        <w:tc>
          <w:tcPr>
            <w:tcW w:w="2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 in thousands</w:t>
            </w:r>
          </w:p>
        </w:tc>
        <w:tc>
          <w:tcPr>
            <w:tcW w:w="1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520,309</w:t>
            </w:r>
          </w:p>
        </w:tc>
        <w:tc>
          <w:tcPr>
            <w:tcW w:w="13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313,126</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6,870</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840,305</w:t>
            </w:r>
          </w:p>
        </w:tc>
        <w:tc>
          <w:tcPr>
            <w:tcW w:w="0" w:type="dxa"/>
            <w:vAlign w:val="bottom"/>
          </w:tcPr>
          <w:p>
            <w:pPr>
              <w:spacing w:after="0"/>
              <w:rPr>
                <w:sz w:val="1"/>
                <w:szCs w:val="1"/>
                <w:color w:val="auto"/>
              </w:rPr>
            </w:pPr>
          </w:p>
        </w:tc>
      </w:tr>
      <w:tr>
        <w:trPr>
          <w:trHeight w:val="215"/>
        </w:trPr>
        <w:tc>
          <w:tcPr>
            <w:tcW w:w="248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49,628</w:t>
            </w:r>
          </w:p>
        </w:tc>
        <w:tc>
          <w:tcPr>
            <w:tcW w:w="1300" w:type="dxa"/>
            <w:vAlign w:val="bottom"/>
          </w:tcPr>
          <w:p>
            <w:pPr>
              <w:ind w:left="10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(47,902)</w:t>
            </w:r>
          </w:p>
        </w:tc>
        <w:tc>
          <w:tcPr>
            <w:tcW w:w="144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1,729</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Private placement notes</w:t>
            </w:r>
          </w:p>
        </w:tc>
        <w:tc>
          <w:tcPr>
            <w:tcW w:w="1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(349,640)</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1,163</w:t>
            </w:r>
          </w:p>
        </w:tc>
        <w:tc>
          <w:tcPr>
            <w:tcW w:w="15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(348,477)</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220,297</w:t>
            </w: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265,224</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1,166</w:t>
            </w: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6,870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493,557</w:t>
            </w:r>
          </w:p>
        </w:tc>
        <w:tc>
          <w:tcPr>
            <w:tcW w:w="0" w:type="dxa"/>
            <w:vAlign w:val="bottom"/>
          </w:tcPr>
          <w:p>
            <w:pPr>
              <w:spacing w:after="0"/>
              <w:rPr>
                <w:sz w:val="1"/>
                <w:szCs w:val="1"/>
                <w:color w:val="auto"/>
              </w:rPr>
            </w:pP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*On December 8, 2020, $350.0 million was drawn down in respect of the 2020 Senior Notes. On December 15, 2020, $350.0 million was repaid in respect of the maturity of the 2015 Senior Notes. As a result, bank credit lines and loan facilities disclosed on the Consolidated Balance Sheets have moved from current to non-current for the year ended December 31, 2020.</w:t>
      </w:r>
    </w:p>
    <w:p>
      <w:pPr>
        <w:spacing w:after="0" w:line="228" w:lineRule="exact"/>
        <w:rPr>
          <w:sz w:val="20"/>
          <w:szCs w:val="20"/>
          <w:color w:val="auto"/>
        </w:rPr>
      </w:pPr>
    </w:p>
    <w:p>
      <w:pPr>
        <w:jc w:val="both"/>
        <w:ind w:firstLine="229"/>
        <w:spacing w:after="0" w:line="251" w:lineRule="auto"/>
        <w:rPr>
          <w:sz w:val="20"/>
          <w:szCs w:val="20"/>
          <w:color w:val="auto"/>
        </w:rPr>
      </w:pPr>
      <w:r>
        <w:rPr>
          <w:rFonts w:ascii="Arial" w:cs="Arial" w:eastAsia="Arial" w:hAnsi="Arial"/>
          <w:sz w:val="16"/>
          <w:szCs w:val="16"/>
          <w:color w:val="auto"/>
        </w:rPr>
        <w:t>The Company’s cash and available for sale investments at December 31, 2020 amounted to $842.0 million compared with cash and available for sale investments of $569.9 million at December 31, 2019. The Company’s cash and short term investment balances at December 31, 2020 comprised cash and cash equivalents $840.3 million and short-term investments $1.7 million. The Company’s cash and short term investment balances at December 31, 2019 comprised cash and cash equivalents $520.3 million and short-term investments $49.6 million.</w:t>
      </w:r>
    </w:p>
    <w:p>
      <w:pPr>
        <w:spacing w:after="0" w:line="229" w:lineRule="exact"/>
        <w:rPr>
          <w:sz w:val="20"/>
          <w:szCs w:val="20"/>
          <w:color w:val="auto"/>
        </w:rPr>
      </w:pPr>
    </w:p>
    <w:p>
      <w:pPr>
        <w:jc w:val="both"/>
        <w:ind w:firstLine="234"/>
        <w:spacing w:after="0" w:line="249" w:lineRule="auto"/>
        <w:rPr>
          <w:sz w:val="20"/>
          <w:szCs w:val="20"/>
          <w:color w:val="auto"/>
        </w:rPr>
      </w:pPr>
      <w:r>
        <w:rPr>
          <w:rFonts w:ascii="Arial" w:cs="Arial" w:eastAsia="Arial" w:hAnsi="Arial"/>
          <w:sz w:val="16"/>
          <w:szCs w:val="16"/>
          <w:color w:val="auto"/>
        </w:rPr>
        <w:t xml:space="preserve">On December 15, 2015, ICON Investments Five Unlimited Company issued senior notes, '2015 Senior Notes' for aggregate gross proceeds of $350.0 million in a private placement which was guaranteed by ICON plc. Interest payable was fixed at 3.64% and in October 2015, the Company entered into an interest rate hedge in respect of the planned issuance of the 2015 Senior Notes in December 2015. The interest rate hedge matured in November 2015 when the interest rate on the 2015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cash proceeds, representing the realized gain on the interest rate hedge, were received on maturity in November 2015. The 2015 Senior Notes matured on December 15, 2020 and were repaid in full.</w:t>
      </w:r>
    </w:p>
    <w:p>
      <w:pPr>
        <w:spacing w:after="0" w:line="23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On December 8, 2020, ICON Investments Five Unlimited Company issued new senior notes, '2020 Senior Notes' for aggregate gross proceeds of $350.0 million in a private placement which was guaranteed by ICON plc. The 2020 Senior Notes were issued in two tranches; Series A Notes of $275.0 million which will mature on December 8, 2023 and Series B Notes of $75.0 million which will mature on December 8, 2025. Interest payable on the 2020 Senior Notes is fixed at 2.32% and 2.43% for Series A Notes and Series B Notes respectively. The interest is payable semi-annually on the 2020 Senior Notes on each June 8 and December 8, which will commence on June 8, 2021. The Company entered into an interest rate hedge in respect of the planned issuance of the 2020 Senior Notes in June 2020. The interest rate hedge matured in July 2020 when the interest rates on the 2020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There was a cash outflow on maturity in July 2020 of $0.9 million, representing the realized loss on the interest rate hedge.</w:t>
      </w:r>
    </w:p>
    <w:p>
      <w:pPr>
        <w:spacing w:after="0" w:line="2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bears interest at LIBOR plus a margin. We continue to monitor the phasing out of LIBOR which is currently scheduled to begin in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No amounts were drawn at December 31, 2020, or at December 31, 2019, in respect of the Revolving Credit Facility. Amounts available to the Group under the facility at December 31, 2020 and at December 31, 2019 were $150.0 million.</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expect to spend approximately $60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continue to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23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purchase consideration to acquire a 100% interest in Symphony Clinical Research in September 2019, the Company recognized a contingent liability of $2.5 million at December 31, 2019. This amount was payable to the vendors, contingent upon Symphony Clinical Research attaining certain financial targets up to March 31, 2020. This was finalized during the year and $0.5 million was paid in settlement of this. The change in fair value has been recorded in the selling, general and administrative expense line of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jc w:val="both"/>
        <w:ind w:firstLine="648"/>
        <w:spacing w:after="0" w:line="249" w:lineRule="auto"/>
        <w:rPr>
          <w:sz w:val="20"/>
          <w:szCs w:val="20"/>
          <w:color w:val="auto"/>
        </w:rPr>
      </w:pPr>
      <w:r>
        <w:rPr>
          <w:rFonts w:ascii="Arial" w:cs="Arial" w:eastAsia="Arial" w:hAnsi="Arial"/>
          <w:sz w:val="16"/>
          <w:szCs w:val="16"/>
          <w:color w:val="auto"/>
        </w:rPr>
        <w:t>In connection with the acquisition of 60% of the share capital in MeDiNova in May 2019, the vendors had a right to sell the remaining shares exclusively to ICON during 2020. The cash consideration payable to redeem this 40% noncontrolling interest was linked to the earnings performance of MeDiNova for the twelve month period ending 31 March 2020. On March 9, 2020 ICON exercised its call option on the outstanding shares in the noncontrolling interest to take 100% ownership of MeDiNova. Effective from this date, the noncontrolling interest was derecognized and a liability of $44.7 million was recognized, representing the assessment of the redemption value of the noncontrolling interest. The liability was settled on July 17, 2020 for $43.9 million.</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continues to maintain strong liquidity and we do not expect COVID-19 to have a significant impact on our overall liquidity position. Based on our current operating plan, the Group believes it has adequate liquidity to satisfy the cash needs for at least the next 12 months. The Group has historically funded its operations, including acquisitions, mainly with its working capital, cash flow generated from operations and debt facilities as appropriate.</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8" w:lineRule="exact"/>
        <w:rPr>
          <w:sz w:val="20"/>
          <w:szCs w:val="20"/>
          <w:color w:val="auto"/>
        </w:rPr>
      </w:pPr>
    </w:p>
    <w:p>
      <w:pPr>
        <w:jc w:val="both"/>
        <w:ind w:right="20" w:firstLine="267"/>
        <w:spacing w:after="0" w:line="260" w:lineRule="auto"/>
        <w:rPr>
          <w:sz w:val="20"/>
          <w:szCs w:val="20"/>
          <w:color w:val="auto"/>
        </w:rPr>
      </w:pPr>
      <w:r>
        <w:rPr>
          <w:rFonts w:ascii="Arial" w:cs="Arial" w:eastAsia="Arial" w:hAnsi="Arial"/>
          <w:sz w:val="16"/>
          <w:szCs w:val="16"/>
          <w:color w:val="auto"/>
        </w:rPr>
        <w:t>Net cash provided by operating activities was $568.0 million for the year ended December 31, 2020 compared with net cash provided by operating activities of $412.5 million for the year ended December 31, 2019.</w:t>
      </w:r>
    </w:p>
    <w:p>
      <w:pPr>
        <w:spacing w:after="0" w:line="209" w:lineRule="exact"/>
        <w:rPr>
          <w:sz w:val="20"/>
          <w:szCs w:val="20"/>
          <w:color w:val="auto"/>
        </w:rPr>
      </w:pPr>
    </w:p>
    <w:p>
      <w:pPr>
        <w:jc w:val="both"/>
        <w:ind w:firstLine="212"/>
        <w:spacing w:after="0"/>
        <w:rPr>
          <w:sz w:val="20"/>
          <w:szCs w:val="20"/>
          <w:color w:val="auto"/>
        </w:rPr>
      </w:pPr>
      <w:r>
        <w:rPr>
          <w:rFonts w:ascii="Arial" w:cs="Arial" w:eastAsia="Arial" w:hAnsi="Arial"/>
          <w:sz w:val="16"/>
          <w:szCs w:val="16"/>
          <w:color w:val="auto"/>
        </w:rPr>
        <w:t xml:space="preserve">The dollar value of working capital balances and the related number of days’ revenue outstanding (i.e. revenue outstanding as a percentage of revenue for the period, multiplied by the number of days in the period) can vary over a study or trial duration. The number of days’ revenue outstanding at December 31, 2020 was 57 days compared to 72 days at December 31, 2019. This reflects the timing of cash collections and individual contractual terms.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Billed and unbilled revenue also includes amounts recoverable from customers in respect of reimbursable costs. Amounts recorded as accrued to investigators and others in respect of reimbursable expenses were $138.2 million at December 31, 2020 and $142.6 million at December 31, 2019 (see </w:t>
      </w:r>
      <w:r>
        <w:rPr>
          <w:rFonts w:ascii="Arial" w:cs="Arial" w:eastAsia="Arial" w:hAnsi="Arial"/>
          <w:sz w:val="16"/>
          <w:szCs w:val="16"/>
          <w:i w:val="1"/>
          <w:iCs w:val="1"/>
          <w:color w:val="auto"/>
        </w:rPr>
        <w:t>note 7 - Other liabilities</w:t>
      </w:r>
      <w:r>
        <w:rPr>
          <w:rFonts w:ascii="Arial" w:cs="Arial" w:eastAsia="Arial" w:hAnsi="Arial"/>
          <w:sz w:val="16"/>
          <w:szCs w:val="16"/>
          <w:color w:val="auto"/>
        </w:rPr>
        <w:t xml:space="preserve"> in the consolidated financial statements). Contractual terms with our customers require ICON to receive and discharge payment to third parties prior to billing the customer for these items. During the year, unearned revenue increased to $660.9 million from $367.0 million at December 31, 2019 (see </w:t>
      </w:r>
      <w:r>
        <w:rPr>
          <w:rFonts w:ascii="Arial" w:cs="Arial" w:eastAsia="Arial" w:hAnsi="Arial"/>
          <w:sz w:val="16"/>
          <w:szCs w:val="16"/>
          <w:i w:val="1"/>
          <w:iCs w:val="1"/>
          <w:color w:val="auto"/>
        </w:rPr>
        <w:t>note 17 - Accounts receivable, unbilled revenue (contract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unearned revenue or payments on account (contract liabilities) </w:t>
      </w:r>
      <w:r>
        <w:rPr>
          <w:rFonts w:ascii="Arial" w:cs="Arial" w:eastAsia="Arial" w:hAnsi="Arial"/>
          <w:sz w:val="16"/>
          <w:szCs w:val="16"/>
          <w:color w:val="auto"/>
        </w:rPr>
        <w:t>in the consolidated financial statements). These fluctuations are primarily due to timing of</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and invoicing related to the Group's clinical trial management contracts. In accordance with the contractual terms of certain of our larger vaccine trials, amounts have been billed in advance of revenue recognized. These advance billings have resulted in the significant increase in unearned revenue at 31 December 2020.</w:t>
      </w:r>
    </w:p>
    <w:p>
      <w:pPr>
        <w:spacing w:after="0" w:line="3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generated from operations,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A decrease in the number of days’ revenue outstanding during a period will result in cash inflows to the Company while an increase in days revenue outstanding will lead to cash outflows.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68" w:lineRule="exact"/>
        <w:rPr>
          <w:sz w:val="20"/>
          <w:szCs w:val="20"/>
          <w:color w:val="auto"/>
        </w:rPr>
      </w:pPr>
    </w:p>
    <w:p>
      <w:pPr>
        <w:jc w:val="both"/>
        <w:ind w:firstLine="199"/>
        <w:spacing w:after="0" w:line="246" w:lineRule="auto"/>
        <w:rPr>
          <w:sz w:val="20"/>
          <w:szCs w:val="20"/>
          <w:color w:val="auto"/>
        </w:rPr>
      </w:pPr>
      <w:r>
        <w:rPr>
          <w:rFonts w:ascii="Arial" w:cs="Arial" w:eastAsia="Arial" w:hAnsi="Arial"/>
          <w:sz w:val="16"/>
          <w:szCs w:val="16"/>
          <w:color w:val="auto"/>
        </w:rPr>
        <w:t>Net cash used in investing activities was $46.6 million for the year ended December 31, 2020 compared to net cash used in investing activities of $162.0 million for the year ended December 31, 2019. Net cash used in investing activities the year ended December 31, 2020 was largely attributable to cash outflows on the acquisition of MedPass of $47.6 million on January 22, 2020, cash outflows of $0.3 million in relation to the working capital adjustment on the acquisition of Symphony which was acquired on September 24, 2019, cash outflows of $0.5 million in relation to the contingent consideration paid for Symphony in the period and a cash inflow of $0.5 million in relation to the working capital adjustment for MeDiNova which was acquired on May 23, 2019. These amounts were offset in part by cash acquired of $10.2 million. A cash outflow of $2.5 million was made in respect of the Company's investment in Oncacare. During the year, capital expenditure of $51.1 million was made mainly related to investment in facilities and IT infrastructure. In addition, $47.9 million was generated by the sale of short term investments and $3.2 million was used for the purchase of investments in equity.</w:t>
      </w:r>
    </w:p>
    <w:p>
      <w:pPr>
        <w:spacing w:after="0" w:line="3" w:lineRule="exact"/>
        <w:rPr>
          <w:sz w:val="20"/>
          <w:szCs w:val="20"/>
          <w:color w:val="auto"/>
        </w:rPr>
      </w:pPr>
    </w:p>
    <w:p>
      <w:pPr>
        <w:jc w:val="both"/>
        <w:ind w:firstLine="226"/>
        <w:spacing w:after="0" w:line="250" w:lineRule="auto"/>
        <w:rPr>
          <w:sz w:val="20"/>
          <w:szCs w:val="20"/>
          <w:color w:val="auto"/>
        </w:rPr>
      </w:pPr>
      <w:r>
        <w:rPr>
          <w:rFonts w:ascii="Arial" w:cs="Arial" w:eastAsia="Arial" w:hAnsi="Arial"/>
          <w:sz w:val="16"/>
          <w:szCs w:val="16"/>
          <w:color w:val="auto"/>
        </w:rPr>
        <w:t>In December 2019, net cash used in investing activities of $162.0 million was largely attributable to cash outflows on the acquisitions of MMD of $42.2 million on January 25, 2019, cash outflows on the acquisition of MeDiNova on May 23, 2019 of $54.1 million and cash outflows on the acquisition of Symphony on September 24, 2019 of $35.0 million. These were offset in part by cash acquired of $11.7 million. During the year, capital expenditure of $50.6 million was made mainly related to the investment in facilities and IT infrastructure. In addition, $21.7 million was generated by the sale of short term investments, $9.6 million was used for the purchase of short term investments and $3.9 million was used for the purchase of investments in equity.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68" w:lineRule="exact"/>
        <w:rPr>
          <w:sz w:val="20"/>
          <w:szCs w:val="20"/>
          <w:color w:val="auto"/>
        </w:rPr>
      </w:pPr>
    </w:p>
    <w:p>
      <w:pPr>
        <w:jc w:val="both"/>
        <w:ind w:firstLine="276"/>
        <w:spacing w:after="0" w:line="248" w:lineRule="auto"/>
        <w:rPr>
          <w:sz w:val="20"/>
          <w:szCs w:val="20"/>
          <w:color w:val="auto"/>
        </w:rPr>
      </w:pPr>
      <w:r>
        <w:rPr>
          <w:rFonts w:ascii="Arial" w:cs="Arial" w:eastAsia="Arial" w:hAnsi="Arial"/>
          <w:sz w:val="16"/>
          <w:szCs w:val="16"/>
          <w:color w:val="auto"/>
        </w:rPr>
        <w:t xml:space="preserve">Net cash outflow from financing activities amounted to $208.3 million for the year ended December 31, 2020 compared with net cash outflow from financing activities of $125.4 million for the year ended December 31, 2019. Cash outflows in respect of financing activities includes consideration paid by the Company for share buybacks pursuant to the Company’s share repurchase program totaling $175.0 million in the year ended December 31, 2020 compared to $146.9 million in the year ended December 31, 2019 (see </w:t>
      </w:r>
      <w:r>
        <w:rPr>
          <w:rFonts w:ascii="Arial" w:cs="Arial" w:eastAsia="Arial" w:hAnsi="Arial"/>
          <w:sz w:val="16"/>
          <w:szCs w:val="16"/>
          <w:i w:val="1"/>
          <w:iCs w:val="1"/>
          <w:color w:val="auto"/>
        </w:rPr>
        <w:t>note 12 - Share Capital</w:t>
      </w:r>
      <w:r>
        <w:rPr>
          <w:rFonts w:ascii="Arial" w:cs="Arial" w:eastAsia="Arial" w:hAnsi="Arial"/>
          <w:sz w:val="16"/>
          <w:szCs w:val="16"/>
          <w:color w:val="auto"/>
        </w:rPr>
        <w:t xml:space="preserve"> in the consolidated financial statements). In December 2020, $350.0 million was received in respect of the issue of the 2020 Senior Notes and $350.0 million was paid in respect of the repayment of the 2015 Senior Notes. Finance costs in respect of the issue of the 2020 Senior Notes were $1.6 million and there was a cash outflow of $0.9 million in respect of the loss on settlement of the interest rate hedge on the 2020 Senior Notes. There were cash outflows of $43.9 million in relation to the purchase of the remaining share capital in MeDiNova. In addition, $13.2 million was received by the Company from the exercise of share options.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66" w:lineRule="exact"/>
        <w:rPr>
          <w:sz w:val="20"/>
          <w:szCs w:val="20"/>
          <w:color w:val="auto"/>
        </w:rPr>
      </w:pPr>
    </w:p>
    <w:p>
      <w:pPr>
        <w:jc w:val="both"/>
        <w:ind w:firstLine="175"/>
        <w:spacing w:after="0" w:line="260" w:lineRule="auto"/>
        <w:rPr>
          <w:sz w:val="20"/>
          <w:szCs w:val="20"/>
          <w:color w:val="auto"/>
        </w:rPr>
      </w:pPr>
      <w:r>
        <w:rPr>
          <w:rFonts w:ascii="Arial" w:cs="Arial" w:eastAsia="Arial" w:hAnsi="Arial"/>
          <w:sz w:val="16"/>
          <w:szCs w:val="16"/>
          <w:color w:val="auto"/>
        </w:rPr>
        <w:t>As a result of these cash flows, cash and cash equivalents increased by $320.0 million for the year ended December 31, 2020 compared to an increase of $124.5 million for the year ended December 31, 2019.</w:t>
      </w:r>
    </w:p>
    <w:p>
      <w:pPr>
        <w:spacing w:after="0" w:line="202" w:lineRule="exact"/>
        <w:rPr>
          <w:sz w:val="20"/>
          <w:szCs w:val="20"/>
          <w:color w:val="auto"/>
        </w:rPr>
      </w:pPr>
    </w:p>
    <w:p>
      <w:pPr>
        <w:ind w:left="1040" w:hanging="384"/>
        <w:spacing w:after="0"/>
        <w:tabs>
          <w:tab w:leader="none" w:pos="104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w:t>
      </w:r>
    </w:p>
    <w:p>
      <w:pPr>
        <w:spacing w:after="0" w:line="214"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16"/>
          <w:szCs w:val="16"/>
          <w:color w:val="auto"/>
        </w:rPr>
        <w:t>ICON plays a critical role in new drug development processes by undertaking activities in each of the different stages of the drug development process. Clinical trials result in an advancement in the field of medical science as they establish the safety and efficacy of new drugs thus resolving scientific uncertainty. As one of a number of world leaders in clinical research and commercialization, ICON is a trusted partner for pharmaceutical and medical device companies in helping them to accelerate the development of drugs and devices that save lives and improve the quality of life. ICON's role in ensuring that the trial design is scientifically valid is a crucial part of the design and involves scientists, medical doctors and biostatisticians. ICON works with the sponsors in designing the conduct of the clinical research trial. ICON's role in Ireland of conducting clinical trials is an integral part of the research and development process leading ultimately to a decision as to whether or not each drug is safe for human consumption, has the desired effect on targeted diseases and the best means of delivering that drug to the patient.</w:t>
      </w:r>
    </w:p>
    <w:p>
      <w:pPr>
        <w:spacing w:after="0" w:line="214" w:lineRule="exact"/>
        <w:rPr>
          <w:sz w:val="20"/>
          <w:szCs w:val="20"/>
          <w:color w:val="auto"/>
        </w:rPr>
      </w:pPr>
    </w:p>
    <w:p>
      <w:pPr>
        <w:ind w:left="1040" w:hanging="384"/>
        <w:spacing w:after="0"/>
        <w:tabs>
          <w:tab w:leader="none" w:pos="104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268" w:lineRule="exact"/>
        <w:rPr>
          <w:sz w:val="20"/>
          <w:szCs w:val="20"/>
          <w:color w:val="auto"/>
        </w:rPr>
      </w:pPr>
    </w:p>
    <w:p>
      <w:pPr>
        <w:jc w:val="both"/>
        <w:ind w:firstLine="278"/>
        <w:spacing w:after="0" w:line="253"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or commitments or events since December 31, 2020 that are reasonably likely to have a material adverse effect on our revenues, income, profitability, liquidity or capital resources, or that would cause the reported financial information in this annual report to be not necessarily indicative of future operating results or financial conditions.</w:t>
      </w:r>
    </w:p>
    <w:p>
      <w:pPr>
        <w:spacing w:after="0" w:line="208" w:lineRule="exact"/>
        <w:rPr>
          <w:sz w:val="20"/>
          <w:szCs w:val="20"/>
          <w:color w:val="auto"/>
        </w:rPr>
      </w:pPr>
    </w:p>
    <w:p>
      <w:pPr>
        <w:ind w:left="1300" w:right="7720" w:hanging="644"/>
        <w:spacing w:after="0" w:line="563" w:lineRule="auto"/>
        <w:tabs>
          <w:tab w:leader="none" w:pos="103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color w:val="auto"/>
        </w:rPr>
        <w:t>Not applicable.</w:t>
      </w:r>
    </w:p>
    <w:p>
      <w:pPr>
        <w:ind w:left="1000" w:hanging="344"/>
        <w:spacing w:after="0"/>
        <w:tabs>
          <w:tab w:leader="none" w:pos="100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Contractual obligations table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principal contractual obligations and commercial commitments as of December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gridSpan w:val="4"/>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Payments due by period</w:t>
            </w: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155"/>
        </w:trPr>
        <w:tc>
          <w:tcPr>
            <w:tcW w:w="4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Less than 1</w:t>
            </w:r>
          </w:p>
        </w:tc>
        <w:tc>
          <w:tcPr>
            <w:tcW w:w="5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1 to 3</w:t>
            </w:r>
          </w:p>
        </w:tc>
        <w:tc>
          <w:tcPr>
            <w:tcW w:w="5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3 to 5</w:t>
            </w:r>
          </w:p>
        </w:tc>
        <w:tc>
          <w:tcPr>
            <w:tcW w:w="3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More than</w:t>
            </w:r>
          </w:p>
        </w:tc>
      </w:tr>
      <w:tr>
        <w:trPr>
          <w:trHeight w:val="215"/>
        </w:trPr>
        <w:tc>
          <w:tcPr>
            <w:tcW w:w="4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 years</w:t>
            </w:r>
          </w:p>
        </w:tc>
      </w:tr>
      <w:tr>
        <w:trPr>
          <w:trHeight w:val="210"/>
        </w:trPr>
        <w:tc>
          <w:tcPr>
            <w:tcW w:w="4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(U.S.$ in millions)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Operating lease obligations</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90.5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26.2</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37.6</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16.2</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Onerous lease obligations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Senior Notes</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350.0</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275.0</w:t>
            </w: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75.0</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Senior Notes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Current and Non-current tax liabilities</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(U.S.$ in millions)</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492.4</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68" w:lineRule="exact"/>
        <w:rPr>
          <w:sz w:val="20"/>
          <w:szCs w:val="20"/>
          <w:color w:val="auto"/>
        </w:rPr>
      </w:pPr>
    </w:p>
    <w:p>
      <w:pPr>
        <w:jc w:val="both"/>
        <w:ind w:firstLine="339"/>
        <w:spacing w:after="0" w:line="253" w:lineRule="auto"/>
        <w:rPr>
          <w:sz w:val="20"/>
          <w:szCs w:val="20"/>
          <w:color w:val="auto"/>
        </w:rPr>
      </w:pPr>
      <w:r>
        <w:rPr>
          <w:rFonts w:ascii="Arial" w:cs="Arial" w:eastAsia="Arial" w:hAnsi="Arial"/>
          <w:sz w:val="16"/>
          <w:szCs w:val="16"/>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17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68" w:lineRule="exact"/>
        <w:rPr>
          <w:sz w:val="20"/>
          <w:szCs w:val="20"/>
          <w:color w:val="auto"/>
        </w:rPr>
      </w:pPr>
    </w:p>
    <w:p>
      <w:pPr>
        <w:jc w:val="both"/>
        <w:ind w:firstLine="277"/>
        <w:spacing w:after="0" w:line="251"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229" w:lineRule="exact"/>
        <w:rPr>
          <w:sz w:val="20"/>
          <w:szCs w:val="20"/>
          <w:color w:val="auto"/>
        </w:rPr>
      </w:pPr>
    </w:p>
    <w:p>
      <w:pPr>
        <w:jc w:val="both"/>
        <w:ind w:firstLine="253"/>
        <w:spacing w:after="0" w:line="250" w:lineRule="auto"/>
        <w:rPr>
          <w:sz w:val="20"/>
          <w:szCs w:val="20"/>
          <w:color w:val="auto"/>
        </w:rPr>
      </w:pPr>
      <w:r>
        <w:rPr>
          <w:rFonts w:ascii="Arial" w:cs="Arial" w:eastAsia="Arial" w:hAnsi="Arial"/>
          <w:sz w:val="16"/>
          <w:szCs w:val="16"/>
          <w:color w:val="auto"/>
        </w:rPr>
        <w:t>We earn revenues by providing a number of different services to our clients. These services, which are integral elements of the clinical development process, include clinical trials management, contract staffing, consulting and laboratory services. Contracts range in duration from a number of months to several years. The criteria for revenue recognition is based on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230" w:lineRule="exact"/>
        <w:rPr>
          <w:sz w:val="20"/>
          <w:szCs w:val="20"/>
          <w:color w:val="auto"/>
        </w:rPr>
      </w:pPr>
    </w:p>
    <w:p>
      <w:pPr>
        <w:jc w:val="both"/>
        <w:ind w:firstLine="255"/>
        <w:spacing w:after="0" w:line="249" w:lineRule="auto"/>
        <w:rPr>
          <w:sz w:val="20"/>
          <w:szCs w:val="20"/>
          <w:color w:val="auto"/>
        </w:rPr>
      </w:pPr>
      <w:r>
        <w:rPr>
          <w:rFonts w:ascii="Arial" w:cs="Arial" w:eastAsia="Arial" w:hAnsi="Arial"/>
          <w:sz w:val="16"/>
          <w:szCs w:val="16"/>
          <w:color w:val="auto"/>
        </w:rPr>
        <w:t>Clinical trial services are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An assessment of the realizable contract value is judgmental in nature. The realizable value assessment is updated at each reporting period, having regard to (i) contract terms and (ii) customer experience.</w:t>
      </w:r>
    </w:p>
    <w:p>
      <w:pPr>
        <w:spacing w:after="0" w:line="232" w:lineRule="exact"/>
        <w:rPr>
          <w:sz w:val="20"/>
          <w:szCs w:val="20"/>
          <w:color w:val="auto"/>
        </w:rPr>
      </w:pPr>
    </w:p>
    <w:p>
      <w:pPr>
        <w:jc w:val="both"/>
        <w:ind w:firstLine="218"/>
        <w:spacing w:after="0" w:line="248" w:lineRule="auto"/>
        <w:rPr>
          <w:sz w:val="20"/>
          <w:szCs w:val="20"/>
          <w:color w:val="auto"/>
        </w:rPr>
      </w:pPr>
      <w:r>
        <w:rPr>
          <w:rFonts w:ascii="Arial" w:cs="Arial" w:eastAsia="Arial" w:hAnsi="Arial"/>
          <w:sz w:val="16"/>
          <w:szCs w:val="16"/>
          <w:color w:val="auto"/>
        </w:rPr>
        <w:t>Revenue is recognized on a percentage completion basis as the single performance obligation is satisfied. The progress towards completion for clinical service contracts is measured therefore based on an input measure being total project costs (inclusive of third party costs) at each reporting period. Measurement of the progress towards completion involves judgment and estimation. Assessment of completion requires an evaluation of labor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235"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6"/>
          <w:szCs w:val="16"/>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pacing w:after="0" w:line="162" w:lineRule="exact"/>
        <w:rPr>
          <w:sz w:val="20"/>
          <w:szCs w:val="20"/>
          <w:color w:val="auto"/>
        </w:rPr>
      </w:pPr>
    </w:p>
    <w:p>
      <w:pPr>
        <w:jc w:val="both"/>
        <w:ind w:firstLine="236"/>
        <w:spacing w:after="0" w:line="251" w:lineRule="auto"/>
        <w:rPr>
          <w:sz w:val="20"/>
          <w:szCs w:val="20"/>
          <w:color w:val="auto"/>
        </w:rPr>
      </w:pPr>
      <w:r>
        <w:rPr>
          <w:rFonts w:ascii="Arial" w:cs="Arial" w:eastAsia="Arial" w:hAnsi="Arial"/>
          <w:sz w:val="16"/>
          <w:szCs w:val="16"/>
          <w:color w:val="auto"/>
        </w:rPr>
        <w:t>Our contracting services revenue is recognized on a right to invoice basis. Our consulting services revenue is recognized based on an assessment of progress towards completion at each reporting period. Laboratory services revenue is recognized when, or as, obligations under the terms of a contract are satisfied, which occurs when control of the products or services are transferred to the customer. Service revenue is recognized over time as the services are delivered to the customer based on an assessment of progress towards completion.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Impact of New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adopted during fiscal year ended December 31, 2020 (or previously)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Measurement of Credit Losses on Financial Instruments</w:t>
      </w:r>
    </w:p>
    <w:p>
      <w:pPr>
        <w:spacing w:after="0" w:line="23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 (Topic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previous incurred loss impairment approach with a methodology to reflect expected credit losses and requires consideration of a broader range of reasonable and supportable information to explain credit loss estimates. The updated guidance was applied on a modified retrospective approach and was effective for the Group for fiscal years, and interim periods within those fiscal years, beginning after December 15, 2019. The adoption of ASU 2016-13 did not have a significant impact on the financial statements.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Fair Value Measurement</w:t>
      </w:r>
    </w:p>
    <w:p>
      <w:pPr>
        <w:spacing w:after="0" w:line="23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 Disclosure Framework (Topic 820)'</w:t>
      </w:r>
      <w:r>
        <w:rPr>
          <w:rFonts w:ascii="Arial" w:cs="Arial" w:eastAsia="Arial" w:hAnsi="Arial"/>
          <w:sz w:val="16"/>
          <w:szCs w:val="16"/>
          <w:color w:val="auto"/>
        </w:rPr>
        <w:t>. The updated guidance requires entities to disclose changes in unrealized gains and losses for the period included in other comprehensive income for recurring Level 3 fair value measurements and the range and weighted average of significant unobservable inputs used to develop Level 3 fair value measurements. Amendments in this guidance also require disclosure of transfers into and out of Level 3 of the fair value hierarchy, purchases and issues of Level 3 assets and liabilities, and clarify that the measurement uncertainty disclosure is about the uncertainty in measurement as of the reporting date. The guidance removed requirements to disclose the amounts and reasons for transfers between Level 1 and Level 2, policy for timing between of transfers between levels, and the valuation processes for Level 3 fair value measurements. The updated guidance is effective for the Group for fiscal years, and interim periods within those fiscal years, beginning after December 15, 2019. The adoption of ASU 2018-13 did not have a significant impact on the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Other Pronouncements</w:t>
      </w:r>
    </w:p>
    <w:p>
      <w:pPr>
        <w:spacing w:after="0" w:line="197" w:lineRule="exact"/>
        <w:rPr>
          <w:sz w:val="20"/>
          <w:szCs w:val="20"/>
          <w:color w:val="auto"/>
        </w:rPr>
      </w:pPr>
    </w:p>
    <w:p>
      <w:pPr>
        <w:jc w:val="both"/>
        <w:ind w:firstLine="260"/>
        <w:spacing w:after="0" w:line="242" w:lineRule="auto"/>
        <w:rPr>
          <w:sz w:val="20"/>
          <w:szCs w:val="20"/>
          <w:color w:val="auto"/>
        </w:rPr>
      </w:pPr>
      <w:r>
        <w:rPr>
          <w:rFonts w:ascii="Arial" w:cs="Arial" w:eastAsia="Arial" w:hAnsi="Arial"/>
          <w:sz w:val="16"/>
          <w:szCs w:val="16"/>
          <w:color w:val="auto"/>
        </w:rPr>
        <w:t>We have reviewed the FASB issued Accounting Standards Update (ASU) accounting pronouncements and interpretations thereof that have effective dates during the periods reported. The following relevant ASUs have also been adopted in 2020:</w:t>
      </w:r>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 xml:space="preserve">ASU 2020-04 </w:t>
      </w:r>
      <w:r>
        <w:rPr>
          <w:rFonts w:ascii="Arial" w:cs="Arial" w:eastAsia="Arial" w:hAnsi="Arial"/>
          <w:sz w:val="16"/>
          <w:szCs w:val="16"/>
          <w:i w:val="1"/>
          <w:iCs w:val="1"/>
          <w:color w:val="auto"/>
        </w:rPr>
        <w:t>'Reference Rate Reform (Topic 848) - Facilitation of the Effects of Reference Rate Reform on Financial Reporting'</w:t>
      </w:r>
      <w:r>
        <w:rPr>
          <w:rFonts w:ascii="Arial" w:cs="Arial" w:eastAsia="Arial" w:hAnsi="Arial"/>
          <w:sz w:val="16"/>
          <w:szCs w:val="16"/>
          <w:color w:val="auto"/>
        </w:rPr>
        <w:t xml:space="preserve"> provides optional expedients and exceptions for applying US GAAP to contracts, hedging relationships, and other transactions affected by the reference rate reform. The amendments apply only to contracts and transactions that reference LIBOR or another reference rate expected to be discontinued as part of the reform. This ASU was issued on March 12, 2020 and applies only to contracts or transactions entered into or evaluated before December 31, 2022. This ASU was effective and adopted upon issuance. The adoption of ASU 2020-04 did not have a significant impact on the financial statements.</w:t>
      </w: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 (Topic 350)'</w:t>
      </w:r>
      <w:r>
        <w:rPr>
          <w:rFonts w:ascii="Arial" w:cs="Arial" w:eastAsia="Arial" w:hAnsi="Arial"/>
          <w:sz w:val="16"/>
          <w:szCs w:val="16"/>
          <w:color w:val="auto"/>
        </w:rPr>
        <w:t>. The amendments in the update align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is effective for the Group for fiscal years beginning after December 15, 2019 and for interim periods within those fiscal years and was applied prospectively to all relevant implementation costs incurred after the adoption date. The adoption of ASU 2018-15 did not have a significant impact on the financial statements.</w:t>
      </w:r>
    </w:p>
    <w:p>
      <w:pPr>
        <w:spacing w:after="0" w:line="368"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In November 2019, the FASB issued ASU 2019-08 </w:t>
      </w:r>
      <w:r>
        <w:rPr>
          <w:rFonts w:ascii="Arial" w:cs="Arial" w:eastAsia="Arial" w:hAnsi="Arial"/>
          <w:sz w:val="16"/>
          <w:szCs w:val="16"/>
          <w:i w:val="1"/>
          <w:iCs w:val="1"/>
          <w:color w:val="auto"/>
        </w:rPr>
        <w:t>'Codification Improvements—Share-Based Consideration Payable to a Customer'</w:t>
      </w:r>
      <w:r>
        <w:rPr>
          <w:rFonts w:ascii="Arial" w:cs="Arial" w:eastAsia="Arial" w:hAnsi="Arial"/>
          <w:sz w:val="16"/>
          <w:szCs w:val="16"/>
          <w:color w:val="auto"/>
        </w:rPr>
        <w:t>. The amendments in this update require that an entity measure and classify share-based payment awards granted to a customer by applying the guidance in ASC 718. The amount recorded as a reduction of the transaction price is required to be measured on the basis of the grant-date fair value of the share-based payment award in accordance with ASC 718. The grant date is the date at which a grantor (supplier) and a grantee (customer) reach a mutual understanding of the key terms and conditions of a share-based payment award. The classification and subsequent measurement of the award are subject to the guidance in ASC 718 unless the share-based payment award is subsequently modified and the grantee is no longer a customer. The amendments in this update are effective for the Group for fiscal years beginning after December 15, 2019. The adoption of ASU 2019-08 did not have a significant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both"/>
        <w:ind w:firstLine="648"/>
        <w:spacing w:after="0" w:line="234"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 - Retirement Benefits - Defined Benefit Plans (Topic 715)'</w:t>
      </w:r>
      <w:r>
        <w:rPr>
          <w:rFonts w:ascii="Arial" w:cs="Arial" w:eastAsia="Arial" w:hAnsi="Arial"/>
          <w:sz w:val="16"/>
          <w:szCs w:val="16"/>
          <w:color w:val="auto"/>
        </w:rPr>
        <w:t>. The updated guidance requires additional disclosures of weighted-average interest crediting rates for cash balance plans and an explanation of the reasons for significant gains and losses related to changes in the benefit obligation. Amendments in the guidance also clarify the requirement to disclose the projected benefit obligation (PBO) and fair value of plan assets for plans with PBOs in excess of plan assets. The same disclosure is needed for the accumulated benefit obligation</w:t>
      </w:r>
    </w:p>
    <w:p>
      <w:pPr>
        <w:jc w:val="both"/>
        <w:spacing w:after="0" w:line="234" w:lineRule="auto"/>
        <w:rPr>
          <w:sz w:val="20"/>
          <w:szCs w:val="20"/>
          <w:color w:val="auto"/>
        </w:rPr>
      </w:pPr>
      <w:r>
        <w:rPr>
          <w:rFonts w:ascii="Arial" w:cs="Arial" w:eastAsia="Arial" w:hAnsi="Arial"/>
          <w:sz w:val="16"/>
          <w:szCs w:val="16"/>
          <w:color w:val="auto"/>
        </w:rPr>
        <w:t>(ABO) and fair value of plan assets for plans with ABOs in excess of plan assets. The guidance removes certain previous disclosure requirements no longer considered cost beneficial. The amendments are effective for fiscal years ending after December 15, 2020, with early adoption permitted. The adoption of ASU 2018-14 did not to have a significant impact on the financial statements.</w:t>
      </w:r>
    </w:p>
    <w:p>
      <w:pPr>
        <w:spacing w:after="0" w:line="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Simplifying the test for goodwill impairment'</w:t>
      </w:r>
      <w:r>
        <w:rPr>
          <w:rFonts w:ascii="Arial" w:cs="Arial" w:eastAsia="Arial" w:hAnsi="Arial"/>
          <w:sz w:val="16"/>
          <w:szCs w:val="16"/>
          <w:color w:val="auto"/>
        </w:rPr>
        <w:t xml:space="preserve"> which requires an entity to no longer perform a hypothetical purchase price allocation to measure goodwill impairment. Instead, impairment will be measured using the difference between the carrying amount and the fair value of the reporting unit. The ASU is effective for public businesses, that are SEC filers, for annual and interim periods in fiscal years beginning after December 15, 2019, with early adoption permitted. The Company early adopted this ASU from January 1, 2018. The adoption of this ASU did not have a significant impact on the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which will be adopted during fiscal year ended December 31, 2021</w:t>
      </w:r>
    </w:p>
    <w:p>
      <w:pPr>
        <w:spacing w:after="0" w:line="171" w:lineRule="exact"/>
        <w:rPr>
          <w:sz w:val="20"/>
          <w:szCs w:val="20"/>
          <w:color w:val="auto"/>
        </w:rPr>
      </w:pPr>
    </w:p>
    <w:p>
      <w:pPr>
        <w:jc w:val="both"/>
        <w:ind w:firstLine="252"/>
        <w:spacing w:after="0" w:line="236" w:lineRule="auto"/>
        <w:rPr>
          <w:sz w:val="20"/>
          <w:szCs w:val="20"/>
          <w:color w:val="auto"/>
        </w:rPr>
      </w:pPr>
      <w:r>
        <w:rPr>
          <w:rFonts w:ascii="Arial" w:cs="Arial" w:eastAsia="Arial" w:hAnsi="Arial"/>
          <w:sz w:val="16"/>
          <w:szCs w:val="16"/>
          <w:color w:val="auto"/>
        </w:rPr>
        <w:t xml:space="preserve">In August 2020, the FASB issues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which removes the separation models in ASC 470 ‘Debt’ for convertible debt with cash conversion features and convertible instruments with beneficial conversion features. The ASU also removes from ASC 815 </w:t>
      </w: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xml:space="preserve"> certain conditions for equity classification for contracts on an entity’s own equity. This ASU can be adopted using either the retrospective approach or the modified retrospective approach and is effective for the Group for fiscal years ending after December 15, 2021. The guidance may be early adopted for fiscal years beginning after December 15, 2020, and interim periods within those fiscal years. This ASU is not expected to have a significant impact on the financial statements.</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The amendments in this update simplify the accounting for income taxes by removing certain exceptions to the general principles in Topic 740. The amendments also improve consistent application of GAAP for other areas of Topic 740 by clarifying and amending existing guidance. The Company will adopt the amendments in this ASU on a prospective basis, except where the required method of adoption is retrospective or modified retrospective. ASU 2019-12 is effective for the Company for fiscal years commencing on or after December 15, 2020. This ASU is not expected to have a significant impact on the financial statements.</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w:t>
      </w:r>
      <w:r>
        <w:rPr>
          <w:rFonts w:ascii="Arial" w:cs="Arial" w:eastAsia="Arial" w:hAnsi="Arial"/>
          <w:sz w:val="16"/>
          <w:szCs w:val="16"/>
          <w:color w:val="auto"/>
        </w:rPr>
        <w:t>'. ASU 2020-01 states any equity security transitioning from the alternative method of accounting under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321 to the equity method, or vice versa, due to an observable transaction will be remeasured immediately before the transition. In addition, the ASU clarifies the accounting for certain non-derivative forward contracts or purchased call options to acquire equity securities stating such instruments will be measured using the fair value principles of Topic 321 before settlement or exercise. The ASU is effective for fiscal years beginning after December 15, 2020, and will be applied on a prospective basis. Early adoption is permitted. The adoption of this ASU is not expected to have a significant impact of the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other new accounting pronouncements</w:t>
      </w:r>
    </w:p>
    <w:p>
      <w:pPr>
        <w:spacing w:after="0" w:line="174" w:lineRule="exact"/>
        <w:rPr>
          <w:sz w:val="20"/>
          <w:szCs w:val="20"/>
          <w:color w:val="auto"/>
        </w:rPr>
      </w:pPr>
    </w:p>
    <w:p>
      <w:pPr>
        <w:jc w:val="both"/>
        <w:ind w:firstLine="184"/>
        <w:spacing w:after="0" w:line="260" w:lineRule="auto"/>
        <w:rPr>
          <w:sz w:val="20"/>
          <w:szCs w:val="20"/>
          <w:color w:val="auto"/>
        </w:rPr>
      </w:pPr>
      <w:r>
        <w:rPr>
          <w:rFonts w:ascii="Arial" w:cs="Arial" w:eastAsia="Arial" w:hAnsi="Arial"/>
          <w:sz w:val="16"/>
          <w:szCs w:val="16"/>
          <w:color w:val="auto"/>
        </w:rPr>
        <w:t>No other new accounting pronouncement issued or effective has had, or is expected to have, a significant impact on the Company’s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believe that the effects of inflation generally do not have a material adverse impact on our operations or financial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Directors and Senior Management</w:t>
      </w:r>
    </w:p>
    <w:p>
      <w:pPr>
        <w:spacing w:after="0" w:line="268" w:lineRule="exact"/>
        <w:rPr>
          <w:sz w:val="20"/>
          <w:szCs w:val="20"/>
          <w:color w:val="auto"/>
        </w:rPr>
      </w:pPr>
    </w:p>
    <w:p>
      <w:pPr>
        <w:ind w:firstLine="179"/>
        <w:spacing w:after="0" w:line="260" w:lineRule="auto"/>
        <w:rPr>
          <w:sz w:val="20"/>
          <w:szCs w:val="20"/>
          <w:color w:val="auto"/>
        </w:rPr>
      </w:pPr>
      <w:r>
        <w:rPr>
          <w:rFonts w:ascii="Arial" w:cs="Arial" w:eastAsia="Arial" w:hAnsi="Arial"/>
          <w:sz w:val="16"/>
          <w:szCs w:val="16"/>
          <w:color w:val="auto"/>
        </w:rPr>
        <w:t>The following table and accompanying biographies set forth certain information concerning each of ICON plc’s Directors, officers and other key employees as of February 24, 2021.</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Name</w:t>
            </w:r>
          </w:p>
        </w:tc>
        <w:tc>
          <w:tcPr>
            <w:tcW w:w="15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Age</w:t>
            </w:r>
          </w:p>
        </w:tc>
        <w:tc>
          <w:tcPr>
            <w:tcW w:w="6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Position</w:t>
            </w:r>
          </w:p>
        </w:tc>
      </w:tr>
      <w:tr>
        <w:trPr>
          <w:trHeight w:val="240"/>
        </w:trPr>
        <w:tc>
          <w:tcPr>
            <w:tcW w:w="2960" w:type="dxa"/>
            <w:vAlign w:val="bottom"/>
          </w:tcPr>
          <w:p>
            <w:pPr>
              <w:ind w:left="20"/>
              <w:spacing w:after="0"/>
              <w:rPr>
                <w:sz w:val="20"/>
                <w:szCs w:val="20"/>
                <w:color w:val="auto"/>
              </w:rPr>
            </w:pPr>
            <w:r>
              <w:rPr>
                <w:rFonts w:ascii="Arial" w:cs="Arial" w:eastAsia="Arial" w:hAnsi="Arial"/>
                <w:sz w:val="16"/>
                <w:szCs w:val="16"/>
                <w:color w:val="auto"/>
              </w:rPr>
              <w:t>Ciaran Murray</w:t>
            </w:r>
          </w:p>
        </w:tc>
        <w:tc>
          <w:tcPr>
            <w:tcW w:w="1580" w:type="dxa"/>
            <w:vAlign w:val="bottom"/>
          </w:tcPr>
          <w:p>
            <w:pPr>
              <w:ind w:left="920"/>
              <w:spacing w:after="0"/>
              <w:rPr>
                <w:sz w:val="20"/>
                <w:szCs w:val="20"/>
                <w:color w:val="auto"/>
              </w:rPr>
            </w:pPr>
            <w:r>
              <w:rPr>
                <w:rFonts w:ascii="Arial" w:cs="Arial" w:eastAsia="Arial" w:hAnsi="Arial"/>
                <w:sz w:val="16"/>
                <w:szCs w:val="16"/>
                <w:color w:val="auto"/>
              </w:rPr>
              <w:t>58</w:t>
            </w:r>
          </w:p>
        </w:tc>
        <w:tc>
          <w:tcPr>
            <w:tcW w:w="6660" w:type="dxa"/>
            <w:vAlign w:val="bottom"/>
          </w:tcPr>
          <w:p>
            <w:pPr>
              <w:ind w:left="360"/>
              <w:spacing w:after="0"/>
              <w:rPr>
                <w:sz w:val="20"/>
                <w:szCs w:val="20"/>
                <w:color w:val="auto"/>
              </w:rPr>
            </w:pPr>
            <w:r>
              <w:rPr>
                <w:rFonts w:ascii="Arial" w:cs="Arial" w:eastAsia="Arial" w:hAnsi="Arial"/>
                <w:sz w:val="16"/>
                <w:szCs w:val="16"/>
                <w:color w:val="auto"/>
              </w:rPr>
              <w:t>Chairman and Director</w:t>
            </w:r>
          </w:p>
        </w:tc>
      </w:tr>
      <w:tr>
        <w:trPr>
          <w:trHeight w:val="24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Steve Cutler (1)(5)</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60</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Executive Officer and Director</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Brendan Brennan (1)(5)</w:t>
            </w:r>
          </w:p>
        </w:tc>
        <w:tc>
          <w:tcPr>
            <w:tcW w:w="1580" w:type="dxa"/>
            <w:vAlign w:val="bottom"/>
          </w:tcPr>
          <w:p>
            <w:pPr>
              <w:ind w:left="920"/>
              <w:spacing w:after="0"/>
              <w:rPr>
                <w:sz w:val="20"/>
                <w:szCs w:val="20"/>
                <w:color w:val="auto"/>
              </w:rPr>
            </w:pPr>
            <w:r>
              <w:rPr>
                <w:rFonts w:ascii="Arial" w:cs="Arial" w:eastAsia="Arial" w:hAnsi="Arial"/>
                <w:sz w:val="16"/>
                <w:szCs w:val="16"/>
                <w:color w:val="auto"/>
              </w:rPr>
              <w:t>42</w:t>
            </w:r>
          </w:p>
        </w:tc>
        <w:tc>
          <w:tcPr>
            <w:tcW w:w="6660" w:type="dxa"/>
            <w:vAlign w:val="bottom"/>
          </w:tcPr>
          <w:p>
            <w:pPr>
              <w:ind w:left="360"/>
              <w:spacing w:after="0"/>
              <w:rPr>
                <w:sz w:val="20"/>
                <w:szCs w:val="20"/>
                <w:color w:val="auto"/>
              </w:rPr>
            </w:pPr>
            <w:r>
              <w:rPr>
                <w:rFonts w:ascii="Arial" w:cs="Arial" w:eastAsia="Arial" w:hAnsi="Arial"/>
                <w:sz w:val="16"/>
                <w:szCs w:val="16"/>
                <w:color w:val="auto"/>
              </w:rPr>
              <w:t>Chief Financial Officer</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Rónán Murphy (2)(3)(5)</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63</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Lead Independent Director</w:t>
            </w:r>
          </w:p>
        </w:tc>
      </w:tr>
      <w:tr>
        <w:trPr>
          <w:trHeight w:val="240"/>
        </w:trPr>
        <w:tc>
          <w:tcPr>
            <w:tcW w:w="2960" w:type="dxa"/>
            <w:vAlign w:val="bottom"/>
          </w:tcPr>
          <w:p>
            <w:pPr>
              <w:ind w:left="20"/>
              <w:spacing w:after="0"/>
              <w:rPr>
                <w:sz w:val="20"/>
                <w:szCs w:val="20"/>
                <w:color w:val="auto"/>
              </w:rPr>
            </w:pPr>
            <w:r>
              <w:rPr>
                <w:rFonts w:ascii="Arial" w:cs="Arial" w:eastAsia="Arial" w:hAnsi="Arial"/>
                <w:sz w:val="16"/>
                <w:szCs w:val="16"/>
                <w:color w:val="auto"/>
              </w:rPr>
              <w:t>Professor Hugh Brady (3)</w:t>
            </w:r>
          </w:p>
        </w:tc>
        <w:tc>
          <w:tcPr>
            <w:tcW w:w="1580" w:type="dxa"/>
            <w:vAlign w:val="bottom"/>
          </w:tcPr>
          <w:p>
            <w:pPr>
              <w:ind w:left="920"/>
              <w:spacing w:after="0"/>
              <w:rPr>
                <w:sz w:val="20"/>
                <w:szCs w:val="20"/>
                <w:color w:val="auto"/>
              </w:rPr>
            </w:pPr>
            <w:r>
              <w:rPr>
                <w:rFonts w:ascii="Arial" w:cs="Arial" w:eastAsia="Arial" w:hAnsi="Arial"/>
                <w:sz w:val="16"/>
                <w:szCs w:val="16"/>
                <w:color w:val="auto"/>
              </w:rPr>
              <w:t>61</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John Climax</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68</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Joan Garahy (2)(4)</w:t>
            </w:r>
          </w:p>
        </w:tc>
        <w:tc>
          <w:tcPr>
            <w:tcW w:w="1580" w:type="dxa"/>
            <w:vAlign w:val="bottom"/>
          </w:tcPr>
          <w:p>
            <w:pPr>
              <w:ind w:left="920"/>
              <w:spacing w:after="0"/>
              <w:rPr>
                <w:sz w:val="20"/>
                <w:szCs w:val="20"/>
                <w:color w:val="auto"/>
              </w:rPr>
            </w:pPr>
            <w:r>
              <w:rPr>
                <w:rFonts w:ascii="Arial" w:cs="Arial" w:eastAsia="Arial" w:hAnsi="Arial"/>
                <w:sz w:val="16"/>
                <w:szCs w:val="16"/>
                <w:color w:val="auto"/>
              </w:rPr>
              <w:t>58</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4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Professor William Hall (2)(4)</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71</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Eugene McCague (3)(4)</w:t>
            </w:r>
          </w:p>
        </w:tc>
        <w:tc>
          <w:tcPr>
            <w:tcW w:w="1580" w:type="dxa"/>
            <w:vAlign w:val="bottom"/>
          </w:tcPr>
          <w:p>
            <w:pPr>
              <w:ind w:left="920"/>
              <w:spacing w:after="0"/>
              <w:rPr>
                <w:sz w:val="20"/>
                <w:szCs w:val="20"/>
                <w:color w:val="auto"/>
              </w:rPr>
            </w:pPr>
            <w:r>
              <w:rPr>
                <w:rFonts w:ascii="Arial" w:cs="Arial" w:eastAsia="Arial" w:hAnsi="Arial"/>
                <w:sz w:val="16"/>
                <w:szCs w:val="16"/>
                <w:color w:val="auto"/>
              </w:rPr>
              <w:t>62</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Julie O'Neill</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55</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40"/>
        </w:trPr>
        <w:tc>
          <w:tcPr>
            <w:tcW w:w="2960" w:type="dxa"/>
            <w:vAlign w:val="bottom"/>
          </w:tcPr>
          <w:p>
            <w:pPr>
              <w:ind w:left="20"/>
              <w:spacing w:after="0"/>
              <w:rPr>
                <w:sz w:val="20"/>
                <w:szCs w:val="20"/>
                <w:color w:val="auto"/>
              </w:rPr>
            </w:pPr>
            <w:r>
              <w:rPr>
                <w:rFonts w:ascii="Arial" w:cs="Arial" w:eastAsia="Arial" w:hAnsi="Arial"/>
                <w:sz w:val="16"/>
                <w:szCs w:val="16"/>
                <w:color w:val="auto"/>
              </w:rPr>
              <w:t>Mary Pendergast (2)</w:t>
            </w:r>
          </w:p>
        </w:tc>
        <w:tc>
          <w:tcPr>
            <w:tcW w:w="1580" w:type="dxa"/>
            <w:vAlign w:val="bottom"/>
          </w:tcPr>
          <w:p>
            <w:pPr>
              <w:ind w:left="920"/>
              <w:spacing w:after="0"/>
              <w:rPr>
                <w:sz w:val="20"/>
                <w:szCs w:val="20"/>
                <w:color w:val="auto"/>
              </w:rPr>
            </w:pPr>
            <w:r>
              <w:rPr>
                <w:rFonts w:ascii="Arial" w:cs="Arial" w:eastAsia="Arial" w:hAnsi="Arial"/>
                <w:sz w:val="16"/>
                <w:szCs w:val="16"/>
                <w:color w:val="auto"/>
              </w:rPr>
              <w:t>70</w:t>
            </w:r>
          </w:p>
        </w:tc>
        <w:tc>
          <w:tcPr>
            <w:tcW w:w="666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Diarmaid Cunningham</w:t>
            </w:r>
          </w:p>
        </w:tc>
        <w:tc>
          <w:tcPr>
            <w:tcW w:w="15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46</w:t>
            </w:r>
          </w:p>
        </w:tc>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Administrative Officer, General Counsel &amp; Company Secretary</w:t>
            </w:r>
          </w:p>
        </w:tc>
      </w:tr>
    </w:tbl>
    <w:p>
      <w:pPr>
        <w:spacing w:after="0" w:line="326" w:lineRule="exact"/>
        <w:rPr>
          <w:sz w:val="20"/>
          <w:szCs w:val="20"/>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Named Executive Officer of the Company.</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of Compensation and Organization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of Nominating and Governance Committee.</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of Execution Committee.</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Ciaran Murray</w:t>
      </w:r>
    </w:p>
    <w:p>
      <w:pPr>
        <w:spacing w:after="0" w:line="210" w:lineRule="exact"/>
        <w:rPr>
          <w:sz w:val="20"/>
          <w:szCs w:val="20"/>
          <w:color w:val="auto"/>
        </w:rPr>
      </w:pPr>
    </w:p>
    <w:p>
      <w:pPr>
        <w:jc w:val="both"/>
        <w:ind w:firstLine="274"/>
        <w:spacing w:after="0" w:line="253" w:lineRule="auto"/>
        <w:rPr>
          <w:sz w:val="20"/>
          <w:szCs w:val="20"/>
          <w:color w:val="auto"/>
        </w:rPr>
      </w:pPr>
      <w:r>
        <w:rPr>
          <w:rFonts w:ascii="Arial" w:cs="Arial" w:eastAsia="Arial" w:hAnsi="Arial"/>
          <w:sz w:val="16"/>
          <w:szCs w:val="16"/>
          <w:color w:val="auto"/>
        </w:rPr>
        <w:t>Mr. Ciaran Murray graduated with a Bachelor of Commerce degree from University College Dublin in 1982. Mr. Murray subsequently qualified as a chartered accountant with PwC. Following qualification, Mr. Murray gained extensive global experience working as an executive in the fast moving consumer goods and technology sectors in Ireland, Italy, the UK and the US.</w:t>
      </w:r>
    </w:p>
    <w:p>
      <w:pPr>
        <w:spacing w:after="0" w:line="161" w:lineRule="exact"/>
        <w:rPr>
          <w:sz w:val="20"/>
          <w:szCs w:val="20"/>
          <w:color w:val="auto"/>
        </w:rPr>
      </w:pPr>
    </w:p>
    <w:p>
      <w:pPr>
        <w:jc w:val="both"/>
        <w:ind w:firstLine="191"/>
        <w:spacing w:after="0" w:line="260" w:lineRule="auto"/>
        <w:rPr>
          <w:sz w:val="20"/>
          <w:szCs w:val="20"/>
          <w:color w:val="auto"/>
        </w:rPr>
      </w:pPr>
      <w:r>
        <w:rPr>
          <w:rFonts w:ascii="Arial" w:cs="Arial" w:eastAsia="Arial" w:hAnsi="Arial"/>
          <w:sz w:val="16"/>
          <w:szCs w:val="16"/>
          <w:color w:val="auto"/>
        </w:rPr>
        <w:t>Mr. Murray has been the Chairman of ICON plc since March 2017. Mr. Murray served as Chief Executive Officer from October 2011 until March 2017 and was Chief Financial Officer from joining ICON plc in 2005 until his appointment as Chief Executive Officer in 2011.</w:t>
      </w:r>
    </w:p>
    <w:p>
      <w:pPr>
        <w:spacing w:after="0" w:line="155" w:lineRule="exact"/>
        <w:rPr>
          <w:sz w:val="20"/>
          <w:szCs w:val="20"/>
          <w:color w:val="auto"/>
        </w:rPr>
      </w:pPr>
    </w:p>
    <w:p>
      <w:pPr>
        <w:jc w:val="both"/>
        <w:ind w:firstLine="252"/>
        <w:spacing w:after="0" w:line="253" w:lineRule="auto"/>
        <w:rPr>
          <w:sz w:val="20"/>
          <w:szCs w:val="20"/>
          <w:color w:val="auto"/>
        </w:rPr>
      </w:pPr>
      <w:r>
        <w:rPr>
          <w:rFonts w:ascii="Arial" w:cs="Arial" w:eastAsia="Arial" w:hAnsi="Arial"/>
          <w:sz w:val="16"/>
          <w:szCs w:val="16"/>
          <w:color w:val="auto"/>
        </w:rPr>
        <w:t>During his time with ICON plc, Mr. Murray was recognized for his leadership of ICON and the CRO industry. Mr. Murray served as Chairman of the Association of Clinical Research Organizations (ACRO) which represents the CRO industry globally. In addition, Mr. Murray was named as a leader in CRO Innovation by PharmaVOICE100, a listing of the most influential people in the bio pharma industry.</w:t>
      </w:r>
    </w:p>
    <w:p>
      <w:pPr>
        <w:spacing w:after="0" w:line="174" w:lineRule="exact"/>
        <w:rPr>
          <w:sz w:val="20"/>
          <w:szCs w:val="20"/>
          <w:color w:val="auto"/>
        </w:rPr>
      </w:pPr>
    </w:p>
    <w:p>
      <w:pPr>
        <w:jc w:val="both"/>
        <w:ind w:firstLine="248"/>
        <w:spacing w:after="0" w:line="253" w:lineRule="auto"/>
        <w:rPr>
          <w:sz w:val="20"/>
          <w:szCs w:val="20"/>
          <w:color w:val="auto"/>
        </w:rPr>
      </w:pPr>
      <w:r>
        <w:rPr>
          <w:rFonts w:ascii="Arial" w:cs="Arial" w:eastAsia="Arial" w:hAnsi="Arial"/>
          <w:sz w:val="16"/>
          <w:szCs w:val="16"/>
          <w:color w:val="auto"/>
        </w:rPr>
        <w:t>University College Dublin awarded Mr. Murray an honorary degree of Doctor of Laws in 2013 for his support of third level research and innovation in Ireland. In 2018, the Royal Dublin Society awarded Mr. Murray the RDS Gold Medal for Enterprise for making an exceptional impact on Irish industry and commerce. Mr. Murray is also a member of the advisory Board of UCD Smurfit Business School.</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Dr. Steve Cutler</w:t>
      </w:r>
    </w:p>
    <w:p>
      <w:pPr>
        <w:spacing w:after="0" w:line="197" w:lineRule="exact"/>
        <w:rPr>
          <w:sz w:val="20"/>
          <w:szCs w:val="20"/>
          <w:color w:val="auto"/>
        </w:rPr>
      </w:pPr>
    </w:p>
    <w:p>
      <w:pPr>
        <w:jc w:val="both"/>
        <w:ind w:firstLine="234"/>
        <w:spacing w:after="0" w:line="248" w:lineRule="auto"/>
        <w:rPr>
          <w:sz w:val="20"/>
          <w:szCs w:val="20"/>
          <w:color w:val="auto"/>
        </w:rPr>
      </w:pPr>
      <w:r>
        <w:rPr>
          <w:rFonts w:ascii="Arial" w:cs="Arial" w:eastAsia="Arial" w:hAnsi="Arial"/>
          <w:sz w:val="16"/>
          <w:szCs w:val="16"/>
          <w:color w:val="auto"/>
        </w:rPr>
        <w:t>Dr. Steve Cutler was appointed Chief Executive Officer of ICON plc in March 2017, having previously served as Chief Operating Officer from January 2014. Dr. Cutler served as Group President Clinical Research Services since November 2011 until his appointment as Chief Operating Officer.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Dr. Cutler holds a B.Sc. and a Ph.D. from the University of Sydney and a Masters of Business Administration from the University of Birmingham (UK).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p>
      <w:pPr>
        <w:ind w:left="180"/>
        <w:spacing w:after="0"/>
        <w:rPr>
          <w:sz w:val="20"/>
          <w:szCs w:val="20"/>
          <w:color w:val="auto"/>
        </w:rPr>
      </w:pPr>
      <w:r>
        <w:rPr>
          <w:rFonts w:ascii="Arial" w:cs="Arial" w:eastAsia="Arial" w:hAnsi="Arial"/>
          <w:sz w:val="16"/>
          <w:szCs w:val="16"/>
          <w:i w:val="1"/>
          <w:iCs w:val="1"/>
          <w:color w:val="auto"/>
        </w:rPr>
        <w:t>Brendan Brennan</w:t>
      </w:r>
    </w:p>
    <w:p>
      <w:pPr>
        <w:spacing w:after="0" w:line="197" w:lineRule="exact"/>
        <w:rPr>
          <w:sz w:val="20"/>
          <w:szCs w:val="20"/>
          <w:color w:val="auto"/>
        </w:rPr>
      </w:pPr>
    </w:p>
    <w:p>
      <w:pPr>
        <w:jc w:val="both"/>
        <w:ind w:firstLine="247"/>
        <w:spacing w:after="0" w:line="248" w:lineRule="auto"/>
        <w:rPr>
          <w:sz w:val="20"/>
          <w:szCs w:val="20"/>
          <w:color w:val="auto"/>
        </w:rPr>
      </w:pPr>
      <w:r>
        <w:rPr>
          <w:rFonts w:ascii="Arial" w:cs="Arial" w:eastAsia="Arial" w:hAnsi="Arial"/>
          <w:sz w:val="16"/>
          <w:szCs w:val="16"/>
          <w:color w:val="auto"/>
        </w:rPr>
        <w:t>Mr. Brendan Brennan has served as Chief Financial Officer since February 2012. Mr. Brennan has developed his career over the last 22 years from experience in various industries. Mr. Brennan joined ICON in 2006 and he has served in a number of senior finance roles in the Company including the role of Senior Vice President of Corporate Finance. Prior to this he developed his broad financial experience in Cement Roadstone Holdings, a major Irish building materials organization. Mr. Brennan spent a number of years in public accounting with PwC prior to this. Mr. Brennan is a Fellow of the Institute of Chartered Accountants in Ireland and holds a bachelor’s degree in Accounting and Finance from Dublin City University. Over his years in the CRO industry, Mr. Brennan has been involved in many industry organizations and developments including ACRO (Association of Clinical Research Organizations) where he was the founding Chairman of the industry CFO round table group, a group formed to aid CROs dealing with the various industry challenges. Mr. Brennan held the position of Chairman of the round table from its foundation in 2017 to December 31, 2019.</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Rónán Murphy</w:t>
      </w:r>
    </w:p>
    <w:p>
      <w:pPr>
        <w:spacing w:after="0" w:line="197"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16"/>
          <w:szCs w:val="16"/>
          <w:color w:val="auto"/>
        </w:rPr>
        <w:t>Mr. Rónán Murphy has served as an outside Director of the Company since October 2016. He was appointed as Lead Independent Director in January 2019. Mr. Murphy is the former Senior Partner of PwC Ireland. Mr. Murphy was elected Senior Partner in 2007 and was re-elected for a further four year term in 2011. Following completion of the maximum two terms, Mr. Murphy retired from the firm in 2015. Mr. Murphy was also a member of the PwC EMEA Leadership Board for a five year period from 2010 to 2015. Mr. Murphy joined PwC in 1980 and was admitted to the Partnership in 1992. As an Assurance Partner, he served clients across a number of sectors. In 1995, Mr. Murphy joined the firm’s leadership team and held a number of operational leadership roles, prior to being appointed as Partner in Charge of the Firm’s Assurance Practice in 2003, a position he held for four years prior to his appointment as Senior Partner. Mr. Murphy is presently Chairman of Greencoat Renewables PLC and a Non-Executive Director of Davy Stockbrokers. Mr. Murphy currently serves as a council member of the ESRI and as Chair of Business in the Community Ireland. He is also a founding Board Member of the British Irish Chamber of Commerce. Mr. Murphy completed a Bachelor of Commerce and Masters in Business Studies at University College Dublin before qualifying as a chartered accountant in 1982.</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Professor Hugh Brady</w:t>
      </w:r>
    </w:p>
    <w:p>
      <w:pPr>
        <w:spacing w:after="0" w:line="210" w:lineRule="exact"/>
        <w:rPr>
          <w:sz w:val="20"/>
          <w:szCs w:val="20"/>
          <w:color w:val="auto"/>
        </w:rPr>
      </w:pPr>
    </w:p>
    <w:p>
      <w:pPr>
        <w:jc w:val="both"/>
        <w:ind w:firstLine="207"/>
        <w:spacing w:after="0" w:line="247" w:lineRule="auto"/>
        <w:rPr>
          <w:sz w:val="20"/>
          <w:szCs w:val="20"/>
          <w:color w:val="auto"/>
        </w:rPr>
      </w:pPr>
      <w:r>
        <w:rPr>
          <w:rFonts w:ascii="Arial" w:cs="Arial" w:eastAsia="Arial" w:hAnsi="Arial"/>
          <w:sz w:val="16"/>
          <w:szCs w:val="16"/>
          <w:color w:val="auto"/>
        </w:rPr>
        <w:t>Professor Hugh Brady has served as an outside Director of the Company since April 2014. In September 2015, Professor Brady took up the position of President and Vice-Chancellor of the University of Bristol - a member of the UK's Russell Group of elite research-intensive universities. Professor Brady is also President Emeritus of University College Dublin (UCD), where he served as President from 2004 until the end of 2013. During his tenure Professor Brady oversaw a major institution-wide transformation program that included significant expansion of UCD’s science, engineering and biomedical research capacity through the development of the O'Brien Centre for Science, Conway Institute for Biomedical Research, UCD Clinical Research Centre, the Dublin Academic Medical Centre and the Ireland East Hospital Group. In addition, he led a major growth in UCD’s international footprint. A nephrologist by training, Professor Brady was Professor of Medicine and Therapeutics at UCD before being appointed the university’s President. Prior to that, he built a successful career as a physician and biomedical research scientist in the US - spending almost a decade at Harvard University where he was Associate Professor of Medicine, Director of the Renal Division of the Brockton/West Roxbury VA Medical Center and Consultant Physician at the Brigham and Women’s Hospital, Boston. He has an international reputation in the pathogenesis of diabetic kidney disease and renal inflammation. Professor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ind w:left="180"/>
        <w:spacing w:after="0"/>
        <w:rPr>
          <w:sz w:val="20"/>
          <w:szCs w:val="20"/>
          <w:color w:val="auto"/>
        </w:rPr>
      </w:pPr>
      <w:r>
        <w:rPr>
          <w:rFonts w:ascii="Arial" w:cs="Arial" w:eastAsia="Arial" w:hAnsi="Arial"/>
          <w:sz w:val="16"/>
          <w:szCs w:val="16"/>
          <w:i w:val="1"/>
          <w:iCs w:val="1"/>
          <w:color w:val="auto"/>
        </w:rPr>
        <w:t>Dr. John Climax</w:t>
      </w:r>
    </w:p>
    <w:p>
      <w:pPr>
        <w:spacing w:after="0" w:line="170"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and as Chief Executive Officer from June 1990 to October 2002. From January 2010 he has held a position as an outside Director of the Company. Dr. Climax has over 30 years of experience in the clinical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 and an honorary professorship at the National University of Singapore. He is currently Executive Chairman of DS Biopharma and CEO of Afimmune, both of which are private companies.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Joan Garahy</w:t>
      </w:r>
    </w:p>
    <w:p>
      <w:pPr>
        <w:spacing w:after="0" w:line="170"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16"/>
          <w:szCs w:val="16"/>
          <w:color w:val="auto"/>
        </w:rPr>
        <w:t>Ms. Joan Garahy was appointed as an outside Director of the Company in November 2017. Ms. Garahy is a Non-Executive Director of Kerry Group plc, Irish Residential Properties REIT plc and IPB Insurance CLG. Ms. Garahy’s previous executive roles include founder and managing director of ClearView Investment &amp; Pensions Limited, a financial advisory company, managing director of HBCL Investment &amp; Pensions Ltd, Director of investments at HC Financial Services Group, head of research at the Irish National Pension Reserve Fund, head of research at Hibernian Investment Managers and her equity analyst roles with Goodbody Stockbrokers and NCB Group. Ms. Garahy was also previously a Non-Executive Director of Galway University Foundation and she is currently a member of the board of The Irish Chamber Orchestra. Ms. Garahy holds a Bachelor of Science degree from University College Galway and a Master of Science from University College Dublin.</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Professor William Hall</w:t>
      </w:r>
    </w:p>
    <w:p>
      <w:pPr>
        <w:spacing w:after="0" w:line="197" w:lineRule="exact"/>
        <w:rPr>
          <w:sz w:val="20"/>
          <w:szCs w:val="20"/>
          <w:color w:val="auto"/>
        </w:rPr>
      </w:pPr>
    </w:p>
    <w:p>
      <w:pPr>
        <w:jc w:val="both"/>
        <w:ind w:firstLine="260"/>
        <w:spacing w:after="0" w:line="248" w:lineRule="auto"/>
        <w:rPr>
          <w:sz w:val="20"/>
          <w:szCs w:val="20"/>
          <w:color w:val="auto"/>
        </w:rPr>
      </w:pPr>
      <w:r>
        <w:rPr>
          <w:rFonts w:ascii="Arial" w:cs="Arial" w:eastAsia="Arial" w:hAnsi="Arial"/>
          <w:sz w:val="16"/>
          <w:szCs w:val="16"/>
          <w:color w:val="auto"/>
        </w:rPr>
        <w:t>Professor William Hall has served as an outside Director of the Company since February 2013. He is a renowned expert in infectious diseases and virology. He currently serves as Distinguished Professor in Hokkaido University in Japan and is Professor Emeritus of Medical Microbiology and the Centre for Research in Infectious Diseases at University College Dublin’s (UCD) School of Medicine and Medical Science. Professor Hall also has served as Consultant to the Minister of Health and Children in the Republic of Ireland, providing input on a range of topics including influenza pandemic preparedness, SARS,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Professor Hall is a Non-Executive Director of Evofem Biosciences, San Diego, a Board member of The Atlantic Philanthropies and is a co-founder of the Global Virus Network.</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Eugene McCague</w:t>
      </w:r>
    </w:p>
    <w:p>
      <w:pPr>
        <w:spacing w:after="0" w:line="210"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16"/>
          <w:szCs w:val="16"/>
          <w:color w:val="auto"/>
        </w:rPr>
        <w:t>Mr. Eugene McCague was appointed as an outside Director of the Company in October 2017. Mr. McCague was a corporate partner of Arthur Cox, one of 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 In addition to his distinguished legal career, Mr. McCague also has extensive board experience with commercial, government and educational organizations. Mr. McCague currently serves on the board of FLY Leasing Limited, an aircraft leasing company listed on the New York Stock Exchange, the board of the Irish branch of AON Insurance. He also serves as chairman of Ibec, Ireland’s leading business representative association. Mr. McCague’s previous board roles include the Health Service Executive, the Irish state body which administers public health service in Ireland, chairman of the governing body of the Dublin Institute of Technology, chairman of the Dublin Institute of Technology Foundation and chairman of the governing authority of University College Dublin. Mr. McCague was also president of the Dublin Chamber of Commerce in 2006. Mr. McCague holds a Bachelor of Civil Law degree and a diploma in European Law from University College Dublin.</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Julie O’Neill</w:t>
      </w:r>
    </w:p>
    <w:p>
      <w:pPr>
        <w:spacing w:after="0" w:line="197"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16"/>
          <w:szCs w:val="16"/>
          <w:color w:val="auto"/>
        </w:rPr>
        <w:t>Ms. Julie O’Neill has served as a outside Director of ICON plc since July 2019. Ms. O’Neill was formerly Executive Vice President, Global Operations of Alexion Pharmaceuticals, Inc., where she was responsible for global manufacturing operations and expanding and improving supply chain and quality operations in the US, Europe, and Asia. Before joining Alexion, Ms. O’Neill was Vice President of Operations and General Manager for Ireland at Gilead Sciences and earlier in her career, Ms. O'Neill held leadership positions in operations, manufacturing and quality functions at Burnil Pharmacies and Helsinn Birex Pharmaceuticals. Ms. O’Neill serves as a Board Member of DBV Technologies, Hookipa Pharma Inc. and ILC Dover and is also on the board of Ireland’s National Institute for Bioprocessing Research and Training. Ms. O’Neill holds a Bachelor of Science in Pharmacy from Trinity College Dublin, a Masters of Business Administration from University College Dublin and is a Chartered Director of The Institute of Directors in Ireland. Ms. O'Neill is also a member of the Strategy Committee of the State Claims Agency.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ind w:left="240"/>
        <w:spacing w:after="0"/>
        <w:rPr>
          <w:sz w:val="20"/>
          <w:szCs w:val="20"/>
          <w:color w:val="auto"/>
        </w:rPr>
      </w:pPr>
      <w:r>
        <w:rPr>
          <w:rFonts w:ascii="Arial" w:cs="Arial" w:eastAsia="Arial" w:hAnsi="Arial"/>
          <w:sz w:val="16"/>
          <w:szCs w:val="16"/>
          <w:i w:val="1"/>
          <w:iCs w:val="1"/>
          <w:color w:val="auto"/>
        </w:rPr>
        <w:t>Mary Pendergast</w:t>
      </w:r>
    </w:p>
    <w:p>
      <w:pPr>
        <w:spacing w:after="0" w:line="197" w:lineRule="exact"/>
        <w:rPr>
          <w:sz w:val="20"/>
          <w:szCs w:val="20"/>
          <w:color w:val="auto"/>
        </w:rPr>
      </w:pPr>
    </w:p>
    <w:p>
      <w:pPr>
        <w:jc w:val="both"/>
        <w:ind w:firstLine="207"/>
        <w:spacing w:after="0" w:line="250" w:lineRule="auto"/>
        <w:rPr>
          <w:sz w:val="20"/>
          <w:szCs w:val="20"/>
          <w:color w:val="auto"/>
        </w:rPr>
      </w:pPr>
      <w:r>
        <w:rPr>
          <w:rFonts w:ascii="Arial" w:cs="Arial" w:eastAsia="Arial" w:hAnsi="Arial"/>
          <w:sz w:val="16"/>
          <w:szCs w:val="16"/>
          <w:color w:val="auto"/>
        </w:rPr>
        <w:t>Ms. Mary Pendergast has served as an outside Director of the Company since February 2014. Ms. Pendergast is an expert in the regulatory aspects of drug development and is President of Pendergast Consulting, a consulting firm that advises biopharmaceutical companies, patient groups, professional and advocacy organizations, governments and academic and financial institutions. Prior to founding her own firm, Ms. Pendergast was Executive Vice President of Government Affairs at Elan Corporation plc from 1998 to 2003. Ms. Pendergast also spent more than 18 years at the US Food and Drug Administration (FDA), serving as Deputy Commissioner and Senior Advisor to the FDA Commissioner and Associate Chief Counsel for Enforcement.</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Diarmaid Cunningham</w:t>
      </w:r>
    </w:p>
    <w:p>
      <w:pPr>
        <w:spacing w:after="0" w:line="183" w:lineRule="exact"/>
        <w:rPr>
          <w:sz w:val="20"/>
          <w:szCs w:val="20"/>
          <w:color w:val="auto"/>
        </w:rPr>
      </w:pPr>
    </w:p>
    <w:p>
      <w:pPr>
        <w:jc w:val="both"/>
        <w:ind w:firstLine="180"/>
        <w:spacing w:after="0" w:line="231" w:lineRule="auto"/>
        <w:rPr>
          <w:sz w:val="20"/>
          <w:szCs w:val="20"/>
          <w:color w:val="auto"/>
        </w:rPr>
      </w:pPr>
      <w:r>
        <w:rPr>
          <w:rFonts w:ascii="Arial" w:cs="Arial" w:eastAsia="Arial" w:hAnsi="Arial"/>
          <w:sz w:val="16"/>
          <w:szCs w:val="16"/>
          <w:color w:val="auto"/>
        </w:rPr>
        <w:t>Mr. Diarmaid Cunningham is Chief Administrative Officer, General Counsel, Executive Vice President and Company Secretary. Mr. Cunningham joined the Company as General Counsel in November 2009. From 2009 until 2013, Mr. Cunningham was based in the Company’s global headquarters in Dublin. In 2013, Mr. Cunningham was seconded to the Company’s US headquarters in Pennsylvania and that secondment ended in 2018 when Mr. Cunningham returned to Dublin. In July 2016, Mr. Cunningham’s role expanded to include Chief Administrative Officer in addition to General Counsel. This expansion of his role means Mr. Cunningham has responsibility to the Company’s Quality Assurance, Client Contracts Services, Facilities and Procurement groups in addition to his responsibility for the Company’s Legal group. Mr. Cunningham graduated with a Bachelor of Business and Legal Studies from University College Dublin in 1997, qualified as a lawyer in 2001 and completed the Stanford Executive Program at Stanford University in California in 2015. Mr. Cunningham served as Secretary to the Board of the Association of Clinical Research Organizations (ACRO) in 2013, 2014 and 2020 and has been appointed again for 2021. ACRO represents the CRO industry globally to key stakeholders including pharmaceutical, biotech and medical device companies, regulators, legislators and patient groups. Prior to joining the Company, Mr. Cunningham spent 10 years with A&amp;L Goodbody, one of Ireland's premier corporate law firms. In January 2021, Mr. Cunningham was appointed as a non-executive director of the Irish charity The Jack &amp; Jill Foundation.</w:t>
      </w:r>
    </w:p>
    <w:p>
      <w:pPr>
        <w:spacing w:after="0" w:line="219" w:lineRule="exact"/>
        <w:rPr>
          <w:sz w:val="20"/>
          <w:szCs w:val="20"/>
          <w:color w:val="auto"/>
        </w:rPr>
      </w:pPr>
    </w:p>
    <w:p>
      <w:pPr>
        <w:ind w:right="8320" w:firstLine="332"/>
        <w:spacing w:after="0" w:line="566" w:lineRule="auto"/>
        <w:tabs>
          <w:tab w:leader="none" w:pos="648"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Compensation Discussion &amp; Analysis</w:t>
      </w:r>
    </w:p>
    <w:p>
      <w:pPr>
        <w:spacing w:after="0"/>
        <w:rPr>
          <w:sz w:val="20"/>
          <w:szCs w:val="20"/>
          <w:color w:val="auto"/>
        </w:rPr>
      </w:pPr>
      <w:r>
        <w:rPr>
          <w:rFonts w:ascii="Arial" w:cs="Arial" w:eastAsia="Arial" w:hAnsi="Arial"/>
          <w:sz w:val="16"/>
          <w:szCs w:val="16"/>
          <w:i w:val="1"/>
          <w:iCs w:val="1"/>
          <w:color w:val="auto"/>
        </w:rPr>
        <w:t>Remuneration policy</w:t>
      </w:r>
    </w:p>
    <w:p>
      <w:pPr>
        <w:spacing w:after="0" w:line="26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6"/>
          <w:szCs w:val="16"/>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229" w:lineRule="exact"/>
        <w:rPr>
          <w:sz w:val="20"/>
          <w:szCs w:val="20"/>
          <w:color w:val="auto"/>
        </w:rPr>
      </w:pPr>
    </w:p>
    <w:p>
      <w:pPr>
        <w:jc w:val="both"/>
        <w:ind w:firstLine="208"/>
        <w:spacing w:after="0" w:line="251" w:lineRule="auto"/>
        <w:rPr>
          <w:sz w:val="20"/>
          <w:szCs w:val="20"/>
          <w:color w:val="auto"/>
        </w:rPr>
      </w:pPr>
      <w:r>
        <w:rPr>
          <w:rFonts w:ascii="Arial" w:cs="Arial" w:eastAsia="Arial" w:hAnsi="Arial"/>
          <w:sz w:val="16"/>
          <w:szCs w:val="16"/>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 Base salary, bonus awards and Directors’ fees were determined by the Compensation and Organization Committee in U.S. dollars or euro.</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a result of the impact of Covid-19 on operations, the Company introduced a number of cost containment measures during the year. One of the measures was to introduce a temporary salary reduction for all employees and the reduction of fees for outside Directors from mid-April 2020. The Chairman and CEO received a 40% reduction in fees and base salary and the CFO and each outside Director (excluding the Board Chairman) received a reduction of 30% of base salary and fees respectively. These reductions were kept under continual review and were suspended in September 2020. The reductions were reversed and paid in full prior to year-end.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Outside Directors’ remuneration</w:t>
      </w:r>
    </w:p>
    <w:p>
      <w:pPr>
        <w:spacing w:after="0" w:line="264" w:lineRule="exact"/>
        <w:rPr>
          <w:sz w:val="20"/>
          <w:szCs w:val="20"/>
          <w:color w:val="auto"/>
        </w:rPr>
      </w:pPr>
    </w:p>
    <w:p>
      <w:pPr>
        <w:jc w:val="both"/>
        <w:ind w:firstLine="232"/>
        <w:spacing w:after="0" w:line="260" w:lineRule="auto"/>
        <w:rPr>
          <w:sz w:val="20"/>
          <w:szCs w:val="20"/>
          <w:color w:val="auto"/>
        </w:rPr>
      </w:pPr>
      <w:r>
        <w:rPr>
          <w:rFonts w:ascii="Arial" w:cs="Arial" w:eastAsia="Arial" w:hAnsi="Arial"/>
          <w:sz w:val="16"/>
          <w:szCs w:val="16"/>
          <w:color w:val="auto"/>
        </w:rPr>
        <w:t>Outside Directors are remunerated by way of Directors’ fees and are also eligible for participation in the share equity incentive schemes. During 2020, each outside Director (excluding the Board Chairman) was paid an annual retainer of $65,000 and additional fees for Board Committee service.</w:t>
      </w:r>
    </w:p>
    <w:p>
      <w:pPr>
        <w:spacing w:after="0" w:line="222" w:lineRule="exact"/>
        <w:rPr>
          <w:sz w:val="20"/>
          <w:szCs w:val="20"/>
          <w:color w:val="auto"/>
        </w:rPr>
      </w:pPr>
    </w:p>
    <w:p>
      <w:pPr>
        <w:jc w:val="both"/>
        <w:ind w:right="20" w:firstLine="204"/>
        <w:spacing w:after="0" w:line="260" w:lineRule="auto"/>
        <w:rPr>
          <w:sz w:val="20"/>
          <w:szCs w:val="20"/>
          <w:color w:val="auto"/>
        </w:rPr>
      </w:pPr>
      <w:r>
        <w:rPr>
          <w:rFonts w:ascii="Arial" w:cs="Arial" w:eastAsia="Arial" w:hAnsi="Arial"/>
          <w:sz w:val="16"/>
          <w:szCs w:val="16"/>
          <w:color w:val="auto"/>
        </w:rPr>
        <w:t>Mr. Murray’s Executive Chairman term expired on May 12, 2018 and he transitioned to the outside Director role of Chairman. The arrangements with the Chairman of the Board provide for payment of €300,000 (translated at average rate for the year: $340,710) annually.</w:t>
      </w:r>
    </w:p>
    <w:p>
      <w:pPr>
        <w:spacing w:after="0" w:line="222" w:lineRule="exact"/>
        <w:rPr>
          <w:sz w:val="20"/>
          <w:szCs w:val="20"/>
          <w:color w:val="auto"/>
        </w:rPr>
      </w:pPr>
    </w:p>
    <w:p>
      <w:pPr>
        <w:jc w:val="both"/>
        <w:ind w:firstLine="184"/>
        <w:spacing w:after="0" w:line="260" w:lineRule="auto"/>
        <w:rPr>
          <w:sz w:val="20"/>
          <w:szCs w:val="20"/>
          <w:color w:val="auto"/>
        </w:rPr>
      </w:pPr>
      <w:r>
        <w:rPr>
          <w:rFonts w:ascii="Arial" w:cs="Arial" w:eastAsia="Arial" w:hAnsi="Arial"/>
          <w:sz w:val="16"/>
          <w:szCs w:val="16"/>
          <w:color w:val="auto"/>
        </w:rPr>
        <w:t>Mr. Rónán Murphy was appointed as Lead Independent Director with effect from January 1, 2019 and receives an additional annual fee of $25,000 for this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ind w:firstLine="284"/>
        <w:spacing w:after="0" w:line="260" w:lineRule="auto"/>
        <w:rPr>
          <w:sz w:val="20"/>
          <w:szCs w:val="20"/>
          <w:color w:val="auto"/>
        </w:rPr>
      </w:pPr>
      <w:r>
        <w:rPr>
          <w:rFonts w:ascii="Arial" w:cs="Arial" w:eastAsia="Arial" w:hAnsi="Arial"/>
          <w:sz w:val="16"/>
          <w:szCs w:val="16"/>
          <w:color w:val="auto"/>
        </w:rPr>
        <w:t>Outside Directors are not eligible for performance related bonuses and no pension contributions are made on their behalf. The Compensation and Organization Committee sets outside Directors' remuneration.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Directors’ and Key Executive Officers’ remuneration</w:t>
      </w:r>
    </w:p>
    <w:p>
      <w:pPr>
        <w:spacing w:after="0" w:line="264" w:lineRule="exact"/>
        <w:rPr>
          <w:sz w:val="20"/>
          <w:szCs w:val="20"/>
          <w:color w:val="auto"/>
        </w:rPr>
      </w:pPr>
    </w:p>
    <w:p>
      <w:pPr>
        <w:jc w:val="both"/>
        <w:ind w:firstLine="200"/>
        <w:spacing w:after="0" w:line="249" w:lineRule="auto"/>
        <w:rPr>
          <w:sz w:val="20"/>
          <w:szCs w:val="20"/>
          <w:color w:val="auto"/>
        </w:rPr>
      </w:pPr>
      <w:r>
        <w:rPr>
          <w:rFonts w:ascii="Arial" w:cs="Arial" w:eastAsia="Arial" w:hAnsi="Arial"/>
          <w:sz w:val="16"/>
          <w:szCs w:val="16"/>
          <w:color w:val="auto"/>
        </w:rPr>
        <w:t>Total cash compensation is divided into a base salary portion and a bonus incentive portion. The Committee targets total cash compensation with regard to healthcare/biopharmaceutical companies of similar market capitalization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50% and 100% with actual pay outs for 2020 ranging from 25% to 70% of salary based on group and individual performance.</w:t>
      </w:r>
    </w:p>
    <w:p>
      <w:pPr>
        <w:spacing w:after="0" w:line="232" w:lineRule="exact"/>
        <w:rPr>
          <w:sz w:val="20"/>
          <w:szCs w:val="20"/>
          <w:color w:val="auto"/>
        </w:rPr>
      </w:pPr>
    </w:p>
    <w:p>
      <w:pPr>
        <w:jc w:val="both"/>
        <w:ind w:firstLine="221"/>
        <w:spacing w:after="0" w:line="253" w:lineRule="auto"/>
        <w:rPr>
          <w:sz w:val="20"/>
          <w:szCs w:val="20"/>
          <w:color w:val="auto"/>
        </w:rPr>
      </w:pPr>
      <w:r>
        <w:rPr>
          <w:rFonts w:ascii="Arial" w:cs="Arial" w:eastAsia="Arial" w:hAnsi="Arial"/>
          <w:sz w:val="16"/>
          <w:szCs w:val="16"/>
          <w:color w:val="auto"/>
        </w:rPr>
        <w:t>A total bonus of $1.1 million was awarded to the following individuals; Dr. Steve Cutler Chief Executive Officer ($0.8 million) and Mr. Brendan Brennan Chief Financial Officer ($0.3 million) to reflect their contribution to the performance of the Company during 2020. These amounts were approved by the Compensation and Organization Committee and will be paid during the year ended December 31, 2021.</w:t>
      </w:r>
    </w:p>
    <w:p>
      <w:pPr>
        <w:spacing w:after="0" w:line="228" w:lineRule="exact"/>
        <w:rPr>
          <w:sz w:val="20"/>
          <w:szCs w:val="20"/>
          <w:color w:val="auto"/>
        </w:rPr>
      </w:pPr>
    </w:p>
    <w:p>
      <w:pPr>
        <w:jc w:val="both"/>
        <w:ind w:firstLine="184"/>
        <w:spacing w:after="0" w:line="249" w:lineRule="auto"/>
        <w:rPr>
          <w:sz w:val="20"/>
          <w:szCs w:val="20"/>
          <w:color w:val="auto"/>
        </w:rPr>
      </w:pPr>
      <w:r>
        <w:rPr>
          <w:rFonts w:ascii="Arial" w:cs="Arial" w:eastAsia="Arial" w:hAnsi="Arial"/>
          <w:sz w:val="16"/>
          <w:szCs w:val="16"/>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awards granted to each participant are determined primarily by the Committee at the start of each year based on peer groups and advice from independent compensation consultants.</w:t>
      </w:r>
    </w:p>
    <w:p>
      <w:pPr>
        <w:spacing w:after="0" w:line="232" w:lineRule="exact"/>
        <w:rPr>
          <w:sz w:val="20"/>
          <w:szCs w:val="20"/>
          <w:color w:val="auto"/>
        </w:rPr>
      </w:pPr>
    </w:p>
    <w:p>
      <w:pPr>
        <w:jc w:val="both"/>
        <w:ind w:firstLine="199"/>
        <w:spacing w:after="0" w:line="251" w:lineRule="auto"/>
        <w:rPr>
          <w:sz w:val="20"/>
          <w:szCs w:val="20"/>
          <w:color w:val="auto"/>
        </w:rPr>
      </w:pPr>
      <w:r>
        <w:rPr>
          <w:rFonts w:ascii="Arial" w:cs="Arial" w:eastAsia="Arial" w:hAnsi="Arial"/>
          <w:sz w:val="16"/>
          <w:szCs w:val="16"/>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party Agreements and Arrangements</w:t>
      </w:r>
    </w:p>
    <w:p>
      <w:pPr>
        <w:spacing w:after="0" w:line="264" w:lineRule="exact"/>
        <w:rPr>
          <w:sz w:val="20"/>
          <w:szCs w:val="20"/>
          <w:color w:val="auto"/>
        </w:rPr>
      </w:pPr>
    </w:p>
    <w:p>
      <w:pPr>
        <w:jc w:val="both"/>
        <w:ind w:firstLine="240"/>
        <w:spacing w:after="0" w:line="260" w:lineRule="auto"/>
        <w:rPr>
          <w:sz w:val="20"/>
          <w:szCs w:val="20"/>
          <w:color w:val="auto"/>
        </w:rPr>
      </w:pPr>
      <w:r>
        <w:rPr>
          <w:rFonts w:ascii="Arial" w:cs="Arial" w:eastAsia="Arial" w:hAnsi="Arial"/>
          <w:sz w:val="16"/>
          <w:szCs w:val="16"/>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Executive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Year ended December 31, 2020</w:t>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1920" w:type="dxa"/>
            <w:vAlign w:val="bottom"/>
            <w:tcBorders>
              <w:top w:val="single" w:sz="8" w:color="auto"/>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 &amp; principal</w:t>
            </w:r>
          </w:p>
        </w:tc>
        <w:tc>
          <w:tcPr>
            <w:tcW w:w="220" w:type="dxa"/>
            <w:vAlign w:val="bottom"/>
            <w:tcBorders>
              <w:top w:val="single" w:sz="8" w:color="auto"/>
              <w:right w:val="single" w:sz="8" w:color="CCEEFF"/>
            </w:tcBorders>
            <w:shd w:val="clear" w:color="auto" w:fill="CCEEFF"/>
          </w:tcPr>
          <w:p>
            <w:pPr>
              <w:spacing w:after="0"/>
              <w:rPr>
                <w:sz w:val="16"/>
                <w:szCs w:val="16"/>
                <w:color w:val="auto"/>
              </w:rPr>
            </w:pPr>
          </w:p>
        </w:tc>
        <w:tc>
          <w:tcPr>
            <w:tcW w:w="600" w:type="dxa"/>
            <w:vAlign w:val="bottom"/>
            <w:tcBorders>
              <w:top w:val="single" w:sz="8" w:color="auto"/>
              <w:right w:val="single" w:sz="8" w:color="auto"/>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Pension</w:t>
            </w:r>
          </w:p>
        </w:tc>
        <w:tc>
          <w:tcPr>
            <w:tcW w:w="1080" w:type="dxa"/>
            <w:vAlign w:val="bottom"/>
            <w:tcBorders>
              <w:top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All other</w:t>
            </w: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right w:val="single" w:sz="8" w:color="auto"/>
            </w:tcBorders>
            <w:shd w:val="clear" w:color="auto" w:fill="CCEEFF"/>
          </w:tcPr>
          <w:p>
            <w:pPr>
              <w:spacing w:after="0"/>
              <w:rPr>
                <w:sz w:val="16"/>
                <w:szCs w:val="16"/>
                <w:color w:val="auto"/>
              </w:rPr>
            </w:pPr>
          </w:p>
        </w:tc>
        <w:tc>
          <w:tcPr>
            <w:tcW w:w="2260" w:type="dxa"/>
            <w:vAlign w:val="bottom"/>
            <w:tcBorders>
              <w:top w:val="single" w:sz="8" w:color="auto"/>
              <w:right w:val="single" w:sz="8" w:color="auto"/>
            </w:tcBorders>
            <w:gridSpan w:val="2"/>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Share-based Director’s</w:t>
            </w:r>
          </w:p>
        </w:tc>
        <w:tc>
          <w:tcPr>
            <w:tcW w:w="1180" w:type="dxa"/>
            <w:vAlign w:val="bottom"/>
            <w:tcBorders>
              <w:top w:val="single" w:sz="8" w:color="auto"/>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Year</w:t>
            </w:r>
          </w:p>
        </w:tc>
        <w:tc>
          <w:tcPr>
            <w:tcW w:w="240" w:type="dxa"/>
            <w:vAlign w:val="bottom"/>
            <w:tcBorders>
              <w:right w:val="single" w:sz="8" w:color="CCEEFF"/>
            </w:tcBorders>
            <w:shd w:val="clear" w:color="auto" w:fill="CCEEFF"/>
          </w:tcPr>
          <w:p>
            <w:pPr>
              <w:spacing w:after="0"/>
              <w:rPr>
                <w:sz w:val="7"/>
                <w:szCs w:val="7"/>
                <w:color w:val="auto"/>
              </w:rPr>
            </w:pPr>
          </w:p>
        </w:tc>
        <w:tc>
          <w:tcPr>
            <w:tcW w:w="108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Salary</w:t>
            </w:r>
          </w:p>
        </w:tc>
        <w:tc>
          <w:tcPr>
            <w:tcW w:w="2700" w:type="dxa"/>
            <w:vAlign w:val="bottom"/>
            <w:tcBorders>
              <w:right w:val="single" w:sz="8" w:color="auto"/>
            </w:tcBorders>
            <w:gridSpan w:val="4"/>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Bonus contribution compensation</w:t>
            </w:r>
          </w:p>
        </w:tc>
        <w:tc>
          <w:tcPr>
            <w:tcW w:w="98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Subtotal</w:t>
            </w:r>
          </w:p>
        </w:tc>
        <w:tc>
          <w:tcPr>
            <w:tcW w:w="2260" w:type="dxa"/>
            <w:vAlign w:val="bottom"/>
            <w:tcBorders>
              <w:right w:val="single" w:sz="8" w:color="auto"/>
            </w:tcBorders>
            <w:gridSpan w:val="2"/>
            <w:vMerge w:val="continue"/>
            <w:shd w:val="clear" w:color="auto" w:fill="CCEEFF"/>
          </w:tcPr>
          <w:p>
            <w:pPr>
              <w:spacing w:after="0"/>
              <w:rPr>
                <w:sz w:val="7"/>
                <w:szCs w:val="7"/>
                <w:color w:val="auto"/>
              </w:rPr>
            </w:pPr>
          </w:p>
        </w:tc>
        <w:tc>
          <w:tcPr>
            <w:tcW w:w="118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15"/>
        </w:trPr>
        <w:tc>
          <w:tcPr>
            <w:tcW w:w="19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auto"/>
            </w:tcBorders>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700" w:type="dxa"/>
            <w:vAlign w:val="bottom"/>
            <w:tcBorders>
              <w:right w:val="single" w:sz="8" w:color="auto"/>
            </w:tcBorders>
            <w:gridSpan w:val="4"/>
            <w:vMerge w:val="continue"/>
            <w:shd w:val="clear" w:color="auto" w:fill="CCEEFF"/>
          </w:tcPr>
          <w:p>
            <w:pPr>
              <w:spacing w:after="0"/>
              <w:rPr>
                <w:sz w:val="18"/>
                <w:szCs w:val="18"/>
                <w:color w:val="auto"/>
              </w:rPr>
            </w:pPr>
          </w:p>
        </w:tc>
        <w:tc>
          <w:tcPr>
            <w:tcW w:w="980" w:type="dxa"/>
            <w:vAlign w:val="bottom"/>
            <w:tcBorders>
              <w:right w:val="single" w:sz="8" w:color="auto"/>
            </w:tcBorders>
            <w:gridSpan w:val="2"/>
            <w:vMerge w:val="continue"/>
            <w:shd w:val="clear" w:color="auto" w:fill="CCEEFF"/>
          </w:tcPr>
          <w:p>
            <w:pPr>
              <w:spacing w:after="0"/>
              <w:rPr>
                <w:sz w:val="18"/>
                <w:szCs w:val="18"/>
                <w:color w:val="auto"/>
              </w:rPr>
            </w:pPr>
          </w:p>
        </w:tc>
        <w:tc>
          <w:tcPr>
            <w:tcW w:w="2260" w:type="dxa"/>
            <w:vAlign w:val="bottom"/>
            <w:tcBorders>
              <w:right w:val="single" w:sz="8" w:color="auto"/>
            </w:tcBorders>
            <w:gridSpan w:val="2"/>
            <w:shd w:val="clear" w:color="auto" w:fill="CCEEFF"/>
          </w:tcPr>
          <w:p>
            <w:pPr>
              <w:jc w:val="center"/>
              <w:ind w:right="559"/>
              <w:spacing w:after="0"/>
              <w:rPr>
                <w:sz w:val="20"/>
                <w:szCs w:val="20"/>
                <w:color w:val="auto"/>
              </w:rPr>
            </w:pPr>
            <w:r>
              <w:rPr>
                <w:rFonts w:ascii="Arial" w:cs="Arial" w:eastAsia="Arial" w:hAnsi="Arial"/>
                <w:sz w:val="16"/>
                <w:szCs w:val="16"/>
                <w:b w:val="1"/>
                <w:bCs w:val="1"/>
                <w:color w:val="auto"/>
              </w:rPr>
              <w:t>compensation Fees</w:t>
            </w:r>
          </w:p>
        </w:tc>
        <w:tc>
          <w:tcPr>
            <w:tcW w:w="1180" w:type="dxa"/>
            <w:vAlign w:val="bottom"/>
            <w:tcBorders>
              <w:right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92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right w:val="single" w:sz="8" w:color="CCEEFF"/>
            </w:tcBorders>
            <w:shd w:val="clear" w:color="auto" w:fill="CCEEFF"/>
          </w:tcPr>
          <w:p>
            <w:pPr>
              <w:spacing w:after="0"/>
              <w:rPr>
                <w:sz w:val="7"/>
                <w:szCs w:val="7"/>
                <w:color w:val="auto"/>
              </w:rPr>
            </w:pPr>
          </w:p>
        </w:tc>
        <w:tc>
          <w:tcPr>
            <w:tcW w:w="600" w:type="dxa"/>
            <w:vAlign w:val="bottom"/>
            <w:tcBorders>
              <w:bottom w:val="single" w:sz="8" w:color="auto"/>
              <w:right w:val="single" w:sz="8" w:color="auto"/>
            </w:tcBorders>
            <w:shd w:val="clear" w:color="auto" w:fill="CCEEFF"/>
          </w:tcPr>
          <w:p>
            <w:pPr>
              <w:spacing w:after="0"/>
              <w:rPr>
                <w:sz w:val="7"/>
                <w:szCs w:val="7"/>
                <w:color w:val="auto"/>
              </w:rPr>
            </w:pPr>
          </w:p>
        </w:tc>
        <w:tc>
          <w:tcPr>
            <w:tcW w:w="240" w:type="dxa"/>
            <w:vAlign w:val="bottom"/>
            <w:tcBorders>
              <w:bottom w:val="single" w:sz="8" w:color="auto"/>
              <w:right w:val="single" w:sz="8" w:color="CCEEFF"/>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right w:val="single" w:sz="8" w:color="CCEEFF"/>
            </w:tcBorders>
            <w:shd w:val="clear" w:color="auto" w:fill="CCEEFF"/>
          </w:tcPr>
          <w:p>
            <w:pPr>
              <w:spacing w:after="0"/>
              <w:rPr>
                <w:sz w:val="7"/>
                <w:szCs w:val="7"/>
                <w:color w:val="auto"/>
              </w:rPr>
            </w:pPr>
          </w:p>
        </w:tc>
        <w:tc>
          <w:tcPr>
            <w:tcW w:w="240" w:type="dxa"/>
            <w:vAlign w:val="bottom"/>
            <w:tcBorders>
              <w:bottom w:val="single" w:sz="8" w:color="auto"/>
              <w:right w:val="single" w:sz="8" w:color="auto"/>
            </w:tcBorders>
            <w:shd w:val="clear" w:color="auto" w:fill="CCEEFF"/>
          </w:tcPr>
          <w:p>
            <w:pPr>
              <w:spacing w:after="0"/>
              <w:rPr>
                <w:sz w:val="7"/>
                <w:szCs w:val="7"/>
                <w:color w:val="auto"/>
              </w:rPr>
            </w:pPr>
          </w:p>
        </w:tc>
        <w:tc>
          <w:tcPr>
            <w:tcW w:w="880" w:type="dxa"/>
            <w:vAlign w:val="bottom"/>
            <w:tcBorders>
              <w:bottom w:val="single" w:sz="8" w:color="auto"/>
              <w:right w:val="single" w:sz="8" w:color="CCEEFF"/>
            </w:tcBorders>
            <w:shd w:val="clear" w:color="auto" w:fill="CCEEFF"/>
          </w:tcPr>
          <w:p>
            <w:pPr>
              <w:spacing w:after="0"/>
              <w:rPr>
                <w:sz w:val="7"/>
                <w:szCs w:val="7"/>
                <w:color w:val="auto"/>
              </w:rPr>
            </w:pPr>
          </w:p>
        </w:tc>
        <w:tc>
          <w:tcPr>
            <w:tcW w:w="100" w:type="dxa"/>
            <w:vAlign w:val="bottom"/>
            <w:tcBorders>
              <w:bottom w:val="single" w:sz="8" w:color="auto"/>
              <w:right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1140" w:type="dxa"/>
            <w:vAlign w:val="bottom"/>
            <w:tcBorders>
              <w:bottom w:val="single" w:sz="8" w:color="auto"/>
              <w:right w:val="single" w:sz="8" w:color="CCEEFF"/>
            </w:tcBorders>
            <w:shd w:val="clear" w:color="auto" w:fill="CCEEFF"/>
          </w:tcPr>
          <w:p>
            <w:pPr>
              <w:spacing w:after="0"/>
              <w:rPr>
                <w:sz w:val="7"/>
                <w:szCs w:val="7"/>
                <w:color w:val="auto"/>
              </w:rPr>
            </w:pPr>
          </w:p>
        </w:tc>
        <w:tc>
          <w:tcPr>
            <w:tcW w:w="4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9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$’000</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1280" w:type="dxa"/>
            <w:vAlign w:val="bottom"/>
          </w:tcPr>
          <w:p>
            <w:pPr>
              <w:ind w:left="760"/>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8"/>
        </w:trPr>
        <w:tc>
          <w:tcPr>
            <w:tcW w:w="192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Dr. Steve Cutler</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8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32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1,172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171</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6,453</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8,664</w:t>
            </w:r>
          </w:p>
        </w:tc>
        <w:tc>
          <w:tcPr>
            <w:tcW w:w="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92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Brendan Brennan,</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82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320" w:type="dxa"/>
            <w:vAlign w:val="bottom"/>
            <w:tcBorders>
              <w:bottom w:val="single" w:sz="8" w:color="auto"/>
            </w:tcBorders>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562</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70</w:t>
            </w:r>
          </w:p>
        </w:tc>
        <w:tc>
          <w:tcPr>
            <w:tcW w:w="10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1,366</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2,280</w:t>
            </w:r>
          </w:p>
        </w:tc>
        <w:tc>
          <w:tcPr>
            <w:tcW w:w="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8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3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1,734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1,046</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241</w:t>
            </w: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60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3,081</w:t>
            </w:r>
          </w:p>
        </w:tc>
        <w:tc>
          <w:tcPr>
            <w:tcW w:w="1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7,819</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10,944</w:t>
            </w:r>
          </w:p>
        </w:tc>
        <w:tc>
          <w:tcPr>
            <w:tcW w:w="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5680" w:type="dxa"/>
            <w:vAlign w:val="bottom"/>
            <w:gridSpan w:val="7"/>
          </w:tcPr>
          <w:p>
            <w:pPr>
              <w:spacing w:after="0"/>
              <w:rPr>
                <w:sz w:val="20"/>
                <w:szCs w:val="20"/>
                <w:color w:val="auto"/>
              </w:rPr>
            </w:pPr>
            <w:r>
              <w:rPr>
                <w:rFonts w:ascii="Arial" w:cs="Arial" w:eastAsia="Arial" w:hAnsi="Arial"/>
                <w:sz w:val="16"/>
                <w:szCs w:val="16"/>
                <w:b w:val="1"/>
                <w:bCs w:val="1"/>
                <w:color w:val="auto"/>
              </w:rPr>
              <w:t>Summary compensation table - Year ended December 31, 2019</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2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 &amp; principal</w:t>
            </w:r>
          </w:p>
        </w:tc>
        <w:tc>
          <w:tcPr>
            <w:tcW w:w="22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0"/>
              <w:spacing w:after="0" w:line="162" w:lineRule="exact"/>
              <w:rPr>
                <w:sz w:val="20"/>
                <w:szCs w:val="20"/>
                <w:color w:val="auto"/>
              </w:rPr>
            </w:pPr>
            <w:r>
              <w:rPr>
                <w:rFonts w:ascii="Arial" w:cs="Arial" w:eastAsia="Arial" w:hAnsi="Arial"/>
                <w:sz w:val="16"/>
                <w:szCs w:val="16"/>
                <w:b w:val="1"/>
                <w:bCs w:val="1"/>
                <w:color w:val="auto"/>
              </w:rPr>
              <w:t>Pension</w:t>
            </w:r>
          </w:p>
        </w:tc>
        <w:tc>
          <w:tcPr>
            <w:tcW w:w="1080" w:type="dxa"/>
            <w:vAlign w:val="bottom"/>
            <w:tcBorders>
              <w:right w:val="single" w:sz="8" w:color="auto"/>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b w:val="1"/>
                <w:bCs w:val="1"/>
                <w:color w:val="auto"/>
              </w:rPr>
              <w:t>All other</w:t>
            </w:r>
          </w:p>
        </w:tc>
        <w:tc>
          <w:tcPr>
            <w:tcW w:w="8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2260" w:type="dxa"/>
            <w:vAlign w:val="bottom"/>
            <w:tcBorders>
              <w:right w:val="single" w:sz="8" w:color="auto"/>
            </w:tcBorders>
            <w:gridSpan w:val="2"/>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Share-based Director’s</w:t>
            </w:r>
          </w:p>
        </w:tc>
        <w:tc>
          <w:tcPr>
            <w:tcW w:w="1180" w:type="dxa"/>
            <w:vAlign w:val="bottom"/>
            <w:tcBorders>
              <w:right w:val="single" w:sz="8" w:color="auto"/>
            </w:tcBorders>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1920" w:type="dxa"/>
            <w:vAlign w:val="bottom"/>
            <w:tcBorders>
              <w:left w:val="single" w:sz="8" w:color="auto"/>
              <w:right w:val="single" w:sz="8" w:color="auto"/>
            </w:tcBorders>
            <w:vMerge w:val="continue"/>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Year</w:t>
            </w:r>
          </w:p>
        </w:tc>
        <w:tc>
          <w:tcPr>
            <w:tcW w:w="240" w:type="dxa"/>
            <w:vAlign w:val="bottom"/>
            <w:tcBorders>
              <w:right w:val="single" w:sz="8" w:color="CCEEFF"/>
            </w:tcBorders>
            <w:shd w:val="clear" w:color="auto" w:fill="CCEEFF"/>
          </w:tcPr>
          <w:p>
            <w:pPr>
              <w:spacing w:after="0"/>
              <w:rPr>
                <w:sz w:val="7"/>
                <w:szCs w:val="7"/>
                <w:color w:val="auto"/>
              </w:rPr>
            </w:pPr>
          </w:p>
        </w:tc>
        <w:tc>
          <w:tcPr>
            <w:tcW w:w="108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Salary</w:t>
            </w:r>
          </w:p>
        </w:tc>
        <w:tc>
          <w:tcPr>
            <w:tcW w:w="2700" w:type="dxa"/>
            <w:vAlign w:val="bottom"/>
            <w:tcBorders>
              <w:right w:val="single" w:sz="8" w:color="auto"/>
            </w:tcBorders>
            <w:gridSpan w:val="4"/>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Bonus contribution compensation</w:t>
            </w:r>
          </w:p>
        </w:tc>
        <w:tc>
          <w:tcPr>
            <w:tcW w:w="98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Subtotal</w:t>
            </w:r>
          </w:p>
        </w:tc>
        <w:tc>
          <w:tcPr>
            <w:tcW w:w="2260" w:type="dxa"/>
            <w:vAlign w:val="bottom"/>
            <w:tcBorders>
              <w:right w:val="single" w:sz="8" w:color="auto"/>
            </w:tcBorders>
            <w:gridSpan w:val="2"/>
            <w:vMerge w:val="continue"/>
            <w:shd w:val="clear" w:color="auto" w:fill="CCEEFF"/>
          </w:tcPr>
          <w:p>
            <w:pPr>
              <w:spacing w:after="0"/>
              <w:rPr>
                <w:sz w:val="7"/>
                <w:szCs w:val="7"/>
                <w:color w:val="auto"/>
              </w:rPr>
            </w:pPr>
          </w:p>
        </w:tc>
        <w:tc>
          <w:tcPr>
            <w:tcW w:w="118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15"/>
        </w:trPr>
        <w:tc>
          <w:tcPr>
            <w:tcW w:w="19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auto"/>
            </w:tcBorders>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700" w:type="dxa"/>
            <w:vAlign w:val="bottom"/>
            <w:tcBorders>
              <w:right w:val="single" w:sz="8" w:color="auto"/>
            </w:tcBorders>
            <w:gridSpan w:val="4"/>
            <w:vMerge w:val="continue"/>
            <w:shd w:val="clear" w:color="auto" w:fill="CCEEFF"/>
          </w:tcPr>
          <w:p>
            <w:pPr>
              <w:spacing w:after="0"/>
              <w:rPr>
                <w:sz w:val="18"/>
                <w:szCs w:val="18"/>
                <w:color w:val="auto"/>
              </w:rPr>
            </w:pPr>
          </w:p>
        </w:tc>
        <w:tc>
          <w:tcPr>
            <w:tcW w:w="980" w:type="dxa"/>
            <w:vAlign w:val="bottom"/>
            <w:tcBorders>
              <w:right w:val="single" w:sz="8" w:color="auto"/>
            </w:tcBorders>
            <w:gridSpan w:val="2"/>
            <w:vMerge w:val="continue"/>
            <w:shd w:val="clear" w:color="auto" w:fill="CCEEFF"/>
          </w:tcPr>
          <w:p>
            <w:pPr>
              <w:spacing w:after="0"/>
              <w:rPr>
                <w:sz w:val="18"/>
                <w:szCs w:val="18"/>
                <w:color w:val="auto"/>
              </w:rPr>
            </w:pPr>
          </w:p>
        </w:tc>
        <w:tc>
          <w:tcPr>
            <w:tcW w:w="2260" w:type="dxa"/>
            <w:vAlign w:val="bottom"/>
            <w:tcBorders>
              <w:right w:val="single" w:sz="8" w:color="auto"/>
            </w:tcBorders>
            <w:gridSpan w:val="2"/>
            <w:shd w:val="clear" w:color="auto" w:fill="CCEEFF"/>
          </w:tcPr>
          <w:p>
            <w:pPr>
              <w:jc w:val="center"/>
              <w:ind w:right="559"/>
              <w:spacing w:after="0"/>
              <w:rPr>
                <w:sz w:val="20"/>
                <w:szCs w:val="20"/>
                <w:color w:val="auto"/>
              </w:rPr>
            </w:pPr>
            <w:r>
              <w:rPr>
                <w:rFonts w:ascii="Arial" w:cs="Arial" w:eastAsia="Arial" w:hAnsi="Arial"/>
                <w:sz w:val="16"/>
                <w:szCs w:val="16"/>
                <w:b w:val="1"/>
                <w:bCs w:val="1"/>
                <w:color w:val="auto"/>
              </w:rPr>
              <w:t>compensation Fees</w:t>
            </w:r>
          </w:p>
        </w:tc>
        <w:tc>
          <w:tcPr>
            <w:tcW w:w="1180" w:type="dxa"/>
            <w:vAlign w:val="bottom"/>
            <w:tcBorders>
              <w:right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192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220" w:type="dxa"/>
            <w:vAlign w:val="bottom"/>
            <w:tcBorders>
              <w:bottom w:val="single" w:sz="8" w:color="auto"/>
              <w:right w:val="single" w:sz="8" w:color="CCEEFF"/>
            </w:tcBorders>
            <w:shd w:val="clear" w:color="auto" w:fill="CCEEFF"/>
          </w:tcPr>
          <w:p>
            <w:pPr>
              <w:spacing w:after="0"/>
              <w:rPr>
                <w:sz w:val="7"/>
                <w:szCs w:val="7"/>
                <w:color w:val="auto"/>
              </w:rPr>
            </w:pPr>
          </w:p>
        </w:tc>
        <w:tc>
          <w:tcPr>
            <w:tcW w:w="600" w:type="dxa"/>
            <w:vAlign w:val="bottom"/>
            <w:tcBorders>
              <w:bottom w:val="single" w:sz="8" w:color="auto"/>
              <w:right w:val="single" w:sz="8" w:color="auto"/>
            </w:tcBorders>
            <w:shd w:val="clear" w:color="auto" w:fill="CCEEFF"/>
          </w:tcPr>
          <w:p>
            <w:pPr>
              <w:spacing w:after="0"/>
              <w:rPr>
                <w:sz w:val="7"/>
                <w:szCs w:val="7"/>
                <w:color w:val="auto"/>
              </w:rPr>
            </w:pPr>
          </w:p>
        </w:tc>
        <w:tc>
          <w:tcPr>
            <w:tcW w:w="240" w:type="dxa"/>
            <w:vAlign w:val="bottom"/>
            <w:tcBorders>
              <w:bottom w:val="single" w:sz="8" w:color="auto"/>
              <w:right w:val="single" w:sz="8" w:color="CCEEFF"/>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right w:val="single" w:sz="8" w:color="CCEEFF"/>
            </w:tcBorders>
            <w:shd w:val="clear" w:color="auto" w:fill="CCEEFF"/>
          </w:tcPr>
          <w:p>
            <w:pPr>
              <w:spacing w:after="0"/>
              <w:rPr>
                <w:sz w:val="7"/>
                <w:szCs w:val="7"/>
                <w:color w:val="auto"/>
              </w:rPr>
            </w:pPr>
          </w:p>
        </w:tc>
        <w:tc>
          <w:tcPr>
            <w:tcW w:w="240" w:type="dxa"/>
            <w:vAlign w:val="bottom"/>
            <w:tcBorders>
              <w:bottom w:val="single" w:sz="8" w:color="auto"/>
              <w:right w:val="single" w:sz="8" w:color="auto"/>
            </w:tcBorders>
            <w:shd w:val="clear" w:color="auto" w:fill="CCEEFF"/>
          </w:tcPr>
          <w:p>
            <w:pPr>
              <w:spacing w:after="0"/>
              <w:rPr>
                <w:sz w:val="7"/>
                <w:szCs w:val="7"/>
                <w:color w:val="auto"/>
              </w:rPr>
            </w:pPr>
          </w:p>
        </w:tc>
        <w:tc>
          <w:tcPr>
            <w:tcW w:w="880" w:type="dxa"/>
            <w:vAlign w:val="bottom"/>
            <w:tcBorders>
              <w:bottom w:val="single" w:sz="8" w:color="auto"/>
              <w:right w:val="single" w:sz="8" w:color="CCEEFF"/>
            </w:tcBorders>
            <w:shd w:val="clear" w:color="auto" w:fill="CCEEFF"/>
          </w:tcPr>
          <w:p>
            <w:pPr>
              <w:spacing w:after="0"/>
              <w:rPr>
                <w:sz w:val="7"/>
                <w:szCs w:val="7"/>
                <w:color w:val="auto"/>
              </w:rPr>
            </w:pPr>
          </w:p>
        </w:tc>
        <w:tc>
          <w:tcPr>
            <w:tcW w:w="100" w:type="dxa"/>
            <w:vAlign w:val="bottom"/>
            <w:tcBorders>
              <w:bottom w:val="single" w:sz="8" w:color="auto"/>
              <w:right w:val="single" w:sz="8" w:color="auto"/>
            </w:tcBorders>
            <w:shd w:val="clear" w:color="auto" w:fill="CCEEFF"/>
          </w:tcPr>
          <w:p>
            <w:pPr>
              <w:spacing w:after="0"/>
              <w:rPr>
                <w:sz w:val="7"/>
                <w:szCs w:val="7"/>
                <w:color w:val="auto"/>
              </w:rPr>
            </w:pPr>
          </w:p>
        </w:tc>
        <w:tc>
          <w:tcPr>
            <w:tcW w:w="128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1140" w:type="dxa"/>
            <w:vAlign w:val="bottom"/>
            <w:tcBorders>
              <w:bottom w:val="single" w:sz="8" w:color="auto"/>
              <w:right w:val="single" w:sz="8" w:color="CCEEFF"/>
            </w:tcBorders>
            <w:shd w:val="clear" w:color="auto" w:fill="CCEEFF"/>
          </w:tcPr>
          <w:p>
            <w:pPr>
              <w:spacing w:after="0"/>
              <w:rPr>
                <w:sz w:val="7"/>
                <w:szCs w:val="7"/>
                <w:color w:val="auto"/>
              </w:rPr>
            </w:pPr>
          </w:p>
        </w:tc>
        <w:tc>
          <w:tcPr>
            <w:tcW w:w="4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19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$’000</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100" w:type="dxa"/>
            <w:vAlign w:val="bottom"/>
          </w:tcPr>
          <w:p>
            <w:pPr>
              <w:jc w:val="right"/>
              <w:ind w:right="40"/>
              <w:spacing w:after="0"/>
              <w:rPr>
                <w:sz w:val="20"/>
                <w:szCs w:val="20"/>
                <w:color w:val="auto"/>
              </w:rPr>
            </w:pPr>
            <w:r>
              <w:rPr>
                <w:rFonts w:ascii="Arial" w:cs="Arial" w:eastAsia="Arial" w:hAnsi="Arial"/>
                <w:sz w:val="16"/>
                <w:szCs w:val="16"/>
                <w:b w:val="1"/>
                <w:bCs w:val="1"/>
                <w:color w:val="auto"/>
              </w:rPr>
              <w:t>$’000</w:t>
            </w:r>
          </w:p>
        </w:tc>
        <w:tc>
          <w:tcPr>
            <w:tcW w:w="10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1280" w:type="dxa"/>
            <w:vAlign w:val="bottom"/>
          </w:tcPr>
          <w:p>
            <w:pPr>
              <w:ind w:left="760"/>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8"/>
        </w:trPr>
        <w:tc>
          <w:tcPr>
            <w:tcW w:w="192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Dr. Steve Cutler</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8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32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1,112</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178</w:t>
            </w:r>
          </w:p>
        </w:tc>
        <w:tc>
          <w:tcPr>
            <w:tcW w:w="10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00" w:type="dxa"/>
            <w:vAlign w:val="bottom"/>
            <w:tcBorders>
              <w:right w:val="single" w:sz="8" w:color="auto"/>
            </w:tcBorders>
            <w:shd w:val="clear" w:color="auto" w:fill="CCEEFF"/>
          </w:tcPr>
          <w:p>
            <w:pPr>
              <w:spacing w:after="0"/>
              <w:rPr>
                <w:sz w:val="17"/>
                <w:szCs w:val="17"/>
                <w:color w:val="auto"/>
              </w:rPr>
            </w:pPr>
          </w:p>
        </w:tc>
        <w:tc>
          <w:tcPr>
            <w:tcW w:w="12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5,355</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7,669</w:t>
            </w:r>
          </w:p>
        </w:tc>
        <w:tc>
          <w:tcPr>
            <w:tcW w:w="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920" w:type="dxa"/>
            <w:vAlign w:val="bottom"/>
            <w:tcBorders>
              <w:left w:val="single" w:sz="8" w:color="auto"/>
              <w:right w:val="single" w:sz="8" w:color="auto"/>
            </w:tcBorders>
            <w:shd w:val="clear" w:color="auto" w:fill="CCEEFF"/>
          </w:tcPr>
          <w:p>
            <w:pPr>
              <w:ind w:left="40"/>
              <w:spacing w:after="0" w:line="178" w:lineRule="exact"/>
              <w:rPr>
                <w:sz w:val="20"/>
                <w:szCs w:val="20"/>
                <w:color w:val="auto"/>
              </w:rPr>
            </w:pPr>
            <w:r>
              <w:rPr>
                <w:rFonts w:ascii="Arial" w:cs="Arial" w:eastAsia="Arial" w:hAnsi="Arial"/>
                <w:sz w:val="16"/>
                <w:szCs w:val="16"/>
                <w:color w:val="auto"/>
              </w:rPr>
              <w:t>Brendan Brennan,</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8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82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320" w:type="dxa"/>
            <w:vAlign w:val="bottom"/>
            <w:tcBorders>
              <w:bottom w:val="single" w:sz="8" w:color="auto"/>
            </w:tcBorders>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536</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67</w:t>
            </w:r>
          </w:p>
        </w:tc>
        <w:tc>
          <w:tcPr>
            <w:tcW w:w="1080" w:type="dxa"/>
            <w:vAlign w:val="bottom"/>
            <w:tcBorders>
              <w:bottom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1,336</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8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13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1,648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1,220</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245</w:t>
            </w:r>
          </w:p>
        </w:tc>
        <w:tc>
          <w:tcPr>
            <w:tcW w:w="108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57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3,170</w:t>
            </w:r>
          </w:p>
        </w:tc>
        <w:tc>
          <w:tcPr>
            <w:tcW w:w="100" w:type="dxa"/>
            <w:vAlign w:val="bottom"/>
            <w:tcBorders>
              <w:bottom w:val="single" w:sz="8" w:color="auto"/>
              <w:right w:val="single" w:sz="8" w:color="auto"/>
            </w:tcBorders>
          </w:tcPr>
          <w:p>
            <w:pPr>
              <w:spacing w:after="0"/>
              <w:rPr>
                <w:sz w:val="19"/>
                <w:szCs w:val="19"/>
                <w:color w:val="auto"/>
              </w:rPr>
            </w:pP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6,691</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9,905</w:t>
            </w:r>
          </w:p>
        </w:tc>
        <w:tc>
          <w:tcPr>
            <w:tcW w:w="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38"/>
        </w:trPr>
        <w:tc>
          <w:tcPr>
            <w:tcW w:w="1920" w:type="dxa"/>
            <w:vAlign w:val="bottom"/>
          </w:tcPr>
          <w:p>
            <w:pPr>
              <w:spacing w:after="0"/>
              <w:rPr>
                <w:sz w:val="20"/>
                <w:szCs w:val="20"/>
                <w:color w:val="auto"/>
              </w:rPr>
            </w:pPr>
            <w:r>
              <w:rPr>
                <w:rFonts w:ascii="Arial" w:cs="Arial" w:eastAsia="Arial" w:hAnsi="Arial"/>
                <w:sz w:val="16"/>
                <w:szCs w:val="16"/>
                <w:b w:val="1"/>
                <w:bCs w:val="1"/>
                <w:color w:val="auto"/>
              </w:rPr>
              <w:t>Director Compensation</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80" w:type="dxa"/>
            <w:vAlign w:val="bottom"/>
            <w:gridSpan w:val="7"/>
          </w:tcPr>
          <w:p>
            <w:pPr>
              <w:spacing w:after="0"/>
              <w:rPr>
                <w:sz w:val="20"/>
                <w:szCs w:val="20"/>
                <w:color w:val="auto"/>
              </w:rPr>
            </w:pPr>
            <w:r>
              <w:rPr>
                <w:rFonts w:ascii="Arial" w:cs="Arial" w:eastAsia="Arial" w:hAnsi="Arial"/>
                <w:sz w:val="16"/>
                <w:szCs w:val="16"/>
                <w:b w:val="1"/>
                <w:bCs w:val="1"/>
                <w:color w:val="auto"/>
              </w:rPr>
              <w:t>Summary compensation table - Year ended December 31, 2020</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920" w:type="dxa"/>
            <w:vAlign w:val="bottom"/>
            <w:tcBorders>
              <w:left w:val="single" w:sz="8" w:color="auto"/>
              <w:right w:val="single" w:sz="8" w:color="CCEEFF"/>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220" w:type="dxa"/>
            <w:vAlign w:val="bottom"/>
            <w:tcBorders>
              <w:right w:val="single" w:sz="8" w:color="auto"/>
            </w:tcBorders>
            <w:shd w:val="clear" w:color="auto" w:fill="CCEEFF"/>
          </w:tcPr>
          <w:p>
            <w:pPr>
              <w:spacing w:after="0"/>
              <w:rPr>
                <w:sz w:val="18"/>
                <w:szCs w:val="18"/>
                <w:color w:val="auto"/>
              </w:rPr>
            </w:pPr>
          </w:p>
        </w:tc>
        <w:tc>
          <w:tcPr>
            <w:tcW w:w="600" w:type="dxa"/>
            <w:vAlign w:val="bottom"/>
            <w:tcBorders>
              <w:right w:val="single" w:sz="8" w:color="CCEEFF"/>
            </w:tcBorders>
            <w:vMerge w:val="restart"/>
            <w:shd w:val="clear" w:color="auto" w:fill="CCEEFF"/>
          </w:tcPr>
          <w:p>
            <w:pPr>
              <w:ind w:left="240"/>
              <w:spacing w:after="0"/>
              <w:rPr>
                <w:sz w:val="20"/>
                <w:szCs w:val="20"/>
                <w:color w:val="auto"/>
              </w:rPr>
            </w:pPr>
            <w:r>
              <w:rPr>
                <w:rFonts w:ascii="Arial" w:cs="Arial" w:eastAsia="Arial" w:hAnsi="Arial"/>
                <w:sz w:val="16"/>
                <w:szCs w:val="16"/>
                <w:b w:val="1"/>
                <w:bCs w:val="1"/>
                <w:color w:val="auto"/>
                <w:w w:val="92"/>
              </w:rPr>
              <w:t>Year</w:t>
            </w:r>
          </w:p>
        </w:tc>
        <w:tc>
          <w:tcPr>
            <w:tcW w:w="240" w:type="dxa"/>
            <w:vAlign w:val="bottom"/>
            <w:tcBorders>
              <w:right w:val="single" w:sz="8" w:color="auto"/>
            </w:tcBorders>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Salary</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w w:val="98"/>
              </w:rPr>
              <w:t>Company</w:t>
            </w: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All other</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Subtotal</w:t>
            </w:r>
          </w:p>
        </w:tc>
        <w:tc>
          <w:tcPr>
            <w:tcW w:w="100" w:type="dxa"/>
            <w:vAlign w:val="bottom"/>
            <w:tcBorders>
              <w:right w:val="single" w:sz="8" w:color="CCEEFF"/>
            </w:tcBorders>
            <w:shd w:val="clear" w:color="auto" w:fill="CCEEFF"/>
          </w:tcPr>
          <w:p>
            <w:pPr>
              <w:spacing w:after="0"/>
              <w:rPr>
                <w:sz w:val="18"/>
                <w:szCs w:val="18"/>
                <w:color w:val="auto"/>
              </w:rPr>
            </w:pPr>
          </w:p>
        </w:tc>
        <w:tc>
          <w:tcPr>
            <w:tcW w:w="12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Share-based</w:t>
            </w:r>
          </w:p>
        </w:tc>
        <w:tc>
          <w:tcPr>
            <w:tcW w:w="9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Director’s</w:t>
            </w: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920" w:type="dxa"/>
            <w:vAlign w:val="bottom"/>
            <w:tcBorders>
              <w:left w:val="single" w:sz="8" w:color="auto"/>
              <w:right w:val="single" w:sz="8" w:color="CCEEFF"/>
            </w:tcBorders>
            <w:vMerge w:val="continue"/>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600" w:type="dxa"/>
            <w:vAlign w:val="bottom"/>
            <w:tcBorders>
              <w:right w:val="single" w:sz="8" w:color="CCEEFF"/>
            </w:tcBorders>
            <w:vMerge w:val="continue"/>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080" w:type="dxa"/>
            <w:vAlign w:val="bottom"/>
            <w:vMerge w:val="continue"/>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40" w:type="dxa"/>
            <w:vAlign w:val="bottom"/>
            <w:tcBorders>
              <w:right w:val="single" w:sz="8" w:color="auto"/>
            </w:tcBorders>
            <w:vMerge w:val="continue"/>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80" w:type="dxa"/>
            <w:vAlign w:val="bottom"/>
            <w:tcBorders>
              <w:right w:val="single" w:sz="8" w:color="auto"/>
            </w:tcBorders>
            <w:vMerge w:val="continue"/>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80" w:type="dxa"/>
            <w:vAlign w:val="bottom"/>
            <w:vMerge w:val="continue"/>
            <w:shd w:val="clear" w:color="auto" w:fill="CCEEFF"/>
          </w:tcPr>
          <w:p>
            <w:pPr>
              <w:spacing w:after="0"/>
              <w:rPr>
                <w:sz w:val="2"/>
                <w:szCs w:val="2"/>
                <w:color w:val="auto"/>
              </w:rPr>
            </w:pPr>
          </w:p>
        </w:tc>
        <w:tc>
          <w:tcPr>
            <w:tcW w:w="980" w:type="dxa"/>
            <w:vAlign w:val="bottom"/>
            <w:tcBorders>
              <w:right w:val="single" w:sz="8" w:color="auto"/>
            </w:tcBorders>
            <w:vMerge w:val="continue"/>
            <w:shd w:val="clear" w:color="auto" w:fill="CCEEFF"/>
          </w:tcPr>
          <w:p>
            <w:pPr>
              <w:spacing w:after="0"/>
              <w:rPr>
                <w:sz w:val="2"/>
                <w:szCs w:val="2"/>
                <w:color w:val="auto"/>
              </w:rPr>
            </w:pPr>
          </w:p>
        </w:tc>
        <w:tc>
          <w:tcPr>
            <w:tcW w:w="1140" w:type="dxa"/>
            <w:vAlign w:val="bottom"/>
            <w:tcBorders>
              <w:right w:val="single" w:sz="8" w:color="auto"/>
            </w:tcBorders>
            <w:vMerge w:val="continue"/>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920" w:type="dxa"/>
            <w:vAlign w:val="bottom"/>
            <w:tcBorders>
              <w:left w:val="single" w:sz="8" w:color="auto"/>
              <w:right w:val="single" w:sz="8" w:color="CCEEFF"/>
            </w:tcBorders>
            <w:vMerge w:val="continue"/>
            <w:shd w:val="clear" w:color="auto" w:fill="CCEEFF"/>
          </w:tcPr>
          <w:p>
            <w:pPr>
              <w:spacing w:after="0"/>
              <w:rPr>
                <w:sz w:val="14"/>
                <w:szCs w:val="14"/>
                <w:color w:val="auto"/>
              </w:rPr>
            </w:pPr>
          </w:p>
        </w:tc>
        <w:tc>
          <w:tcPr>
            <w:tcW w:w="220" w:type="dxa"/>
            <w:vAlign w:val="bottom"/>
            <w:tcBorders>
              <w:right w:val="single" w:sz="8" w:color="auto"/>
            </w:tcBorders>
            <w:shd w:val="clear" w:color="auto" w:fill="CCEEFF"/>
          </w:tcPr>
          <w:p>
            <w:pPr>
              <w:spacing w:after="0"/>
              <w:rPr>
                <w:sz w:val="14"/>
                <w:szCs w:val="14"/>
                <w:color w:val="auto"/>
              </w:rPr>
            </w:pPr>
          </w:p>
        </w:tc>
        <w:tc>
          <w:tcPr>
            <w:tcW w:w="600" w:type="dxa"/>
            <w:vAlign w:val="bottom"/>
            <w:tcBorders>
              <w:right w:val="single" w:sz="8" w:color="CCEEFF"/>
            </w:tcBorders>
            <w:vMerge w:val="continue"/>
            <w:shd w:val="clear" w:color="auto" w:fill="CCEEFF"/>
          </w:tcPr>
          <w:p>
            <w:pPr>
              <w:spacing w:after="0"/>
              <w:rPr>
                <w:sz w:val="14"/>
                <w:szCs w:val="14"/>
                <w:color w:val="auto"/>
              </w:rPr>
            </w:pPr>
          </w:p>
        </w:tc>
        <w:tc>
          <w:tcPr>
            <w:tcW w:w="240" w:type="dxa"/>
            <w:vAlign w:val="bottom"/>
            <w:tcBorders>
              <w:right w:val="single" w:sz="8" w:color="auto"/>
            </w:tcBorders>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940" w:type="dxa"/>
            <w:vAlign w:val="bottom"/>
            <w:tcBorders>
              <w:right w:val="single" w:sz="8" w:color="auto"/>
            </w:tcBorders>
            <w:gridSpan w:val="2"/>
            <w:shd w:val="clear" w:color="auto" w:fill="CCEEFF"/>
          </w:tcPr>
          <w:p>
            <w:pPr>
              <w:jc w:val="right"/>
              <w:spacing w:after="0" w:line="162" w:lineRule="exact"/>
              <w:rPr>
                <w:sz w:val="20"/>
                <w:szCs w:val="20"/>
                <w:color w:val="auto"/>
              </w:rPr>
            </w:pPr>
            <w:r>
              <w:rPr>
                <w:rFonts w:ascii="Arial" w:cs="Arial" w:eastAsia="Arial" w:hAnsi="Arial"/>
                <w:sz w:val="18"/>
                <w:szCs w:val="18"/>
                <w:b w:val="1"/>
                <w:bCs w:val="1"/>
                <w:color w:val="auto"/>
                <w:vertAlign w:val="superscript"/>
              </w:rPr>
              <w:t>pension</w:t>
            </w:r>
            <w:r>
              <w:rPr>
                <w:rFonts w:ascii="Arial" w:cs="Arial" w:eastAsia="Arial" w:hAnsi="Arial"/>
                <w:sz w:val="11"/>
                <w:szCs w:val="11"/>
                <w:b w:val="1"/>
                <w:bCs w:val="1"/>
                <w:color w:val="auto"/>
              </w:rPr>
              <w:t xml:space="preserve"> compensation</w:t>
            </w:r>
          </w:p>
        </w:tc>
        <w:tc>
          <w:tcPr>
            <w:tcW w:w="24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auto"/>
            </w:tcBorders>
            <w:vMerge w:val="continue"/>
            <w:shd w:val="clear" w:color="auto" w:fill="CCEEFF"/>
          </w:tcPr>
          <w:p>
            <w:pPr>
              <w:spacing w:after="0"/>
              <w:rPr>
                <w:sz w:val="14"/>
                <w:szCs w:val="14"/>
                <w:color w:val="auto"/>
              </w:rPr>
            </w:pPr>
          </w:p>
        </w:tc>
        <w:tc>
          <w:tcPr>
            <w:tcW w:w="1380" w:type="dxa"/>
            <w:vAlign w:val="bottom"/>
            <w:gridSpan w:val="2"/>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compensation</w:t>
            </w:r>
          </w:p>
        </w:tc>
        <w:tc>
          <w:tcPr>
            <w:tcW w:w="980" w:type="dxa"/>
            <w:vAlign w:val="bottom"/>
            <w:tcBorders>
              <w:right w:val="single" w:sz="8" w:color="auto"/>
            </w:tcBorders>
            <w:shd w:val="clear" w:color="auto" w:fill="CCEEFF"/>
          </w:tcPr>
          <w:p>
            <w:pPr>
              <w:jc w:val="right"/>
              <w:ind w:right="19"/>
              <w:spacing w:after="0" w:line="162" w:lineRule="exact"/>
              <w:rPr>
                <w:sz w:val="20"/>
                <w:szCs w:val="20"/>
                <w:color w:val="auto"/>
              </w:rPr>
            </w:pPr>
            <w:r>
              <w:rPr>
                <w:rFonts w:ascii="Arial" w:cs="Arial" w:eastAsia="Arial" w:hAnsi="Arial"/>
                <w:sz w:val="16"/>
                <w:szCs w:val="16"/>
                <w:b w:val="1"/>
                <w:bCs w:val="1"/>
                <w:color w:val="auto"/>
              </w:rPr>
              <w:t>fees</w:t>
            </w:r>
          </w:p>
        </w:tc>
        <w:tc>
          <w:tcPr>
            <w:tcW w:w="1140" w:type="dxa"/>
            <w:vAlign w:val="bottom"/>
            <w:tcBorders>
              <w:right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w w:val="97"/>
              </w:rPr>
              <w:t>Compensation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tcBorders>
              <w:left w:val="single" w:sz="8" w:color="auto"/>
              <w:bottom w:val="single" w:sz="8" w:color="auto"/>
              <w:right w:val="single" w:sz="8" w:color="CCEEFF"/>
            </w:tcBorders>
            <w:shd w:val="clear" w:color="auto" w:fill="CCEEFF"/>
          </w:tcPr>
          <w:p>
            <w:pPr>
              <w:spacing w:after="0"/>
              <w:rPr>
                <w:sz w:val="12"/>
                <w:szCs w:val="12"/>
                <w:color w:val="auto"/>
              </w:rPr>
            </w:pPr>
          </w:p>
        </w:tc>
        <w:tc>
          <w:tcPr>
            <w:tcW w:w="220" w:type="dxa"/>
            <w:vAlign w:val="bottom"/>
            <w:tcBorders>
              <w:bottom w:val="single" w:sz="8" w:color="auto"/>
              <w:right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CCEEFF"/>
            </w:tcBorders>
            <w:shd w:val="clear" w:color="auto" w:fill="CCEEFF"/>
          </w:tcPr>
          <w:p>
            <w:pPr>
              <w:spacing w:after="0"/>
              <w:rPr>
                <w:sz w:val="12"/>
                <w:szCs w:val="12"/>
                <w:color w:val="auto"/>
              </w:rPr>
            </w:pPr>
          </w:p>
        </w:tc>
        <w:tc>
          <w:tcPr>
            <w:tcW w:w="240" w:type="dxa"/>
            <w:vAlign w:val="bottom"/>
            <w:tcBorders>
              <w:bottom w:val="single" w:sz="8" w:color="auto"/>
              <w:right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gridSpan w:val="2"/>
            <w:shd w:val="clear" w:color="auto" w:fill="CCEEFF"/>
          </w:tcPr>
          <w:p>
            <w:pPr>
              <w:jc w:val="right"/>
              <w:ind w:right="280"/>
              <w:spacing w:after="0" w:line="135" w:lineRule="exact"/>
              <w:rPr>
                <w:sz w:val="20"/>
                <w:szCs w:val="20"/>
                <w:color w:val="auto"/>
              </w:rPr>
            </w:pPr>
            <w:r>
              <w:rPr>
                <w:rFonts w:ascii="Arial" w:cs="Arial" w:eastAsia="Arial" w:hAnsi="Arial"/>
                <w:sz w:val="15"/>
                <w:szCs w:val="15"/>
                <w:b w:val="1"/>
                <w:bCs w:val="1"/>
                <w:color w:val="auto"/>
              </w:rPr>
              <w:t>contribution</w:t>
            </w: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240" w:type="dxa"/>
            <w:vAlign w:val="bottom"/>
            <w:tcBorders>
              <w:bottom w:val="single" w:sz="8" w:color="auto"/>
              <w:right w:val="single" w:sz="8" w:color="CCEEFF"/>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0" w:type="dxa"/>
            <w:vAlign w:val="bottom"/>
            <w:tcBorders>
              <w:bottom w:val="single" w:sz="8" w:color="auto"/>
              <w:right w:val="single" w:sz="8" w:color="CCEEFF"/>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140" w:type="dxa"/>
            <w:vAlign w:val="bottom"/>
            <w:tcBorders>
              <w:bottom w:val="single" w:sz="8" w:color="auto"/>
              <w:right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92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520" w:type="dxa"/>
            <w:vAlign w:val="bottom"/>
          </w:tcPr>
          <w:p>
            <w:pPr>
              <w:spacing w:after="0"/>
              <w:rPr>
                <w:sz w:val="18"/>
                <w:szCs w:val="18"/>
                <w:color w:val="auto"/>
              </w:rPr>
            </w:pPr>
          </w:p>
        </w:tc>
        <w:tc>
          <w:tcPr>
            <w:tcW w:w="1100" w:type="dxa"/>
            <w:vAlign w:val="bottom"/>
          </w:tcPr>
          <w:p>
            <w:pPr>
              <w:jc w:val="right"/>
              <w:ind w:right="280"/>
              <w:spacing w:after="0"/>
              <w:rPr>
                <w:sz w:val="20"/>
                <w:szCs w:val="20"/>
                <w:color w:val="auto"/>
              </w:rPr>
            </w:pPr>
            <w:r>
              <w:rPr>
                <w:rFonts w:ascii="Arial" w:cs="Arial" w:eastAsia="Arial" w:hAnsi="Arial"/>
                <w:sz w:val="16"/>
                <w:szCs w:val="16"/>
                <w:b w:val="1"/>
                <w:bCs w:val="1"/>
                <w:color w:val="auto"/>
              </w:rPr>
              <w:t>$’000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0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$’000</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92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220" w:type="dxa"/>
            <w:vAlign w:val="bottom"/>
            <w:tcBorders>
              <w:right w:val="single" w:sz="8" w:color="auto"/>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right w:val="single" w:sz="8" w:color="auto"/>
            </w:tcBorders>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328</w:t>
            </w: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220" w:type="dxa"/>
            <w:vAlign w:val="bottom"/>
            <w:tcBorders>
              <w:right w:val="single" w:sz="8" w:color="auto"/>
            </w:tcBorders>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1,172</w:t>
            </w:r>
          </w:p>
        </w:tc>
        <w:tc>
          <w:tcPr>
            <w:tcW w:w="520" w:type="dxa"/>
            <w:vAlign w:val="bottom"/>
          </w:tcPr>
          <w:p>
            <w:pPr>
              <w:spacing w:after="0"/>
              <w:rPr>
                <w:sz w:val="18"/>
                <w:szCs w:val="18"/>
                <w:color w:val="auto"/>
              </w:rPr>
            </w:pPr>
          </w:p>
        </w:tc>
        <w:tc>
          <w:tcPr>
            <w:tcW w:w="1100" w:type="dxa"/>
            <w:vAlign w:val="bottom"/>
          </w:tcPr>
          <w:p>
            <w:pPr>
              <w:jc w:val="right"/>
              <w:ind w:right="340"/>
              <w:spacing w:after="0"/>
              <w:rPr>
                <w:sz w:val="20"/>
                <w:szCs w:val="20"/>
                <w:color w:val="auto"/>
              </w:rPr>
            </w:pPr>
            <w:r>
              <w:rPr>
                <w:rFonts w:ascii="Arial" w:cs="Arial" w:eastAsia="Arial" w:hAnsi="Arial"/>
                <w:sz w:val="16"/>
                <w:szCs w:val="16"/>
                <w:color w:val="auto"/>
              </w:rPr>
              <w:t>171</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824</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18"/>
                <w:szCs w:val="18"/>
                <w:color w:val="auto"/>
              </w:rPr>
            </w:pPr>
          </w:p>
        </w:tc>
        <w:tc>
          <w:tcPr>
            <w:tcW w:w="1280" w:type="dxa"/>
            <w:vAlign w:val="bottom"/>
          </w:tcPr>
          <w:p>
            <w:pPr>
              <w:jc w:val="center"/>
              <w:ind w:left="199"/>
              <w:spacing w:after="0"/>
              <w:rPr>
                <w:sz w:val="20"/>
                <w:szCs w:val="20"/>
                <w:color w:val="auto"/>
              </w:rPr>
            </w:pPr>
            <w:r>
              <w:rPr>
                <w:rFonts w:ascii="Arial" w:cs="Arial" w:eastAsia="Arial" w:hAnsi="Arial"/>
                <w:sz w:val="16"/>
                <w:szCs w:val="16"/>
                <w:color w:val="auto"/>
                <w:w w:val="99"/>
              </w:rPr>
              <w:t>6,453</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44</w:t>
            </w: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Rónán Murphy</w:t>
            </w:r>
          </w:p>
        </w:tc>
        <w:tc>
          <w:tcPr>
            <w:tcW w:w="220" w:type="dxa"/>
            <w:vAlign w:val="bottom"/>
            <w:tcBorders>
              <w:right w:val="single" w:sz="8" w:color="auto"/>
            </w:tcBorders>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right w:val="single" w:sz="8" w:color="auto"/>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240</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122</w:t>
            </w: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Hugh Brady</w:t>
            </w:r>
          </w:p>
        </w:tc>
        <w:tc>
          <w:tcPr>
            <w:tcW w:w="220" w:type="dxa"/>
            <w:vAlign w:val="bottom"/>
            <w:tcBorders>
              <w:right w:val="single" w:sz="8" w:color="auto"/>
            </w:tcBorders>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ind w:left="720"/>
              <w:spacing w:after="0"/>
              <w:rPr>
                <w:sz w:val="20"/>
                <w:szCs w:val="20"/>
                <w:color w:val="auto"/>
              </w:rPr>
            </w:pPr>
            <w:r>
              <w:rPr>
                <w:rFonts w:ascii="Arial" w:cs="Arial" w:eastAsia="Arial" w:hAnsi="Arial"/>
                <w:sz w:val="16"/>
                <w:szCs w:val="16"/>
                <w:color w:val="auto"/>
              </w:rPr>
              <w:t>290</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77</w:t>
            </w: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John Climax</w:t>
            </w:r>
          </w:p>
        </w:tc>
        <w:tc>
          <w:tcPr>
            <w:tcW w:w="220" w:type="dxa"/>
            <w:vAlign w:val="bottom"/>
            <w:tcBorders>
              <w:right w:val="single" w:sz="8" w:color="auto"/>
            </w:tcBorders>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right w:val="single" w:sz="8" w:color="auto"/>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290</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Joan Garahy</w:t>
            </w:r>
          </w:p>
        </w:tc>
        <w:tc>
          <w:tcPr>
            <w:tcW w:w="220" w:type="dxa"/>
            <w:vAlign w:val="bottom"/>
            <w:tcBorders>
              <w:right w:val="single" w:sz="8" w:color="auto"/>
            </w:tcBorders>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ind w:left="720"/>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97</w:t>
            </w: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William Hall</w:t>
            </w:r>
          </w:p>
        </w:tc>
        <w:tc>
          <w:tcPr>
            <w:tcW w:w="220" w:type="dxa"/>
            <w:vAlign w:val="bottom"/>
            <w:tcBorders>
              <w:right w:val="single" w:sz="8" w:color="auto"/>
            </w:tcBorders>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right w:val="single" w:sz="8" w:color="auto"/>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290</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w:t>
            </w: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2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auto"/>
              </w:rPr>
              <w:t>Eugene McCague</w:t>
            </w:r>
          </w:p>
        </w:tc>
        <w:tc>
          <w:tcPr>
            <w:tcW w:w="220" w:type="dxa"/>
            <w:vAlign w:val="bottom"/>
            <w:tcBorders>
              <w:right w:val="single" w:sz="8" w:color="auto"/>
            </w:tcBorders>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right w:val="single" w:sz="8" w:color="auto"/>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1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tcPr>
          <w:p>
            <w:pPr>
              <w:ind w:left="720"/>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97</w:t>
            </w:r>
          </w:p>
        </w:tc>
        <w:tc>
          <w:tcPr>
            <w:tcW w:w="114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220" w:type="dxa"/>
            <w:vAlign w:val="bottom"/>
            <w:tcBorders>
              <w:right w:val="single" w:sz="8" w:color="auto"/>
            </w:tcBorders>
            <w:shd w:val="clear" w:color="auto" w:fill="CCEEFF"/>
          </w:tcPr>
          <w:p>
            <w:pPr>
              <w:spacing w:after="0"/>
              <w:rPr>
                <w:sz w:val="19"/>
                <w:szCs w:val="19"/>
                <w:color w:val="auto"/>
              </w:rPr>
            </w:pPr>
          </w:p>
        </w:tc>
        <w:tc>
          <w:tcPr>
            <w:tcW w:w="6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right w:val="single" w:sz="8" w:color="auto"/>
            </w:tcBorders>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tcBorders>
              <w:right w:val="single" w:sz="8" w:color="auto"/>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213</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114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Mary Pendergast</w:t>
            </w:r>
          </w:p>
        </w:tc>
        <w:tc>
          <w:tcPr>
            <w:tcW w:w="2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w w:val="95"/>
              </w:rPr>
              <w:t>2020</w:t>
            </w:r>
          </w:p>
        </w:tc>
        <w:tc>
          <w:tcPr>
            <w:tcW w:w="24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290</w:t>
            </w:r>
          </w:p>
        </w:tc>
        <w:tc>
          <w:tcPr>
            <w:tcW w:w="98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77</w:t>
            </w:r>
          </w:p>
        </w:tc>
        <w:tc>
          <w:tcPr>
            <w:tcW w:w="11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367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920" w:type="dxa"/>
            <w:vAlign w:val="bottom"/>
            <w:tcBorders>
              <w:left w:val="single" w:sz="8" w:color="auto"/>
              <w:bottom w:val="single" w:sz="8" w:color="auto"/>
              <w:right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right w:val="single" w:sz="8" w:color="auto"/>
            </w:tcBorders>
            <w:shd w:val="clear" w:color="auto" w:fill="CCEEFF"/>
          </w:tcPr>
          <w:p>
            <w:pPr>
              <w:spacing w:after="0"/>
              <w:rPr>
                <w:sz w:val="20"/>
                <w:szCs w:val="20"/>
                <w:color w:val="auto"/>
              </w:rPr>
            </w:pPr>
          </w:p>
        </w:tc>
        <w:tc>
          <w:tcPr>
            <w:tcW w:w="600" w:type="dxa"/>
            <w:vAlign w:val="bottom"/>
            <w:tcBorders>
              <w:bottom w:val="single" w:sz="8" w:color="auto"/>
              <w:right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w w:val="95"/>
              </w:rPr>
              <w:t>2020</w:t>
            </w:r>
          </w:p>
        </w:tc>
        <w:tc>
          <w:tcPr>
            <w:tcW w:w="240" w:type="dxa"/>
            <w:vAlign w:val="bottom"/>
            <w:tcBorders>
              <w:bottom w:val="single" w:sz="8" w:color="auto"/>
              <w:right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1,172</w:t>
            </w:r>
          </w:p>
        </w:tc>
        <w:tc>
          <w:tcPr>
            <w:tcW w:w="5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b w:val="1"/>
                <w:bCs w:val="1"/>
                <w:color w:val="auto"/>
              </w:rPr>
              <w:t>171</w:t>
            </w:r>
          </w:p>
        </w:tc>
        <w:tc>
          <w:tcPr>
            <w:tcW w:w="8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824</w:t>
            </w:r>
          </w:p>
        </w:tc>
        <w:tc>
          <w:tcPr>
            <w:tcW w:w="240" w:type="dxa"/>
            <w:vAlign w:val="bottom"/>
            <w:tcBorders>
              <w:bottom w:val="single" w:sz="8" w:color="auto"/>
              <w:right w:val="single" w:sz="8" w:color="CCEEFF"/>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2,167</w:t>
            </w:r>
          </w:p>
        </w:tc>
        <w:tc>
          <w:tcPr>
            <w:tcW w:w="100" w:type="dxa"/>
            <w:vAlign w:val="bottom"/>
            <w:tcBorders>
              <w:bottom w:val="single" w:sz="8" w:color="auto"/>
              <w:right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b w:val="1"/>
                <w:bCs w:val="1"/>
                <w:color w:val="auto"/>
                <w:w w:val="99"/>
              </w:rPr>
              <w:t>8,666</w:t>
            </w:r>
          </w:p>
        </w:tc>
        <w:tc>
          <w:tcPr>
            <w:tcW w:w="98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1,062</w:t>
            </w:r>
          </w:p>
        </w:tc>
        <w:tc>
          <w:tcPr>
            <w:tcW w:w="114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11,895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Summary compensation table - Year ended December 31, 2019</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140" w:type="dxa"/>
            <w:vAlign w:val="bottom"/>
            <w:tcBorders>
              <w:top w:val="single" w:sz="8" w:color="auto"/>
              <w:left w:val="single" w:sz="8" w:color="auto"/>
              <w:right w:val="single" w:sz="8" w:color="auto"/>
            </w:tcBorders>
            <w:shd w:val="clear" w:color="auto" w:fill="CCEEFF"/>
          </w:tcPr>
          <w:p>
            <w:pPr>
              <w:spacing w:after="0"/>
              <w:rPr>
                <w:sz w:val="16"/>
                <w:szCs w:val="16"/>
                <w:color w:val="auto"/>
              </w:rPr>
            </w:pPr>
          </w:p>
        </w:tc>
        <w:tc>
          <w:tcPr>
            <w:tcW w:w="840" w:type="dxa"/>
            <w:vAlign w:val="bottom"/>
            <w:tcBorders>
              <w:top w:val="single" w:sz="8" w:color="auto"/>
              <w:right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Company</w:t>
            </w:r>
          </w:p>
        </w:tc>
        <w:tc>
          <w:tcPr>
            <w:tcW w:w="116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All other</w:t>
            </w:r>
          </w:p>
        </w:tc>
        <w:tc>
          <w:tcPr>
            <w:tcW w:w="1120" w:type="dxa"/>
            <w:vAlign w:val="bottom"/>
            <w:tcBorders>
              <w:top w:val="single" w:sz="8" w:color="auto"/>
              <w:right w:val="single" w:sz="8" w:color="auto"/>
            </w:tcBorders>
            <w:shd w:val="clear" w:color="auto" w:fill="CCEEFF"/>
          </w:tcPr>
          <w:p>
            <w:pPr>
              <w:spacing w:after="0"/>
              <w:rPr>
                <w:sz w:val="16"/>
                <w:szCs w:val="16"/>
                <w:color w:val="auto"/>
              </w:rPr>
            </w:pPr>
          </w:p>
        </w:tc>
        <w:tc>
          <w:tcPr>
            <w:tcW w:w="132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Share-based</w:t>
            </w:r>
          </w:p>
        </w:tc>
        <w:tc>
          <w:tcPr>
            <w:tcW w:w="98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Director’s</w:t>
            </w:r>
          </w:p>
        </w:tc>
        <w:tc>
          <w:tcPr>
            <w:tcW w:w="1200" w:type="dxa"/>
            <w:vAlign w:val="bottom"/>
            <w:tcBorders>
              <w:top w:val="single" w:sz="8" w:color="auto"/>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214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840" w:type="dxa"/>
            <w:vAlign w:val="bottom"/>
            <w:tcBorders>
              <w:right w:val="single" w:sz="8" w:color="auto"/>
            </w:tcBorders>
            <w:vMerge w:val="restart"/>
            <w:shd w:val="clear" w:color="auto" w:fill="CCEEFF"/>
          </w:tcPr>
          <w:p>
            <w:pPr>
              <w:ind w:left="240"/>
              <w:spacing w:after="0"/>
              <w:rPr>
                <w:sz w:val="20"/>
                <w:szCs w:val="20"/>
                <w:color w:val="auto"/>
              </w:rPr>
            </w:pPr>
            <w:r>
              <w:rPr>
                <w:rFonts w:ascii="Arial" w:cs="Arial" w:eastAsia="Arial" w:hAnsi="Arial"/>
                <w:sz w:val="16"/>
                <w:szCs w:val="16"/>
                <w:b w:val="1"/>
                <w:bCs w:val="1"/>
                <w:color w:val="auto"/>
              </w:rPr>
              <w:t>Year</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Salary</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pension</w:t>
            </w:r>
          </w:p>
        </w:tc>
        <w:tc>
          <w:tcPr>
            <w:tcW w:w="1160" w:type="dxa"/>
            <w:vAlign w:val="bottom"/>
            <w:tcBorders>
              <w:right w:val="single" w:sz="8" w:color="auto"/>
            </w:tcBorders>
            <w:vMerge w:val="continue"/>
            <w:shd w:val="clear" w:color="auto" w:fill="CCEEFF"/>
          </w:tcPr>
          <w:p>
            <w:pPr>
              <w:spacing w:after="0"/>
              <w:rPr>
                <w:sz w:val="7"/>
                <w:szCs w:val="7"/>
                <w:color w:val="auto"/>
              </w:rPr>
            </w:pPr>
          </w:p>
        </w:tc>
        <w:tc>
          <w:tcPr>
            <w:tcW w:w="11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Subtotal</w:t>
            </w:r>
          </w:p>
        </w:tc>
        <w:tc>
          <w:tcPr>
            <w:tcW w:w="1320" w:type="dxa"/>
            <w:vAlign w:val="bottom"/>
            <w:vMerge w:val="continue"/>
            <w:shd w:val="clear" w:color="auto" w:fill="CCEEFF"/>
          </w:tcPr>
          <w:p>
            <w:pPr>
              <w:spacing w:after="0"/>
              <w:rPr>
                <w:sz w:val="7"/>
                <w:szCs w:val="7"/>
                <w:color w:val="auto"/>
              </w:rPr>
            </w:pPr>
          </w:p>
        </w:tc>
        <w:tc>
          <w:tcPr>
            <w:tcW w:w="980" w:type="dxa"/>
            <w:vAlign w:val="bottom"/>
            <w:tcBorders>
              <w:right w:val="single" w:sz="8" w:color="auto"/>
            </w:tcBorders>
            <w:vMerge w:val="continue"/>
            <w:shd w:val="clear" w:color="auto" w:fill="CCEEFF"/>
          </w:tcPr>
          <w:p>
            <w:pPr>
              <w:spacing w:after="0"/>
              <w:rPr>
                <w:sz w:val="7"/>
                <w:szCs w:val="7"/>
                <w:color w:val="auto"/>
              </w:rPr>
            </w:pPr>
          </w:p>
        </w:tc>
        <w:tc>
          <w:tcPr>
            <w:tcW w:w="120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140" w:type="dxa"/>
            <w:vAlign w:val="bottom"/>
            <w:tcBorders>
              <w:left w:val="single" w:sz="8" w:color="auto"/>
              <w:right w:val="single" w:sz="8" w:color="auto"/>
            </w:tcBorders>
            <w:vMerge w:val="continue"/>
            <w:shd w:val="clear" w:color="auto" w:fill="CCEEFF"/>
          </w:tcPr>
          <w:p>
            <w:pPr>
              <w:spacing w:after="0"/>
              <w:rPr>
                <w:sz w:val="14"/>
                <w:szCs w:val="14"/>
                <w:color w:val="auto"/>
              </w:rPr>
            </w:pPr>
          </w:p>
        </w:tc>
        <w:tc>
          <w:tcPr>
            <w:tcW w:w="840" w:type="dxa"/>
            <w:vAlign w:val="bottom"/>
            <w:tcBorders>
              <w:right w:val="single" w:sz="8" w:color="auto"/>
            </w:tcBorders>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160" w:type="dxa"/>
            <w:vAlign w:val="bottom"/>
            <w:tcBorders>
              <w:right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compensation</w:t>
            </w:r>
          </w:p>
        </w:tc>
        <w:tc>
          <w:tcPr>
            <w:tcW w:w="1120" w:type="dxa"/>
            <w:vAlign w:val="bottom"/>
            <w:tcBorders>
              <w:right w:val="single" w:sz="8" w:color="auto"/>
            </w:tcBorders>
            <w:vMerge w:val="continue"/>
            <w:shd w:val="clear" w:color="auto" w:fill="CCEEFF"/>
          </w:tcPr>
          <w:p>
            <w:pPr>
              <w:spacing w:after="0"/>
              <w:rPr>
                <w:sz w:val="14"/>
                <w:szCs w:val="14"/>
                <w:color w:val="auto"/>
              </w:rPr>
            </w:pPr>
          </w:p>
        </w:tc>
        <w:tc>
          <w:tcPr>
            <w:tcW w:w="132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compensation</w:t>
            </w:r>
          </w:p>
        </w:tc>
        <w:tc>
          <w:tcPr>
            <w:tcW w:w="980" w:type="dxa"/>
            <w:vAlign w:val="bottom"/>
            <w:tcBorders>
              <w:right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fees</w:t>
            </w:r>
          </w:p>
        </w:tc>
        <w:tc>
          <w:tcPr>
            <w:tcW w:w="1200" w:type="dxa"/>
            <w:vAlign w:val="bottom"/>
            <w:tcBorders>
              <w:right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142"/>
        </w:trPr>
        <w:tc>
          <w:tcPr>
            <w:tcW w:w="214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840" w:type="dxa"/>
            <w:vAlign w:val="bottom"/>
            <w:tcBorders>
              <w:bottom w:val="single" w:sz="8" w:color="auto"/>
              <w:right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b w:val="1"/>
                <w:bCs w:val="1"/>
                <w:color w:val="auto"/>
              </w:rPr>
              <w:t>contribution</w:t>
            </w:r>
          </w:p>
        </w:tc>
        <w:tc>
          <w:tcPr>
            <w:tcW w:w="1160" w:type="dxa"/>
            <w:vAlign w:val="bottom"/>
            <w:tcBorders>
              <w:bottom w:val="single" w:sz="8" w:color="auto"/>
              <w:right w:val="single" w:sz="8" w:color="auto"/>
            </w:tcBorders>
            <w:shd w:val="clear" w:color="auto" w:fill="CCEEFF"/>
          </w:tcPr>
          <w:p>
            <w:pPr>
              <w:spacing w:after="0"/>
              <w:rPr>
                <w:sz w:val="12"/>
                <w:szCs w:val="12"/>
                <w:color w:val="auto"/>
              </w:rPr>
            </w:pPr>
          </w:p>
        </w:tc>
        <w:tc>
          <w:tcPr>
            <w:tcW w:w="1120" w:type="dxa"/>
            <w:vAlign w:val="bottom"/>
            <w:tcBorders>
              <w:bottom w:val="single" w:sz="8" w:color="auto"/>
              <w:right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spacing w:after="0"/>
              <w:rPr>
                <w:sz w:val="12"/>
                <w:szCs w:val="12"/>
                <w:color w:val="auto"/>
              </w:rPr>
            </w:pPr>
          </w:p>
        </w:tc>
        <w:tc>
          <w:tcPr>
            <w:tcW w:w="1200" w:type="dxa"/>
            <w:vAlign w:val="bottom"/>
            <w:tcBorders>
              <w:bottom w:val="single" w:sz="8" w:color="auto"/>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1,112</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1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980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5,355</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7,669</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Rónán Murphy *</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Hugh Brady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330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John Climax</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330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Joan Garahy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William Hall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330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Dermot Kelleher**</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980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Eugene McCague</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13"/>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Declan McKeon**</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980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19"/>
        </w:trPr>
        <w:tc>
          <w:tcPr>
            <w:tcW w:w="21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23"/>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Mary Pendergast</w:t>
            </w:r>
          </w:p>
        </w:tc>
        <w:tc>
          <w:tcPr>
            <w:tcW w:w="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330</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12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40"/>
        </w:trPr>
        <w:tc>
          <w:tcPr>
            <w:tcW w:w="2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2019</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1,112</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178</w:t>
            </w:r>
          </w:p>
        </w:tc>
        <w:tc>
          <w:tcPr>
            <w:tcW w:w="11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980</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2,270</w:t>
            </w:r>
          </w:p>
        </w:tc>
        <w:tc>
          <w:tcPr>
            <w:tcW w:w="13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9,562</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1,122</w:t>
            </w:r>
          </w:p>
        </w:tc>
        <w:tc>
          <w:tcPr>
            <w:tcW w:w="12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12,954</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80" w:right="6540" w:firstLine="9"/>
        <w:spacing w:after="0" w:line="316" w:lineRule="auto"/>
        <w:tabs>
          <w:tab w:leader="none" w:pos="31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Appointed as Lead Independent Director on January 1, 2019. ** Retired from the Board at the AGM on July 23, 2019.</w:t>
      </w:r>
    </w:p>
    <w:p>
      <w:pPr>
        <w:spacing w:after="0" w:line="1"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  Appointed to the Board on July 23, 2019.</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Compensation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Contracts, Termination of Employment and Change in Control Arrangements</w:t>
      </w:r>
    </w:p>
    <w:p>
      <w:pPr>
        <w:spacing w:after="0" w:line="264" w:lineRule="exact"/>
        <w:rPr>
          <w:sz w:val="20"/>
          <w:szCs w:val="20"/>
          <w:color w:val="auto"/>
        </w:rPr>
      </w:pPr>
    </w:p>
    <w:p>
      <w:pPr>
        <w:jc w:val="both"/>
        <w:ind w:right="20" w:firstLine="220"/>
        <w:spacing w:after="0" w:line="260" w:lineRule="auto"/>
        <w:rPr>
          <w:sz w:val="20"/>
          <w:szCs w:val="20"/>
          <w:color w:val="auto"/>
        </w:rPr>
      </w:pPr>
      <w:r>
        <w:rPr>
          <w:rFonts w:ascii="Arial" w:cs="Arial" w:eastAsia="Arial" w:hAnsi="Arial"/>
          <w:sz w:val="16"/>
          <w:szCs w:val="16"/>
          <w:color w:val="auto"/>
        </w:rPr>
        <w:t>The Company does not have any termination or change of control agreements with its named executive officers other than as set out below and in the agreements relating to their equity incentives which provide for accelerated vesting on change of control.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 and Executive Officers’ service agreements and letters of engagement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Mr. Ciaran Murray</w:t>
      </w:r>
    </w:p>
    <w:p>
      <w:pPr>
        <w:spacing w:after="0" w:line="264" w:lineRule="exact"/>
        <w:rPr>
          <w:sz w:val="20"/>
          <w:szCs w:val="20"/>
          <w:color w:val="auto"/>
        </w:rPr>
      </w:pPr>
    </w:p>
    <w:p>
      <w:pPr>
        <w:jc w:val="both"/>
        <w:ind w:firstLine="180"/>
        <w:spacing w:after="0" w:line="247" w:lineRule="auto"/>
        <w:rPr>
          <w:sz w:val="20"/>
          <w:szCs w:val="20"/>
          <w:color w:val="auto"/>
        </w:rPr>
      </w:pPr>
      <w:r>
        <w:rPr>
          <w:rFonts w:ascii="Arial" w:cs="Arial" w:eastAsia="Arial" w:hAnsi="Arial"/>
          <w:sz w:val="16"/>
          <w:szCs w:val="16"/>
          <w:color w:val="auto"/>
        </w:rPr>
        <w:t>Mr. Ciaran Murray has served as Chairman of the Board of Directors since May 2018 having served as Executive Chairman of the Board of Directors from March 2017 until May 2018. Mr. Murray served as Chief Executive Officer of the Company from October 2011 until March 2017. Mr. Murray has served as a Director of the Company since September 2011. He previously served as Chief Financial Officer of the Company from October 2005 until October 2011. Mr. Murray entered into an agreement with the Company in respect of his role as Executive Chairman which was effective from March 2017. Mr. Murray’s Executive Chairman term expired on May 12, 2018 and he transitioned to Chairman. The current arrangement with Mr. Murray provides for the payment to him of fees of $340,710 (€300,000) per annum in respect of his position as Chairman. His previous service agreement as Executive Chairman included termination provisions and also includes certain post-termination clauses including non-disclosure, non-competition and non-solicitation provisions which still apply. As Chief Financial Officer, Chief Executive and Executive Chairman, Mr. Murray was granted and held ordinary share options, Restricted Share Units and Performance Share Units. The vesting of the ordinary share options and Restricted Share Units which were unvested on Mr. Murray ceasing to be an ICON plc employee on May 12, 2018 were accelerated and the outstanding ordinary share options and Restricted Share Units vested on that date. The unvested Performance Share Units with vesting dates between May 12, 2018 and March 2019 were forfeited on Mr. Murray ceasing to be an ICON plc employee on May 12, 2018. He was previously granted and held at February 24, 2021 58,646 ordinary share options at exercise prices ranging from $71.95 to $125.74 per share and 1,201 Restricted Share Units, which vest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7" w:name="page68"/>
    <w:bookmarkEnd w:id="67"/>
    <w:p>
      <w:pPr>
        <w:ind w:left="180"/>
        <w:spacing w:after="0"/>
        <w:rPr>
          <w:sz w:val="20"/>
          <w:szCs w:val="20"/>
          <w:color w:val="auto"/>
        </w:rPr>
      </w:pPr>
      <w:r>
        <w:rPr>
          <w:rFonts w:ascii="Arial" w:cs="Arial" w:eastAsia="Arial" w:hAnsi="Arial"/>
          <w:sz w:val="16"/>
          <w:szCs w:val="16"/>
          <w:i w:val="1"/>
          <w:iCs w:val="1"/>
          <w:color w:val="auto"/>
        </w:rPr>
        <w:t>Dr. Steve Cutler</w:t>
      </w:r>
    </w:p>
    <w:p>
      <w:pPr>
        <w:spacing w:after="0" w:line="251" w:lineRule="exact"/>
        <w:rPr>
          <w:sz w:val="20"/>
          <w:szCs w:val="20"/>
          <w:color w:val="auto"/>
        </w:rPr>
      </w:pPr>
    </w:p>
    <w:p>
      <w:pPr>
        <w:jc w:val="both"/>
        <w:ind w:firstLine="220"/>
        <w:spacing w:after="0"/>
        <w:rPr>
          <w:sz w:val="20"/>
          <w:szCs w:val="20"/>
          <w:color w:val="auto"/>
        </w:rPr>
      </w:pPr>
      <w:r>
        <w:rPr>
          <w:rFonts w:ascii="Arial" w:cs="Arial" w:eastAsia="Arial" w:hAnsi="Arial"/>
          <w:sz w:val="16"/>
          <w:szCs w:val="16"/>
          <w:color w:val="auto"/>
        </w:rPr>
        <w:t>Dr. Steve Cutler has served as Chief Executive Officer since March 2017 having served as Chief Operating Officer of the Company from January 2014 until March 2017. Prior to his appointment as Chief Operating Officer he served as Group President Clinical Research Services since November 2011. He has served as an Executive Director of the Company since November 2015. The Chief Executive Officer service agreement with Dr. Cutler is terminable on 12 months’ notice by either party. Under the terms of this agreement Dr. Cutler is entitled to receive an annual salary of $1,133,248 and a bonus to be agreed by the Compensation and Organization Committee. He is also entitled to receive a pension contribution, a car allowance of $12,000 and medical insurance coverage for himself and his dependents. He was previously granted and held at February 24, 2021 135,555 ordinary share options at exercise prices ranging from $71.95 to $159.33 per share, 21,062 Restricted Share Units which vest on various dates between March 2021 and March 2023 and 38,778 (up to a maximum of 77,556) Performance Share Units which vest between March 2021 and March 2023 subject to the fulfillment of certain performance conditions. His Chief Executive Officer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 Dr. Cutler has a separate agreement with the Company in respect to his role as a director of ICON plc. Under the terms of this agreement he is entitled to receive an annual fee of $44,000.</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Mr. Brendan Brennan</w:t>
      </w:r>
    </w:p>
    <w:p>
      <w:pPr>
        <w:spacing w:after="0" w:line="264" w:lineRule="exact"/>
        <w:rPr>
          <w:sz w:val="20"/>
          <w:szCs w:val="20"/>
          <w:color w:val="auto"/>
        </w:rPr>
      </w:pPr>
    </w:p>
    <w:p>
      <w:pPr>
        <w:jc w:val="both"/>
        <w:ind w:firstLine="193"/>
        <w:spacing w:after="0" w:line="248" w:lineRule="auto"/>
        <w:rPr>
          <w:sz w:val="20"/>
          <w:szCs w:val="20"/>
          <w:color w:val="auto"/>
        </w:rPr>
      </w:pPr>
      <w:r>
        <w:rPr>
          <w:rFonts w:ascii="Arial" w:cs="Arial" w:eastAsia="Arial" w:hAnsi="Arial"/>
          <w:sz w:val="16"/>
          <w:szCs w:val="16"/>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$561,112 (€494,067) and a bonus to be agreed by the Compensation and Organization Committee. He is also entitled to receive a pension contribution, a car allowance of €20,000 and medical insurance coverage for himself and his dependents. He was previously granted and held at February 24, 2021 55,373 ordinary share options at exercise prices ranging from $71.95 to $159.33 per share, 4,649 Restricted Share Units, which vest on various dates between March 2021 and March 2023, and 8,688 (up to a maximum of 17,376) Performance Share Units which vest between March 2021 and March 2023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Mr. Rónán Murphy</w:t>
      </w:r>
    </w:p>
    <w:p>
      <w:pPr>
        <w:spacing w:after="0" w:line="264" w:lineRule="exact"/>
        <w:rPr>
          <w:sz w:val="20"/>
          <w:szCs w:val="20"/>
          <w:color w:val="auto"/>
        </w:rPr>
      </w:pPr>
    </w:p>
    <w:p>
      <w:pPr>
        <w:jc w:val="both"/>
        <w:ind w:firstLine="234"/>
        <w:spacing w:after="0" w:line="251" w:lineRule="auto"/>
        <w:rPr>
          <w:sz w:val="20"/>
          <w:szCs w:val="20"/>
          <w:color w:val="auto"/>
        </w:rPr>
      </w:pPr>
      <w:r>
        <w:rPr>
          <w:rFonts w:ascii="Arial" w:cs="Arial" w:eastAsia="Arial" w:hAnsi="Arial"/>
          <w:sz w:val="16"/>
          <w:szCs w:val="16"/>
          <w:color w:val="auto"/>
        </w:rPr>
        <w:t>Mr. Rónán Murphy has served as Lead Independent Director from January 2019 having served as an outside Director of the Company since October 2016. The arrangements with Mr. Murphy continue to provide for the payment to him of Directors fees of $122,500 per annum. He was previously granted and held at February 24, 2021 9,622 ordinary share options at an exercise prices ranging from $90.03 to $125.74 and 1,201 Restricted Share Units, which vest in May 2021.</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Professor Hugh Brady</w:t>
      </w:r>
    </w:p>
    <w:p>
      <w:pPr>
        <w:spacing w:after="0" w:line="264" w:lineRule="exact"/>
        <w:rPr>
          <w:sz w:val="20"/>
          <w:szCs w:val="20"/>
          <w:color w:val="auto"/>
        </w:rPr>
      </w:pPr>
    </w:p>
    <w:p>
      <w:pPr>
        <w:jc w:val="both"/>
        <w:ind w:firstLine="261"/>
        <w:spacing w:after="0" w:line="253" w:lineRule="auto"/>
        <w:rPr>
          <w:sz w:val="20"/>
          <w:szCs w:val="20"/>
          <w:color w:val="auto"/>
        </w:rPr>
      </w:pPr>
      <w:r>
        <w:rPr>
          <w:rFonts w:ascii="Arial" w:cs="Arial" w:eastAsia="Arial" w:hAnsi="Arial"/>
          <w:sz w:val="16"/>
          <w:szCs w:val="16"/>
          <w:color w:val="auto"/>
        </w:rPr>
        <w:t>Professor Hugh Brady has served as an outside Director of the Company since April 2014. The arrangements with Professor Brady provide for the payment to him of Directors fees of $77,500 per annum. He was previously granted and held at February 24, 2021 5,192 ordinary share options at exercise prices ranging from $65.60 to $90.03 and 1,201 Restricted Share Units, which vest in May 2021.</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Dr. John Climax</w:t>
      </w:r>
    </w:p>
    <w:p>
      <w:pPr>
        <w:spacing w:after="0" w:line="264" w:lineRule="exact"/>
        <w:rPr>
          <w:sz w:val="20"/>
          <w:szCs w:val="20"/>
          <w:color w:val="auto"/>
        </w:rPr>
      </w:pPr>
    </w:p>
    <w:p>
      <w:pPr>
        <w:jc w:val="both"/>
        <w:ind w:firstLine="193"/>
        <w:spacing w:after="0" w:line="251"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Directors fees of $65,000 per annum. He was previously granted and held at February 24, 2021 45,755 ordinary share options at exercise prices ranging from $32.37 to $125.74 per share and 1,201 Restricted Share Units, which vest in May 2021.</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Ms. Joan Garahy</w:t>
      </w:r>
    </w:p>
    <w:p>
      <w:pPr>
        <w:spacing w:after="0" w:line="264" w:lineRule="exact"/>
        <w:rPr>
          <w:sz w:val="20"/>
          <w:szCs w:val="20"/>
          <w:color w:val="auto"/>
        </w:rPr>
      </w:pPr>
    </w:p>
    <w:p>
      <w:pPr>
        <w:jc w:val="both"/>
        <w:ind w:right="20" w:firstLine="193"/>
        <w:spacing w:after="0" w:line="253" w:lineRule="auto"/>
        <w:rPr>
          <w:sz w:val="20"/>
          <w:szCs w:val="20"/>
          <w:color w:val="auto"/>
        </w:rPr>
      </w:pPr>
      <w:r>
        <w:rPr>
          <w:rFonts w:ascii="Arial" w:cs="Arial" w:eastAsia="Arial" w:hAnsi="Arial"/>
          <w:sz w:val="16"/>
          <w:szCs w:val="16"/>
          <w:color w:val="auto"/>
        </w:rPr>
        <w:t>Ms. Joan Garahy has served as an outside Director of the Company since November 2017. The arrangements with Ms. Garahy provide for the payment to her of Directors fees of $97,500 per annum. She was previously granted and held at February 24, 2021 5,005 ordinary share options at an exercise price of $125.74 and 1,201 Restricted Share Units, which vest in May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ind w:left="180"/>
        <w:spacing w:after="0"/>
        <w:rPr>
          <w:sz w:val="20"/>
          <w:szCs w:val="20"/>
          <w:color w:val="auto"/>
        </w:rPr>
      </w:pPr>
      <w:r>
        <w:rPr>
          <w:rFonts w:ascii="Arial" w:cs="Arial" w:eastAsia="Arial" w:hAnsi="Arial"/>
          <w:sz w:val="16"/>
          <w:szCs w:val="16"/>
          <w:i w:val="1"/>
          <w:iCs w:val="1"/>
          <w:color w:val="auto"/>
        </w:rPr>
        <w:t>Professor William Hall</w:t>
      </w:r>
    </w:p>
    <w:p>
      <w:pPr>
        <w:spacing w:after="0" w:line="264" w:lineRule="exact"/>
        <w:rPr>
          <w:sz w:val="20"/>
          <w:szCs w:val="20"/>
          <w:color w:val="auto"/>
        </w:rPr>
      </w:pPr>
    </w:p>
    <w:p>
      <w:pPr>
        <w:jc w:val="both"/>
        <w:ind w:firstLine="234"/>
        <w:spacing w:after="0" w:line="253" w:lineRule="auto"/>
        <w:rPr>
          <w:sz w:val="20"/>
          <w:szCs w:val="20"/>
          <w:color w:val="auto"/>
        </w:rPr>
      </w:pPr>
      <w:r>
        <w:rPr>
          <w:rFonts w:ascii="Arial" w:cs="Arial" w:eastAsia="Arial" w:hAnsi="Arial"/>
          <w:sz w:val="16"/>
          <w:szCs w:val="16"/>
          <w:color w:val="auto"/>
        </w:rPr>
        <w:t>Professor William Hall has served as an outside Director of the Company since February 2013. The arrangements with Professor Hall provide for the payment to him of Directors fees of $90,000 per annum. He was previously granted and held at February 24, 2021 5,192 ordinary share options at exercise prices ranging from $65.60 to $90.03 and 1,201 Restricted Share Units, which vest in May 2021.</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Mr. Eugene McCague</w:t>
      </w:r>
    </w:p>
    <w:p>
      <w:pPr>
        <w:spacing w:after="0" w:line="264" w:lineRule="exact"/>
        <w:rPr>
          <w:sz w:val="20"/>
          <w:szCs w:val="20"/>
          <w:color w:val="auto"/>
        </w:rPr>
      </w:pPr>
    </w:p>
    <w:p>
      <w:pPr>
        <w:jc w:val="both"/>
        <w:ind w:right="20" w:firstLine="261"/>
        <w:spacing w:after="0" w:line="253" w:lineRule="auto"/>
        <w:rPr>
          <w:sz w:val="20"/>
          <w:szCs w:val="20"/>
          <w:color w:val="auto"/>
        </w:rPr>
      </w:pPr>
      <w:r>
        <w:rPr>
          <w:rFonts w:ascii="Arial" w:cs="Arial" w:eastAsia="Arial" w:hAnsi="Arial"/>
          <w:sz w:val="16"/>
          <w:szCs w:val="16"/>
          <w:color w:val="auto"/>
        </w:rPr>
        <w:t>Mr. Eugene McCague has served as an outside Director of the Company since October 2017. The arrangements with Mr. McCague provide for the payment to him of Directors fees of $97,500 per annum. He was previously granted and held at February 24, 2021 5,005 ordinary share options at an exercise price of $125.74 and 1,201 Restricted Share Units, which vest in May 2021.</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Ms. Julie O'Neill</w:t>
      </w:r>
    </w:p>
    <w:p>
      <w:pPr>
        <w:spacing w:after="0" w:line="264" w:lineRule="exact"/>
        <w:rPr>
          <w:sz w:val="20"/>
          <w:szCs w:val="20"/>
          <w:color w:val="auto"/>
        </w:rPr>
      </w:pPr>
    </w:p>
    <w:p>
      <w:pPr>
        <w:jc w:val="both"/>
        <w:ind w:right="340" w:firstLine="180"/>
        <w:spacing w:after="0" w:line="260" w:lineRule="auto"/>
        <w:rPr>
          <w:sz w:val="20"/>
          <w:szCs w:val="20"/>
          <w:color w:val="auto"/>
        </w:rPr>
      </w:pPr>
      <w:r>
        <w:rPr>
          <w:rFonts w:ascii="Arial" w:cs="Arial" w:eastAsia="Arial" w:hAnsi="Arial"/>
          <w:sz w:val="16"/>
          <w:szCs w:val="16"/>
          <w:color w:val="auto"/>
        </w:rPr>
        <w:t>Ms. Julie O'Neill was appointed an outside Director of the Company in July 2019. The arrangements with Ms. O'Neill provide for the payment to her of Directors fees of $65,000 per annum. She was previously granted and held at February 24, 2021 1,201 Restricted Share Units, which vest in May 2021.</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Ms. Mary Pendergast</w:t>
      </w:r>
    </w:p>
    <w:p>
      <w:pPr>
        <w:spacing w:after="0" w:line="264" w:lineRule="exact"/>
        <w:rPr>
          <w:sz w:val="20"/>
          <w:szCs w:val="20"/>
          <w:color w:val="auto"/>
        </w:rPr>
      </w:pPr>
    </w:p>
    <w:p>
      <w:pPr>
        <w:jc w:val="both"/>
        <w:ind w:right="20" w:firstLine="220"/>
        <w:spacing w:after="0" w:line="253" w:lineRule="auto"/>
        <w:rPr>
          <w:sz w:val="20"/>
          <w:szCs w:val="20"/>
          <w:color w:val="auto"/>
        </w:rPr>
      </w:pPr>
      <w:r>
        <w:rPr>
          <w:rFonts w:ascii="Arial" w:cs="Arial" w:eastAsia="Arial" w:hAnsi="Arial"/>
          <w:sz w:val="16"/>
          <w:szCs w:val="16"/>
          <w:color w:val="auto"/>
        </w:rPr>
        <w:t>Ms. Mary Pendergast has served as an outside Director of the Company since February 2014. The arrangements with Ms. Pendergast provide for the payment to her of Directors fees of $77,500 per annum. She was previously granted and held at February 24, 2021 43,255 ordinary share options at exercise prices ranging from $40.83 to $125.74 and 1,201 Restricted Share Units, which vest in May 2021.</w:t>
      </w:r>
    </w:p>
    <w:p>
      <w:pPr>
        <w:spacing w:after="0" w:line="20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Board Practices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of Directors</w:t>
      </w:r>
    </w:p>
    <w:p>
      <w:pPr>
        <w:spacing w:after="0" w:line="264" w:lineRule="exact"/>
        <w:rPr>
          <w:sz w:val="20"/>
          <w:szCs w:val="20"/>
          <w:color w:val="auto"/>
        </w:rPr>
      </w:pPr>
    </w:p>
    <w:p>
      <w:pPr>
        <w:jc w:val="both"/>
        <w:ind w:firstLine="212"/>
        <w:spacing w:after="0" w:line="249"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 2014 of Ireland or by the Constitution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232" w:lineRule="exact"/>
        <w:rPr>
          <w:sz w:val="20"/>
          <w:szCs w:val="20"/>
          <w:color w:val="auto"/>
        </w:rPr>
      </w:pPr>
    </w:p>
    <w:p>
      <w:pPr>
        <w:jc w:val="both"/>
        <w:ind w:firstLine="225"/>
        <w:spacing w:after="0" w:line="248" w:lineRule="auto"/>
        <w:rPr>
          <w:sz w:val="20"/>
          <w:szCs w:val="20"/>
          <w:color w:val="auto"/>
        </w:rPr>
      </w:pPr>
      <w:r>
        <w:rPr>
          <w:rFonts w:ascii="Arial" w:cs="Arial" w:eastAsia="Arial" w:hAnsi="Arial"/>
          <w:sz w:val="16"/>
          <w:szCs w:val="16"/>
          <w:color w:val="auto"/>
        </w:rPr>
        <w:t>The Board comprises one executive and nine outside Directors at the date of this report.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(10 Directors) to be adequate but continues to look for suitable qualified potential candidates to join the Board.</w:t>
      </w:r>
    </w:p>
    <w:p>
      <w:pPr>
        <w:spacing w:after="0" w:line="234" w:lineRule="exact"/>
        <w:rPr>
          <w:sz w:val="20"/>
          <w:szCs w:val="20"/>
          <w:color w:val="auto"/>
        </w:rPr>
      </w:pPr>
    </w:p>
    <w:p>
      <w:pPr>
        <w:jc w:val="both"/>
        <w:ind w:firstLine="175"/>
        <w:spacing w:after="0" w:line="249" w:lineRule="auto"/>
        <w:rPr>
          <w:sz w:val="20"/>
          <w:szCs w:val="20"/>
          <w:color w:val="auto"/>
        </w:rPr>
      </w:pPr>
      <w:r>
        <w:rPr>
          <w:rFonts w:ascii="Arial" w:cs="Arial" w:eastAsia="Arial" w:hAnsi="Arial"/>
          <w:sz w:val="16"/>
          <w:szCs w:val="16"/>
          <w:color w:val="auto"/>
        </w:rPr>
        <w:t>As set out below, certain other matters are delegated to Board Committees and all Board Committees report to the Board. The Company maintains what it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meets at least four times each year. During the year ended December 31, 2020 the Board held five board meetings. During 2020, in response to the global pandemic, those meetings were held virtually. All Directors allocated sufficient time to the Company during the year ended December 31, 2020 to effectively discharge their responsibilities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i w:val="1"/>
          <w:iCs w:val="1"/>
          <w:color w:val="auto"/>
        </w:rPr>
        <w:t>Directors’ retirement and re-election</w:t>
      </w:r>
    </w:p>
    <w:p>
      <w:pPr>
        <w:spacing w:after="0" w:line="251" w:lineRule="exact"/>
        <w:rPr>
          <w:sz w:val="20"/>
          <w:szCs w:val="20"/>
          <w:color w:val="auto"/>
        </w:rPr>
      </w:pPr>
    </w:p>
    <w:p>
      <w:pPr>
        <w:jc w:val="both"/>
        <w:ind w:firstLine="190"/>
        <w:spacing w:after="0" w:line="230" w:lineRule="auto"/>
        <w:rPr>
          <w:sz w:val="20"/>
          <w:szCs w:val="20"/>
          <w:color w:val="auto"/>
        </w:rPr>
      </w:pPr>
      <w:r>
        <w:rPr>
          <w:rFonts w:ascii="Arial" w:cs="Arial" w:eastAsia="Arial" w:hAnsi="Arial"/>
          <w:sz w:val="16"/>
          <w:szCs w:val="16"/>
          <w:color w:val="auto"/>
        </w:rPr>
        <w:t>The Company’s Constitution provides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w:t>
      </w:r>
      <w:r>
        <w:rPr>
          <w:rFonts w:ascii="Arial" w:cs="Arial" w:eastAsia="Arial" w:hAnsi="Arial"/>
          <w:sz w:val="16"/>
          <w:szCs w:val="16"/>
          <w:color w:val="FF0000"/>
        </w:rPr>
        <w:t>.</w:t>
      </w:r>
      <w:r>
        <w:rPr>
          <w:rFonts w:ascii="Arial" w:cs="Arial" w:eastAsia="Arial" w:hAnsi="Arial"/>
          <w:sz w:val="16"/>
          <w:szCs w:val="16"/>
          <w:color w:val="auto"/>
        </w:rPr>
        <w:t xml:space="preserv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2021, it is anticipated that 3 Directors will retire in accordance with the Constitution and offer themselves for re-election. The Board of Directors adopted a Non-Executive Director Policy for Service on April 24, 2018, the Policy was amended on April 21, 2020 which provides that, subject to individual waiver by the Board, an outside Director of ICON plc shall serve on the Board of the Directors for an initial term which expires at the fourth annual general meeting after their appointment. Each outside director may serve a further term of 3 years, subject to the Board’s approval. After the second 3 year term the Board may request that the outside Director serve up to 3 further terms of 1 year each. After a third 1 year term the Board may request that the outside director serve for further 1 year terms in the event that the Board has particular requirement or desire for the outside director’s skill, knowledge or experience. For an outside Director who previously served as an executive of the Company, the initial 3 year term referred to in this policy is deemed to commence on the date that he/she is determined to be independent as per the NASDAQ Rules. This policy does not apply to Dr. John Climax as he is a founder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Lead Independent Director</w:t>
      </w:r>
    </w:p>
    <w:p>
      <w:pPr>
        <w:spacing w:after="0" w:line="264" w:lineRule="exact"/>
        <w:rPr>
          <w:sz w:val="20"/>
          <w:szCs w:val="20"/>
          <w:color w:val="auto"/>
        </w:rPr>
      </w:pPr>
    </w:p>
    <w:p>
      <w:pPr>
        <w:jc w:val="both"/>
        <w:ind w:firstLine="200"/>
        <w:spacing w:after="0" w:line="249" w:lineRule="auto"/>
        <w:rPr>
          <w:sz w:val="20"/>
          <w:szCs w:val="20"/>
          <w:color w:val="auto"/>
        </w:rPr>
      </w:pPr>
      <w:r>
        <w:rPr>
          <w:rFonts w:ascii="Arial" w:cs="Arial" w:eastAsia="Arial" w:hAnsi="Arial"/>
          <w:sz w:val="16"/>
          <w:szCs w:val="16"/>
          <w:color w:val="auto"/>
        </w:rPr>
        <w:t>The Board of Directors adopted a Lead Independent Director Charter on February 14, 2017 which provides that in circumstances where the Chairman of the Board is not independent, the independent members of the Board of Directors shall appoint, from among their number, a Lead Independent Director. The Lead Independent Director shall generally assist in optimizing the effectiveness and independence of the Board of Directors by performing such duties as described in the charter, on behalf of the Board of Directors, including coordinating the meetings of the other non-employee and independent directors, and such other duties as determined from time to time by the Board of Directors and/or its independent members. Mr. Rónán Murphy was appointed as Lead Independent Director with effect from January 1, 2019.</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Committees</w:t>
      </w:r>
    </w:p>
    <w:p>
      <w:pPr>
        <w:spacing w:after="0" w:line="251" w:lineRule="exact"/>
        <w:rPr>
          <w:sz w:val="20"/>
          <w:szCs w:val="20"/>
          <w:color w:val="auto"/>
        </w:rPr>
      </w:pPr>
    </w:p>
    <w:p>
      <w:pPr>
        <w:jc w:val="both"/>
        <w:ind w:firstLine="214"/>
        <w:spacing w:after="0" w:line="232" w:lineRule="auto"/>
        <w:rPr>
          <w:sz w:val="20"/>
          <w:szCs w:val="20"/>
          <w:color w:val="auto"/>
        </w:rPr>
      </w:pPr>
      <w:r>
        <w:rPr>
          <w:rFonts w:ascii="Arial" w:cs="Arial" w:eastAsia="Arial" w:hAnsi="Arial"/>
          <w:sz w:val="16"/>
          <w:szCs w:val="16"/>
          <w:color w:val="auto"/>
        </w:rPr>
        <w:t>The Board has delegated some of its responsibilities to Board Committees. There are four permanent Committees. These are the Audit Committee, the Compensation and Organization Committee, the Nominating and Governance Committee and the Execution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The Audit Committee, Compensation and Organization Committee and Nominating and Governance Committee each completed a self-evaluation of the performance of the Committee during the year ended December 31, 2020 or in respect to the year ended December 31, 2020 and each Committee was satisfied with their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264" w:lineRule="exact"/>
        <w:rPr>
          <w:sz w:val="20"/>
          <w:szCs w:val="20"/>
          <w:color w:val="auto"/>
        </w:rPr>
      </w:pPr>
    </w:p>
    <w:p>
      <w:pPr>
        <w:jc w:val="both"/>
        <w:ind w:firstLine="212"/>
        <w:spacing w:after="0" w:line="248" w:lineRule="auto"/>
        <w:rPr>
          <w:sz w:val="20"/>
          <w:szCs w:val="20"/>
          <w:color w:val="auto"/>
        </w:rPr>
      </w:pPr>
      <w:r>
        <w:rPr>
          <w:rFonts w:ascii="Arial" w:cs="Arial" w:eastAsia="Arial" w:hAnsi="Arial"/>
          <w:sz w:val="16"/>
          <w:szCs w:val="16"/>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The Audit Committee is currently comprised of three independent Directors: Rónán Murphy (Chairperson), Professor Hugh Brady and Eugene McCague.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and Organization Committee</w:t>
      </w:r>
    </w:p>
    <w:p>
      <w:pPr>
        <w:spacing w:after="0" w:line="264" w:lineRule="exact"/>
        <w:rPr>
          <w:sz w:val="20"/>
          <w:szCs w:val="20"/>
          <w:color w:val="auto"/>
        </w:rPr>
      </w:pPr>
    </w:p>
    <w:p>
      <w:pPr>
        <w:jc w:val="both"/>
        <w:ind w:firstLine="267"/>
        <w:spacing w:after="0" w:line="250" w:lineRule="auto"/>
        <w:rPr>
          <w:sz w:val="20"/>
          <w:szCs w:val="20"/>
          <w:color w:val="auto"/>
        </w:rPr>
      </w:pPr>
      <w:r>
        <w:rPr>
          <w:rFonts w:ascii="Arial" w:cs="Arial" w:eastAsia="Arial" w:hAnsi="Arial"/>
          <w:sz w:val="16"/>
          <w:szCs w:val="16"/>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The Compensation and Organization Committee is currently comprised of the following independent Directors: Joan Garahy (Chairperson), Professor William Hall, Mary Pendergast and Rónán Murphy.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i w:val="1"/>
          <w:iCs w:val="1"/>
          <w:color w:val="auto"/>
        </w:rPr>
        <w:t>Nominating and Governance Committee</w:t>
      </w:r>
    </w:p>
    <w:p>
      <w:pPr>
        <w:spacing w:after="0" w:line="264" w:lineRule="exact"/>
        <w:rPr>
          <w:sz w:val="20"/>
          <w:szCs w:val="20"/>
          <w:color w:val="auto"/>
        </w:rPr>
      </w:pPr>
    </w:p>
    <w:p>
      <w:pPr>
        <w:jc w:val="both"/>
        <w:ind w:firstLine="196"/>
        <w:spacing w:after="0" w:line="248" w:lineRule="auto"/>
        <w:rPr>
          <w:sz w:val="20"/>
          <w:szCs w:val="20"/>
          <w:color w:val="auto"/>
        </w:rPr>
      </w:pPr>
      <w:r>
        <w:rPr>
          <w:rFonts w:ascii="Arial" w:cs="Arial" w:eastAsia="Arial" w:hAnsi="Arial"/>
          <w:sz w:val="16"/>
          <w:szCs w:val="16"/>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 an external search consultant as needed to assist it in identifying potential new outside Directors. Once potential suitable candidates are identified either by the external search consultants or by members of the Nominating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 The Nominating and Governance Committee currently comprises the following independent Directors: Eugene McCague (Chairperson), Professor William Hall and Joan Garahy.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Execution Committee</w:t>
      </w:r>
    </w:p>
    <w:p>
      <w:pPr>
        <w:spacing w:after="0" w:line="210" w:lineRule="exact"/>
        <w:rPr>
          <w:sz w:val="20"/>
          <w:szCs w:val="20"/>
          <w:color w:val="auto"/>
        </w:rPr>
      </w:pPr>
    </w:p>
    <w:p>
      <w:pPr>
        <w:jc w:val="both"/>
        <w:ind w:firstLine="210"/>
        <w:spacing w:after="0" w:line="250" w:lineRule="auto"/>
        <w:rPr>
          <w:sz w:val="20"/>
          <w:szCs w:val="20"/>
          <w:color w:val="auto"/>
        </w:rPr>
      </w:pPr>
      <w:r>
        <w:rPr>
          <w:rFonts w:ascii="Arial" w:cs="Arial" w:eastAsia="Arial" w:hAnsi="Arial"/>
          <w:sz w:val="16"/>
          <w:szCs w:val="16"/>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The Execution Committee is currently comprised of the following Directors and Officers: Steve Cutler (Chairperson), Rónán Murphy and Brendan Brennan.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Attendance at Board and Committee meetings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Attendance at Board and Committee meetings by the Directors who held office during 2020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Directors’ Attendance Table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tcPr>
          <w:p>
            <w:pPr>
              <w:ind w:left="1180"/>
              <w:spacing w:after="0" w:line="175" w:lineRule="exact"/>
              <w:rPr>
                <w:sz w:val="20"/>
                <w:szCs w:val="20"/>
                <w:color w:val="auto"/>
              </w:rPr>
            </w:pPr>
            <w:r>
              <w:rPr>
                <w:rFonts w:ascii="Arial" w:cs="Arial" w:eastAsia="Arial" w:hAnsi="Arial"/>
                <w:sz w:val="16"/>
                <w:szCs w:val="16"/>
                <w:b w:val="1"/>
                <w:bCs w:val="1"/>
                <w:color w:val="auto"/>
              </w:rPr>
              <w:t>Board</w:t>
            </w:r>
          </w:p>
        </w:tc>
        <w:tc>
          <w:tcPr>
            <w:tcW w:w="1840" w:type="dxa"/>
            <w:vAlign w:val="bottom"/>
            <w:tcBorders>
              <w:top w:val="single" w:sz="8" w:color="auto"/>
            </w:tcBorders>
          </w:tcPr>
          <w:p>
            <w:pPr>
              <w:ind w:left="800"/>
              <w:spacing w:after="0" w:line="175" w:lineRule="exact"/>
              <w:rPr>
                <w:sz w:val="20"/>
                <w:szCs w:val="20"/>
                <w:color w:val="auto"/>
              </w:rPr>
            </w:pPr>
            <w:r>
              <w:rPr>
                <w:rFonts w:ascii="Arial" w:cs="Arial" w:eastAsia="Arial" w:hAnsi="Arial"/>
                <w:sz w:val="16"/>
                <w:szCs w:val="16"/>
                <w:b w:val="1"/>
                <w:bCs w:val="1"/>
                <w:color w:val="auto"/>
              </w:rPr>
              <w:t>Audit</w:t>
            </w:r>
          </w:p>
        </w:tc>
        <w:tc>
          <w:tcPr>
            <w:tcW w:w="2240" w:type="dxa"/>
            <w:vAlign w:val="bottom"/>
            <w:tcBorders>
              <w:top w:val="single" w:sz="8" w:color="auto"/>
            </w:tcBorders>
          </w:tcPr>
          <w:p>
            <w:pPr>
              <w:jc w:val="center"/>
              <w:ind w:left="39"/>
              <w:spacing w:after="0" w:line="175" w:lineRule="exact"/>
              <w:rPr>
                <w:sz w:val="20"/>
                <w:szCs w:val="20"/>
                <w:color w:val="auto"/>
              </w:rPr>
            </w:pPr>
            <w:r>
              <w:rPr>
                <w:rFonts w:ascii="Arial" w:cs="Arial" w:eastAsia="Arial" w:hAnsi="Arial"/>
                <w:sz w:val="16"/>
                <w:szCs w:val="16"/>
                <w:b w:val="1"/>
                <w:bCs w:val="1"/>
                <w:color w:val="auto"/>
              </w:rPr>
              <w:t>Compensation</w:t>
            </w:r>
          </w:p>
        </w:tc>
        <w:tc>
          <w:tcPr>
            <w:tcW w:w="19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Nominating</w:t>
            </w:r>
          </w:p>
        </w:tc>
      </w:tr>
      <w:tr>
        <w:trPr>
          <w:trHeight w:val="162"/>
        </w:trPr>
        <w:tc>
          <w:tcPr>
            <w:tcW w:w="2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jc w:val="center"/>
              <w:ind w:left="39"/>
              <w:spacing w:after="0" w:line="162" w:lineRule="exact"/>
              <w:rPr>
                <w:sz w:val="20"/>
                <w:szCs w:val="20"/>
                <w:color w:val="auto"/>
              </w:rPr>
            </w:pPr>
            <w:r>
              <w:rPr>
                <w:rFonts w:ascii="Arial" w:cs="Arial" w:eastAsia="Arial" w:hAnsi="Arial"/>
                <w:sz w:val="16"/>
                <w:szCs w:val="16"/>
                <w:b w:val="1"/>
                <w:bCs w:val="1"/>
                <w:color w:val="auto"/>
                <w:w w:val="98"/>
              </w:rPr>
              <w:t>and</w:t>
            </w:r>
          </w:p>
        </w:tc>
        <w:tc>
          <w:tcPr>
            <w:tcW w:w="1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and</w:t>
            </w:r>
          </w:p>
        </w:tc>
      </w:tr>
      <w:tr>
        <w:trPr>
          <w:trHeight w:val="223"/>
        </w:trPr>
        <w:tc>
          <w:tcPr>
            <w:tcW w:w="27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Organization</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r>
      <w:tr>
        <w:trPr>
          <w:trHeight w:val="223"/>
        </w:trPr>
        <w:tc>
          <w:tcPr>
            <w:tcW w:w="274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spacing w:after="0"/>
              <w:rPr>
                <w:sz w:val="19"/>
                <w:szCs w:val="19"/>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Director</w:t>
            </w:r>
          </w:p>
        </w:tc>
        <w:tc>
          <w:tcPr>
            <w:tcW w:w="8500" w:type="dxa"/>
            <w:vAlign w:val="bottom"/>
            <w:gridSpan w:val="4"/>
          </w:tcPr>
          <w:p>
            <w:pPr>
              <w:ind w:left="1280"/>
              <w:spacing w:after="0"/>
              <w:rPr>
                <w:sz w:val="20"/>
                <w:szCs w:val="20"/>
                <w:color w:val="auto"/>
              </w:rPr>
            </w:pPr>
            <w:r>
              <w:rPr>
                <w:rFonts w:ascii="Arial" w:cs="Arial" w:eastAsia="Arial" w:hAnsi="Arial"/>
                <w:sz w:val="16"/>
                <w:szCs w:val="16"/>
                <w:b w:val="1"/>
                <w:bCs w:val="1"/>
                <w:color w:val="auto"/>
              </w:rPr>
              <w:t>Number of meetings attended / number of meetings eligible to attend as a Director</w:t>
            </w:r>
          </w:p>
        </w:tc>
      </w:tr>
      <w:tr>
        <w:trPr>
          <w:trHeight w:val="214"/>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Ciaran Murray</w:t>
            </w:r>
          </w:p>
        </w:tc>
        <w:tc>
          <w:tcPr>
            <w:tcW w:w="24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w w:val="99"/>
              </w:rPr>
              <w:t>—</w:t>
            </w:r>
          </w:p>
        </w:tc>
        <w:tc>
          <w:tcPr>
            <w:tcW w:w="22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Dr. Steve Cutler</w:t>
            </w:r>
          </w:p>
        </w:tc>
        <w:tc>
          <w:tcPr>
            <w:tcW w:w="244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9"/>
              </w:rPr>
              <w:t>—</w:t>
            </w:r>
          </w:p>
        </w:tc>
        <w:tc>
          <w:tcPr>
            <w:tcW w:w="22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Rónán Murphy (1)</w:t>
            </w:r>
          </w:p>
        </w:tc>
        <w:tc>
          <w:tcPr>
            <w:tcW w:w="24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rPr>
              <w:t>4/4</w:t>
            </w:r>
          </w:p>
        </w:tc>
        <w:tc>
          <w:tcPr>
            <w:tcW w:w="22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rPr>
              <w:t>5/5</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9"/>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Prof. Hugh Brady (1)</w:t>
            </w:r>
          </w:p>
        </w:tc>
        <w:tc>
          <w:tcPr>
            <w:tcW w:w="244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4/4</w:t>
            </w:r>
          </w:p>
        </w:tc>
        <w:tc>
          <w:tcPr>
            <w:tcW w:w="22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Dr. John Climax (1)</w:t>
            </w:r>
          </w:p>
        </w:tc>
        <w:tc>
          <w:tcPr>
            <w:tcW w:w="24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w w:val="99"/>
              </w:rPr>
              <w:t>—</w:t>
            </w:r>
          </w:p>
        </w:tc>
        <w:tc>
          <w:tcPr>
            <w:tcW w:w="22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Joan Garahy (1)</w:t>
            </w:r>
          </w:p>
        </w:tc>
        <w:tc>
          <w:tcPr>
            <w:tcW w:w="244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9"/>
              </w:rPr>
              <w:t>—</w:t>
            </w:r>
          </w:p>
        </w:tc>
        <w:tc>
          <w:tcPr>
            <w:tcW w:w="22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5/5</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3/3</w:t>
            </w:r>
          </w:p>
        </w:tc>
      </w:tr>
      <w:tr>
        <w:trPr>
          <w:trHeight w:val="209"/>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Prof. William Hall (1)</w:t>
            </w:r>
          </w:p>
        </w:tc>
        <w:tc>
          <w:tcPr>
            <w:tcW w:w="24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rPr>
              <w:t>5/5</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3/3</w:t>
            </w:r>
          </w:p>
        </w:tc>
      </w:tr>
      <w:tr>
        <w:trPr>
          <w:trHeight w:val="21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Eugene McCague (1)</w:t>
            </w:r>
          </w:p>
        </w:tc>
        <w:tc>
          <w:tcPr>
            <w:tcW w:w="244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4/5</w:t>
            </w:r>
          </w:p>
        </w:tc>
        <w:tc>
          <w:tcPr>
            <w:tcW w:w="18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3/4</w:t>
            </w:r>
          </w:p>
        </w:tc>
        <w:tc>
          <w:tcPr>
            <w:tcW w:w="22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3/3</w:t>
            </w:r>
          </w:p>
        </w:tc>
      </w:tr>
      <w:tr>
        <w:trPr>
          <w:trHeight w:val="210"/>
        </w:trPr>
        <w:tc>
          <w:tcPr>
            <w:tcW w:w="2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Julie O'Neill (1)</w:t>
            </w:r>
          </w:p>
        </w:tc>
        <w:tc>
          <w:tcPr>
            <w:tcW w:w="24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w w:val="99"/>
              </w:rPr>
              <w:t>—</w:t>
            </w:r>
          </w:p>
        </w:tc>
        <w:tc>
          <w:tcPr>
            <w:tcW w:w="224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Mary Pendergast (1)</w:t>
            </w:r>
          </w:p>
        </w:tc>
        <w:tc>
          <w:tcPr>
            <w:tcW w:w="244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5/5</w:t>
            </w:r>
          </w:p>
        </w:tc>
        <w:tc>
          <w:tcPr>
            <w:tcW w:w="18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9"/>
              </w:rPr>
              <w:t>—</w:t>
            </w:r>
          </w:p>
        </w:tc>
        <w:tc>
          <w:tcPr>
            <w:tcW w:w="22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5/5</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20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Independent Director as defined under NASDAQ Rule 5605(a)(2).</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decisions by the Execution Committee were made by written resolution and therefore no meetings were held.</w:t>
      </w:r>
    </w:p>
    <w:p>
      <w:pPr>
        <w:spacing w:after="0" w:line="26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Employees</w:t>
      </w:r>
    </w:p>
    <w:p>
      <w:pPr>
        <w:spacing w:after="0" w:line="268" w:lineRule="exact"/>
        <w:rPr>
          <w:sz w:val="20"/>
          <w:szCs w:val="20"/>
          <w:color w:val="auto"/>
        </w:rPr>
      </w:pPr>
    </w:p>
    <w:p>
      <w:pPr>
        <w:ind w:firstLine="225"/>
        <w:spacing w:after="0" w:line="260" w:lineRule="auto"/>
        <w:rPr>
          <w:sz w:val="20"/>
          <w:szCs w:val="20"/>
          <w:color w:val="auto"/>
        </w:rPr>
      </w:pPr>
      <w:r>
        <w:rPr>
          <w:rFonts w:ascii="Arial" w:cs="Arial" w:eastAsia="Arial" w:hAnsi="Arial"/>
          <w:sz w:val="16"/>
          <w:szCs w:val="16"/>
          <w:color w:val="auto"/>
        </w:rPr>
        <w:t>At December 31, 2020, December 31, 2019 and December 31, 2018 we employed approximately 15,730, 14,650 and 13,670 people respectively. Our employees are not unionized and we believe we have a satisfactory relationship with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ind w:left="660" w:right="9260" w:hanging="328"/>
        <w:spacing w:after="0" w:line="533" w:lineRule="auto"/>
        <w:tabs>
          <w:tab w:leader="none" w:pos="651"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 Shares</w:t>
      </w:r>
    </w:p>
    <w:p>
      <w:pPr>
        <w:spacing w:after="0" w:line="13" w:lineRule="exact"/>
        <w:rPr>
          <w:sz w:val="20"/>
          <w:szCs w:val="20"/>
          <w:color w:val="auto"/>
        </w:rPr>
      </w:pPr>
    </w:p>
    <w:p>
      <w:pPr>
        <w:jc w:val="both"/>
        <w:ind w:firstLine="259"/>
        <w:spacing w:after="0" w:line="253" w:lineRule="auto"/>
        <w:rPr>
          <w:sz w:val="20"/>
          <w:szCs w:val="20"/>
          <w:color w:val="auto"/>
        </w:rPr>
      </w:pPr>
      <w:r>
        <w:rPr>
          <w:rFonts w:ascii="Arial" w:cs="Arial" w:eastAsia="Arial" w:hAnsi="Arial"/>
          <w:sz w:val="16"/>
          <w:szCs w:val="16"/>
          <w:color w:val="auto"/>
        </w:rPr>
        <w:t>The following table sets forth certain information as of February 24, 2021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480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No. of</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 of total</w:t>
            </w:r>
          </w:p>
        </w:tc>
      </w:tr>
      <w:tr>
        <w:trPr>
          <w:trHeight w:val="21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48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Shares (1)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Mr. Ciaran Murray</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710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Steve Cutler</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26,601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0.05 %</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Mr. Brendan Brennan</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19,472</w:t>
            </w:r>
          </w:p>
        </w:tc>
        <w:tc>
          <w:tcPr>
            <w:tcW w:w="1180" w:type="dxa"/>
            <w:vAlign w:val="bottom"/>
          </w:tcPr>
          <w:p>
            <w:pPr>
              <w:jc w:val="right"/>
              <w:spacing w:after="0"/>
              <w:rPr>
                <w:sz w:val="20"/>
                <w:szCs w:val="20"/>
                <w:color w:val="auto"/>
              </w:rPr>
            </w:pPr>
            <w:r>
              <w:rPr>
                <w:rFonts w:ascii="Arial" w:cs="Arial" w:eastAsia="Arial" w:hAnsi="Arial"/>
                <w:sz w:val="16"/>
                <w:szCs w:val="16"/>
                <w:color w:val="auto"/>
              </w:rPr>
              <w:t>0.04 %</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Mr. Rónán Murphy</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710</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Professor Hugh Brady</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 John Climax</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563,278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Ms. Joan Garahy</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710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Professor William Hall</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Mr. Eugene McCague</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710</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 Julie O'Neill</w:t>
            </w:r>
          </w:p>
        </w:tc>
        <w:tc>
          <w:tcPr>
            <w:tcW w:w="48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520</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Ms. Mary Pendergast</w:t>
            </w:r>
          </w:p>
        </w:tc>
        <w:tc>
          <w:tcPr>
            <w:tcW w:w="4800" w:type="dxa"/>
            <w:vAlign w:val="bottom"/>
          </w:tcPr>
          <w:p>
            <w:pPr>
              <w:jc w:val="right"/>
              <w:ind w:right="379"/>
              <w:spacing w:after="0"/>
              <w:rPr>
                <w:sz w:val="20"/>
                <w:szCs w:val="20"/>
                <w:color w:val="auto"/>
              </w:rPr>
            </w:pPr>
            <w:r>
              <w:rPr>
                <w:rFonts w:ascii="Arial" w:cs="Arial" w:eastAsia="Arial" w:hAnsi="Arial"/>
                <w:sz w:val="16"/>
                <w:szCs w:val="16"/>
                <w:color w:val="auto"/>
              </w:rPr>
              <w:t>767</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bl>
    <w:p>
      <w:pPr>
        <w:spacing w:after="0" w:line="332" w:lineRule="exact"/>
        <w:rPr>
          <w:sz w:val="20"/>
          <w:szCs w:val="20"/>
          <w:color w:val="auto"/>
        </w:rPr>
      </w:pPr>
    </w:p>
    <w:p>
      <w:pPr>
        <w:jc w:val="both"/>
        <w:ind w:left="500" w:hanging="330"/>
        <w:spacing w:after="0" w:line="253" w:lineRule="auto"/>
        <w:tabs>
          <w:tab w:leader="none" w:pos="4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Restricted Share Units and Performance Share Units</w:t>
      </w:r>
    </w:p>
    <w:p>
      <w:pPr>
        <w:spacing w:after="0" w:line="268" w:lineRule="exact"/>
        <w:rPr>
          <w:sz w:val="20"/>
          <w:szCs w:val="20"/>
          <w:color w:val="auto"/>
        </w:rPr>
      </w:pPr>
    </w:p>
    <w:p>
      <w:pPr>
        <w:ind w:firstLine="303"/>
        <w:spacing w:after="0" w:line="260" w:lineRule="auto"/>
        <w:rPr>
          <w:sz w:val="20"/>
          <w:szCs w:val="20"/>
          <w:color w:val="auto"/>
        </w:rPr>
      </w:pPr>
      <w:r>
        <w:rPr>
          <w:rFonts w:ascii="Arial" w:cs="Arial" w:eastAsia="Arial" w:hAnsi="Arial"/>
          <w:sz w:val="16"/>
          <w:szCs w:val="16"/>
          <w:color w:val="auto"/>
        </w:rPr>
        <w:t>The following table sets forth certain information as of February 24, 2021 regarding beneficial ownership of Restricted Share Units (“RSUs”) and Performance Share Units (“PSUs”) which have been issued to our current Directors and executive officers.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No. of</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Vesting Date</w:t>
            </w:r>
          </w:p>
        </w:tc>
        <w:tc>
          <w:tcPr>
            <w:tcW w:w="202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No. of</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Vesting Date</w:t>
            </w:r>
          </w:p>
        </w:tc>
        <w:tc>
          <w:tcPr>
            <w:tcW w:w="0" w:type="dxa"/>
            <w:vAlign w:val="bottom"/>
          </w:tcPr>
          <w:p>
            <w:pPr>
              <w:spacing w:after="0"/>
              <w:rPr>
                <w:sz w:val="1"/>
                <w:szCs w:val="1"/>
                <w:color w:val="auto"/>
              </w:rPr>
            </w:pPr>
          </w:p>
        </w:tc>
      </w:tr>
      <w:tr>
        <w:trPr>
          <w:trHeight w:val="216"/>
        </w:trPr>
        <w:tc>
          <w:tcPr>
            <w:tcW w:w="2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28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RSUs</w:t>
            </w:r>
          </w:p>
        </w:tc>
        <w:tc>
          <w:tcPr>
            <w:tcW w:w="246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519"/>
              <w:spacing w:after="0" w:line="216" w:lineRule="exact"/>
              <w:rPr>
                <w:sz w:val="20"/>
                <w:szCs w:val="20"/>
                <w:color w:val="auto"/>
              </w:rPr>
            </w:pPr>
            <w:r>
              <w:rPr>
                <w:rFonts w:ascii="Arial" w:cs="Arial" w:eastAsia="Arial" w:hAnsi="Arial"/>
                <w:sz w:val="16"/>
                <w:szCs w:val="16"/>
                <w:b w:val="1"/>
                <w:bCs w:val="1"/>
                <w:color w:val="auto"/>
              </w:rPr>
              <w:t xml:space="preserve">PSUs </w:t>
            </w:r>
            <w:r>
              <w:rPr>
                <w:rFonts w:ascii="Arial" w:cs="Arial" w:eastAsia="Arial" w:hAnsi="Arial"/>
                <w:sz w:val="21"/>
                <w:szCs w:val="21"/>
                <w:b w:val="1"/>
                <w:bCs w:val="1"/>
                <w:color w:val="auto"/>
                <w:vertAlign w:val="superscript"/>
              </w:rPr>
              <w:t>(1)</w:t>
            </w:r>
          </w:p>
        </w:tc>
        <w:tc>
          <w:tcPr>
            <w:tcW w:w="1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20"/>
              <w:spacing w:after="0"/>
              <w:rPr>
                <w:sz w:val="20"/>
                <w:szCs w:val="20"/>
                <w:color w:val="auto"/>
              </w:rPr>
            </w:pPr>
            <w:r>
              <w:rPr>
                <w:rFonts w:ascii="Arial" w:cs="Arial" w:eastAsia="Arial" w:hAnsi="Arial"/>
                <w:sz w:val="16"/>
                <w:szCs w:val="16"/>
                <w:color w:val="auto"/>
              </w:rPr>
              <w:t>Mr. Ciaran Murray</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1,201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22, 2021</w:t>
            </w:r>
          </w:p>
        </w:tc>
        <w:tc>
          <w:tcPr>
            <w:tcW w:w="20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20" w:type="dxa"/>
            <w:vAlign w:val="bottom"/>
          </w:tcPr>
          <w:p>
            <w:pPr>
              <w:ind w:left="20"/>
              <w:spacing w:after="0"/>
              <w:rPr>
                <w:sz w:val="20"/>
                <w:szCs w:val="20"/>
                <w:color w:val="auto"/>
              </w:rPr>
            </w:pPr>
            <w:r>
              <w:rPr>
                <w:rFonts w:ascii="Arial" w:cs="Arial" w:eastAsia="Arial" w:hAnsi="Arial"/>
                <w:sz w:val="16"/>
                <w:szCs w:val="16"/>
                <w:color w:val="auto"/>
              </w:rPr>
              <w:t>Dr. Steve Cutler</w:t>
            </w:r>
          </w:p>
        </w:tc>
        <w:tc>
          <w:tcPr>
            <w:tcW w:w="2820" w:type="dxa"/>
            <w:vAlign w:val="bottom"/>
            <w:vMerge w:val="restart"/>
          </w:tcPr>
          <w:p>
            <w:pPr>
              <w:jc w:val="right"/>
              <w:ind w:right="519"/>
              <w:spacing w:after="0"/>
              <w:rPr>
                <w:sz w:val="20"/>
                <w:szCs w:val="20"/>
                <w:color w:val="auto"/>
              </w:rPr>
            </w:pPr>
            <w:r>
              <w:rPr>
                <w:rFonts w:ascii="Arial" w:cs="Arial" w:eastAsia="Arial" w:hAnsi="Arial"/>
                <w:sz w:val="16"/>
                <w:szCs w:val="16"/>
                <w:color w:val="auto"/>
              </w:rPr>
              <w:t>4,302</w:t>
            </w:r>
          </w:p>
        </w:tc>
        <w:tc>
          <w:tcPr>
            <w:tcW w:w="2460" w:type="dxa"/>
            <w:vAlign w:val="bottom"/>
            <w:vMerge w:val="restart"/>
          </w:tcPr>
          <w:p>
            <w:pPr>
              <w:jc w:val="right"/>
              <w:ind w:right="739"/>
              <w:spacing w:after="0"/>
              <w:rPr>
                <w:sz w:val="20"/>
                <w:szCs w:val="20"/>
                <w:color w:val="auto"/>
              </w:rPr>
            </w:pPr>
            <w:r>
              <w:rPr>
                <w:rFonts w:ascii="Arial" w:cs="Arial" w:eastAsia="Arial" w:hAnsi="Arial"/>
                <w:sz w:val="16"/>
                <w:szCs w:val="16"/>
                <w:color w:val="auto"/>
              </w:rPr>
              <w:t>March 3, 2021</w:t>
            </w:r>
          </w:p>
        </w:tc>
        <w:tc>
          <w:tcPr>
            <w:tcW w:w="2020" w:type="dxa"/>
            <w:vAlign w:val="bottom"/>
            <w:vMerge w:val="restart"/>
          </w:tcPr>
          <w:p>
            <w:pPr>
              <w:jc w:val="right"/>
              <w:ind w:right="519"/>
              <w:spacing w:after="0"/>
              <w:rPr>
                <w:sz w:val="20"/>
                <w:szCs w:val="20"/>
                <w:color w:val="auto"/>
              </w:rPr>
            </w:pPr>
            <w:r>
              <w:rPr>
                <w:rFonts w:ascii="Arial" w:cs="Arial" w:eastAsia="Arial" w:hAnsi="Arial"/>
                <w:sz w:val="16"/>
                <w:szCs w:val="16"/>
                <w:color w:val="auto"/>
              </w:rPr>
              <w:t>15,050</w:t>
            </w: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March 3, 2021</w:t>
            </w:r>
          </w:p>
        </w:tc>
        <w:tc>
          <w:tcPr>
            <w:tcW w:w="0" w:type="dxa"/>
            <w:vAlign w:val="bottom"/>
          </w:tcPr>
          <w:p>
            <w:pPr>
              <w:spacing w:after="0"/>
              <w:rPr>
                <w:sz w:val="1"/>
                <w:szCs w:val="1"/>
                <w:color w:val="auto"/>
              </w:rPr>
            </w:pPr>
          </w:p>
        </w:tc>
      </w:tr>
      <w:tr>
        <w:trPr>
          <w:trHeight w:val="57"/>
        </w:trPr>
        <w:tc>
          <w:tcPr>
            <w:tcW w:w="2220" w:type="dxa"/>
            <w:vAlign w:val="bottom"/>
          </w:tcPr>
          <w:p>
            <w:pPr>
              <w:spacing w:after="0"/>
              <w:rPr>
                <w:sz w:val="4"/>
                <w:szCs w:val="4"/>
                <w:color w:val="auto"/>
              </w:rPr>
            </w:pPr>
          </w:p>
        </w:tc>
        <w:tc>
          <w:tcPr>
            <w:tcW w:w="2820" w:type="dxa"/>
            <w:vAlign w:val="bottom"/>
            <w:vMerge w:val="continue"/>
          </w:tcPr>
          <w:p>
            <w:pPr>
              <w:spacing w:after="0"/>
              <w:rPr>
                <w:sz w:val="4"/>
                <w:szCs w:val="4"/>
                <w:color w:val="auto"/>
              </w:rPr>
            </w:pPr>
          </w:p>
        </w:tc>
        <w:tc>
          <w:tcPr>
            <w:tcW w:w="2460" w:type="dxa"/>
            <w:vAlign w:val="bottom"/>
            <w:vMerge w:val="continue"/>
          </w:tcPr>
          <w:p>
            <w:pPr>
              <w:spacing w:after="0"/>
              <w:rPr>
                <w:sz w:val="4"/>
                <w:szCs w:val="4"/>
                <w:color w:val="auto"/>
              </w:rPr>
            </w:pPr>
          </w:p>
        </w:tc>
        <w:tc>
          <w:tcPr>
            <w:tcW w:w="202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3,578</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2021</w:t>
            </w:r>
          </w:p>
        </w:tc>
        <w:tc>
          <w:tcPr>
            <w:tcW w:w="20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12,526</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2022</w:t>
            </w:r>
          </w:p>
        </w:tc>
        <w:tc>
          <w:tcPr>
            <w:tcW w:w="0" w:type="dxa"/>
            <w:vAlign w:val="bottom"/>
          </w:tcPr>
          <w:p>
            <w:pPr>
              <w:spacing w:after="0"/>
              <w:rPr>
                <w:sz w:val="1"/>
                <w:szCs w:val="1"/>
                <w:color w:val="auto"/>
              </w:rPr>
            </w:pPr>
          </w:p>
        </w:tc>
      </w:tr>
      <w:tr>
        <w:trPr>
          <w:trHeight w:val="267"/>
        </w:trPr>
        <w:tc>
          <w:tcPr>
            <w:tcW w:w="2220" w:type="dxa"/>
            <w:vAlign w:val="bottom"/>
          </w:tcPr>
          <w:p>
            <w:pPr>
              <w:spacing w:after="0"/>
              <w:rPr>
                <w:sz w:val="23"/>
                <w:szCs w:val="23"/>
                <w:color w:val="auto"/>
              </w:rPr>
            </w:pP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3,200</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2021</w:t>
            </w:r>
          </w:p>
        </w:tc>
        <w:tc>
          <w:tcPr>
            <w:tcW w:w="2020" w:type="dxa"/>
            <w:vAlign w:val="bottom"/>
          </w:tcPr>
          <w:p>
            <w:pPr>
              <w:jc w:val="right"/>
              <w:ind w:right="579"/>
              <w:spacing w:after="0"/>
              <w:rPr>
                <w:sz w:val="20"/>
                <w:szCs w:val="20"/>
                <w:color w:val="auto"/>
              </w:rPr>
            </w:pPr>
            <w:r>
              <w:rPr>
                <w:rFonts w:ascii="Arial" w:cs="Arial" w:eastAsia="Arial" w:hAnsi="Arial"/>
                <w:sz w:val="16"/>
                <w:szCs w:val="16"/>
                <w:color w:val="auto"/>
              </w:rPr>
              <w:t>11,202</w:t>
            </w:r>
          </w:p>
        </w:tc>
        <w:tc>
          <w:tcPr>
            <w:tcW w:w="1660" w:type="dxa"/>
            <w:vAlign w:val="bottom"/>
          </w:tcPr>
          <w:p>
            <w:pPr>
              <w:jc w:val="right"/>
              <w:spacing w:after="0"/>
              <w:rPr>
                <w:sz w:val="20"/>
                <w:szCs w:val="20"/>
                <w:color w:val="auto"/>
              </w:rPr>
            </w:pPr>
            <w:r>
              <w:rPr>
                <w:rFonts w:ascii="Arial" w:cs="Arial" w:eastAsia="Arial" w:hAnsi="Arial"/>
                <w:sz w:val="16"/>
                <w:szCs w:val="16"/>
                <w:color w:val="auto"/>
              </w:rPr>
              <w:t>March 3, 2023</w:t>
            </w: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3,581</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220" w:type="dxa"/>
            <w:vAlign w:val="bottom"/>
          </w:tcPr>
          <w:p>
            <w:pPr>
              <w:spacing w:after="0"/>
              <w:rPr>
                <w:sz w:val="23"/>
                <w:szCs w:val="23"/>
                <w:color w:val="auto"/>
              </w:rPr>
            </w:pP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3,200</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220" w:type="dxa"/>
            <w:vAlign w:val="bottom"/>
          </w:tcPr>
          <w:p>
            <w:pPr>
              <w:spacing w:after="0"/>
              <w:rPr>
                <w:sz w:val="23"/>
                <w:szCs w:val="23"/>
                <w:color w:val="auto"/>
              </w:rPr>
            </w:pP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3,201</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Mr. Brendan Brennan</w:t>
            </w:r>
          </w:p>
        </w:tc>
        <w:tc>
          <w:tcPr>
            <w:tcW w:w="282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rPr>
              <w:t>1,010</w:t>
            </w:r>
          </w:p>
        </w:tc>
        <w:tc>
          <w:tcPr>
            <w:tcW w:w="246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rPr>
              <w:t>March 3, 2021</w:t>
            </w:r>
          </w:p>
        </w:tc>
        <w:tc>
          <w:tcPr>
            <w:tcW w:w="2020" w:type="dxa"/>
            <w:vAlign w:val="bottom"/>
            <w:vMerge w:val="restart"/>
            <w:shd w:val="clear" w:color="auto" w:fill="CCEEFF"/>
          </w:tcPr>
          <w:p>
            <w:pPr>
              <w:jc w:val="right"/>
              <w:ind w:right="519"/>
              <w:spacing w:after="0"/>
              <w:rPr>
                <w:sz w:val="20"/>
                <w:szCs w:val="20"/>
                <w:color w:val="auto"/>
              </w:rPr>
            </w:pPr>
            <w:r>
              <w:rPr>
                <w:rFonts w:ascii="Arial" w:cs="Arial" w:eastAsia="Arial" w:hAnsi="Arial"/>
                <w:sz w:val="16"/>
                <w:szCs w:val="16"/>
                <w:color w:val="auto"/>
              </w:rPr>
              <w:t>3,532</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March 3, 2021</w:t>
            </w:r>
          </w:p>
        </w:tc>
        <w:tc>
          <w:tcPr>
            <w:tcW w:w="0" w:type="dxa"/>
            <w:vAlign w:val="bottom"/>
          </w:tcPr>
          <w:p>
            <w:pPr>
              <w:spacing w:after="0"/>
              <w:rPr>
                <w:sz w:val="1"/>
                <w:szCs w:val="1"/>
                <w:color w:val="auto"/>
              </w:rPr>
            </w:pPr>
          </w:p>
        </w:tc>
      </w:tr>
      <w:tr>
        <w:trPr>
          <w:trHeight w:val="60"/>
        </w:trPr>
        <w:tc>
          <w:tcPr>
            <w:tcW w:w="2220" w:type="dxa"/>
            <w:vAlign w:val="bottom"/>
            <w:shd w:val="clear" w:color="auto" w:fill="CCEEFF"/>
          </w:tcPr>
          <w:p>
            <w:pPr>
              <w:spacing w:after="0"/>
              <w:rPr>
                <w:sz w:val="5"/>
                <w:szCs w:val="5"/>
                <w:color w:val="auto"/>
              </w:rPr>
            </w:pPr>
          </w:p>
        </w:tc>
        <w:tc>
          <w:tcPr>
            <w:tcW w:w="2820" w:type="dxa"/>
            <w:vAlign w:val="bottom"/>
            <w:vMerge w:val="continue"/>
            <w:shd w:val="clear" w:color="auto" w:fill="CCEEFF"/>
          </w:tcPr>
          <w:p>
            <w:pPr>
              <w:spacing w:after="0"/>
              <w:rPr>
                <w:sz w:val="5"/>
                <w:szCs w:val="5"/>
                <w:color w:val="auto"/>
              </w:rPr>
            </w:pPr>
          </w:p>
        </w:tc>
        <w:tc>
          <w:tcPr>
            <w:tcW w:w="2460" w:type="dxa"/>
            <w:vAlign w:val="bottom"/>
            <w:vMerge w:val="continue"/>
            <w:shd w:val="clear" w:color="auto" w:fill="CCEEFF"/>
          </w:tcPr>
          <w:p>
            <w:pPr>
              <w:spacing w:after="0"/>
              <w:rPr>
                <w:sz w:val="5"/>
                <w:szCs w:val="5"/>
                <w:color w:val="auto"/>
              </w:rPr>
            </w:pPr>
          </w:p>
        </w:tc>
        <w:tc>
          <w:tcPr>
            <w:tcW w:w="202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220" w:type="dxa"/>
            <w:vAlign w:val="bottom"/>
            <w:shd w:val="clear" w:color="auto" w:fill="CCEEFF"/>
          </w:tcPr>
          <w:p>
            <w:pPr>
              <w:spacing w:after="0"/>
              <w:rPr>
                <w:sz w:val="23"/>
                <w:szCs w:val="23"/>
                <w:color w:val="auto"/>
              </w:rPr>
            </w:pP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780</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2021</w:t>
            </w:r>
          </w:p>
        </w:tc>
        <w:tc>
          <w:tcPr>
            <w:tcW w:w="2020" w:type="dxa"/>
            <w:vAlign w:val="bottom"/>
          </w:tcPr>
          <w:p>
            <w:pPr>
              <w:jc w:val="right"/>
              <w:ind w:right="519"/>
              <w:spacing w:after="0"/>
              <w:rPr>
                <w:sz w:val="20"/>
                <w:szCs w:val="20"/>
                <w:color w:val="auto"/>
              </w:rPr>
            </w:pPr>
            <w:r>
              <w:rPr>
                <w:rFonts w:ascii="Arial" w:cs="Arial" w:eastAsia="Arial" w:hAnsi="Arial"/>
                <w:sz w:val="16"/>
                <w:szCs w:val="16"/>
                <w:color w:val="auto"/>
              </w:rPr>
              <w:t>2,731</w:t>
            </w:r>
          </w:p>
        </w:tc>
        <w:tc>
          <w:tcPr>
            <w:tcW w:w="1660" w:type="dxa"/>
            <w:vAlign w:val="bottom"/>
          </w:tcPr>
          <w:p>
            <w:pPr>
              <w:jc w:val="right"/>
              <w:spacing w:after="0"/>
              <w:rPr>
                <w:sz w:val="20"/>
                <w:szCs w:val="20"/>
                <w:color w:val="auto"/>
              </w:rPr>
            </w:pPr>
            <w:r>
              <w:rPr>
                <w:rFonts w:ascii="Arial" w:cs="Arial" w:eastAsia="Arial" w:hAnsi="Arial"/>
                <w:sz w:val="16"/>
                <w:szCs w:val="16"/>
                <w:color w:val="auto"/>
              </w:rPr>
              <w:t>March 3, 2022</w:t>
            </w: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692</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2021</w:t>
            </w:r>
          </w:p>
        </w:tc>
        <w:tc>
          <w:tcPr>
            <w:tcW w:w="20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2,425</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2023</w:t>
            </w:r>
          </w:p>
        </w:tc>
        <w:tc>
          <w:tcPr>
            <w:tcW w:w="0" w:type="dxa"/>
            <w:vAlign w:val="bottom"/>
          </w:tcPr>
          <w:p>
            <w:pPr>
              <w:spacing w:after="0"/>
              <w:rPr>
                <w:sz w:val="1"/>
                <w:szCs w:val="1"/>
                <w:color w:val="auto"/>
              </w:rPr>
            </w:pPr>
          </w:p>
        </w:tc>
      </w:tr>
      <w:tr>
        <w:trPr>
          <w:trHeight w:val="267"/>
        </w:trPr>
        <w:tc>
          <w:tcPr>
            <w:tcW w:w="2220" w:type="dxa"/>
            <w:vAlign w:val="bottom"/>
            <w:shd w:val="clear" w:color="auto" w:fill="CCEEFF"/>
          </w:tcPr>
          <w:p>
            <w:pPr>
              <w:spacing w:after="0"/>
              <w:rPr>
                <w:sz w:val="23"/>
                <w:szCs w:val="23"/>
                <w:color w:val="auto"/>
              </w:rPr>
            </w:pP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781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692</w:t>
            </w:r>
          </w:p>
        </w:tc>
        <w:tc>
          <w:tcPr>
            <w:tcW w:w="246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March 3, 2022</w:t>
            </w: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220" w:type="dxa"/>
            <w:vAlign w:val="bottom"/>
            <w:shd w:val="clear" w:color="auto" w:fill="CCEEFF"/>
          </w:tcPr>
          <w:p>
            <w:pPr>
              <w:spacing w:after="0"/>
              <w:rPr>
                <w:sz w:val="23"/>
                <w:szCs w:val="23"/>
                <w:color w:val="auto"/>
              </w:rPr>
            </w:pP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694</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March 3, 2023</w:t>
            </w:r>
          </w:p>
        </w:tc>
        <w:tc>
          <w:tcPr>
            <w:tcW w:w="20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Mr. Rónán Murphy</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1,201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22, 2021</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Professor Hugh Brady</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1,201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22, 2021</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Dr. John Climax</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1,201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22, 2021</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Ms. Joan Garahy</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1,201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22, 2021</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Professor William Hall</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1,201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22, 2021</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Mr. Eugene McCague</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1,201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22, 2021</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Ms. Julie O'Neill</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1,201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22, 2021</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220" w:type="dxa"/>
            <w:vAlign w:val="bottom"/>
            <w:shd w:val="clear" w:color="auto" w:fill="CCEEFF"/>
          </w:tcPr>
          <w:p>
            <w:pPr>
              <w:spacing w:after="0"/>
              <w:rPr>
                <w:sz w:val="23"/>
                <w:szCs w:val="23"/>
                <w:color w:val="auto"/>
              </w:rPr>
            </w:pPr>
          </w:p>
        </w:tc>
        <w:tc>
          <w:tcPr>
            <w:tcW w:w="282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Ms. Mary Pendergast</w:t>
            </w:r>
          </w:p>
        </w:tc>
        <w:tc>
          <w:tcPr>
            <w:tcW w:w="2820" w:type="dxa"/>
            <w:vAlign w:val="bottom"/>
          </w:tcPr>
          <w:p>
            <w:pPr>
              <w:jc w:val="right"/>
              <w:ind w:right="519"/>
              <w:spacing w:after="0"/>
              <w:rPr>
                <w:sz w:val="20"/>
                <w:szCs w:val="20"/>
                <w:color w:val="auto"/>
              </w:rPr>
            </w:pPr>
            <w:r>
              <w:rPr>
                <w:rFonts w:ascii="Arial" w:cs="Arial" w:eastAsia="Arial" w:hAnsi="Arial"/>
                <w:sz w:val="16"/>
                <w:szCs w:val="16"/>
                <w:color w:val="auto"/>
              </w:rPr>
              <w:t>1,201</w:t>
            </w:r>
          </w:p>
        </w:tc>
        <w:tc>
          <w:tcPr>
            <w:tcW w:w="2460" w:type="dxa"/>
            <w:vAlign w:val="bottom"/>
          </w:tcPr>
          <w:p>
            <w:pPr>
              <w:jc w:val="right"/>
              <w:ind w:right="739"/>
              <w:spacing w:after="0"/>
              <w:rPr>
                <w:sz w:val="20"/>
                <w:szCs w:val="20"/>
                <w:color w:val="auto"/>
              </w:rPr>
            </w:pPr>
            <w:r>
              <w:rPr>
                <w:rFonts w:ascii="Arial" w:cs="Arial" w:eastAsia="Arial" w:hAnsi="Arial"/>
                <w:sz w:val="16"/>
                <w:szCs w:val="16"/>
                <w:color w:val="auto"/>
              </w:rPr>
              <w:t>May 22, 2021</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220" w:type="dxa"/>
            <w:vAlign w:val="bottom"/>
            <w:tcBorders>
              <w:bottom w:val="single" w:sz="8" w:color="auto"/>
            </w:tcBorders>
            <w:shd w:val="clear" w:color="auto" w:fill="CCEEFF"/>
          </w:tcPr>
          <w:p>
            <w:pPr>
              <w:spacing w:after="0"/>
              <w:rPr>
                <w:sz w:val="23"/>
                <w:szCs w:val="23"/>
                <w:color w:val="auto"/>
              </w:rPr>
            </w:pPr>
          </w:p>
        </w:tc>
        <w:tc>
          <w:tcPr>
            <w:tcW w:w="2820" w:type="dxa"/>
            <w:vAlign w:val="bottom"/>
            <w:tcBorders>
              <w:bottom w:val="single" w:sz="8" w:color="auto"/>
            </w:tcBorders>
            <w:shd w:val="clear" w:color="auto" w:fill="CCEEFF"/>
          </w:tcPr>
          <w:p>
            <w:pPr>
              <w:spacing w:after="0"/>
              <w:rPr>
                <w:sz w:val="23"/>
                <w:szCs w:val="23"/>
                <w:color w:val="auto"/>
              </w:rPr>
            </w:pPr>
          </w:p>
        </w:tc>
        <w:tc>
          <w:tcPr>
            <w:tcW w:w="2460" w:type="dxa"/>
            <w:vAlign w:val="bottom"/>
            <w:tcBorders>
              <w:bottom w:val="single" w:sz="8" w:color="auto"/>
            </w:tcBorders>
            <w:shd w:val="clear" w:color="auto" w:fill="CCEEFF"/>
          </w:tcPr>
          <w:p>
            <w:pPr>
              <w:spacing w:after="0"/>
              <w:rPr>
                <w:sz w:val="23"/>
                <w:szCs w:val="23"/>
                <w:color w:val="auto"/>
              </w:rPr>
            </w:pPr>
          </w:p>
        </w:tc>
        <w:tc>
          <w:tcPr>
            <w:tcW w:w="20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both"/>
        <w:ind w:left="500" w:hanging="330"/>
        <w:spacing w:after="0" w:line="235" w:lineRule="auto"/>
        <w:tabs>
          <w:tab w:leader="none" w:pos="495" w:val="left"/>
        </w:tabs>
        <w:numPr>
          <w:ilvl w:val="0"/>
          <w:numId w:val="45"/>
        </w:numPr>
        <w:rPr>
          <w:rFonts w:ascii="Arial" w:cs="Arial" w:eastAsia="Arial" w:hAnsi="Arial"/>
          <w:sz w:val="16"/>
          <w:szCs w:val="16"/>
          <w:color w:val="auto"/>
        </w:rPr>
      </w:pPr>
      <w:r>
        <w:rPr>
          <w:rFonts w:ascii="Arial" w:cs="Arial" w:eastAsia="Arial" w:hAnsi="Arial"/>
          <w:sz w:val="16"/>
          <w:szCs w:val="16"/>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periods 2018 – 2020, 2019 – 2021 and 2020 – 2022. Depending on the actual amount of EPS from 2018 to 2022, up to a maximum of 47,466 additional PSUs may also be granted to Dr. Steve Cutler and Mr. Brendan Brennan.</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Share Options</w:t>
      </w:r>
    </w:p>
    <w:p>
      <w:pPr>
        <w:spacing w:after="0" w:line="268" w:lineRule="exact"/>
        <w:rPr>
          <w:sz w:val="20"/>
          <w:szCs w:val="20"/>
          <w:color w:val="auto"/>
        </w:rPr>
      </w:pPr>
    </w:p>
    <w:p>
      <w:pPr>
        <w:ind w:firstLine="179"/>
        <w:spacing w:after="0" w:line="260" w:lineRule="auto"/>
        <w:rPr>
          <w:sz w:val="20"/>
          <w:szCs w:val="20"/>
          <w:color w:val="auto"/>
        </w:rPr>
      </w:pPr>
      <w:r>
        <w:rPr>
          <w:rFonts w:ascii="Arial" w:cs="Arial" w:eastAsia="Arial" w:hAnsi="Arial"/>
          <w:sz w:val="16"/>
          <w:szCs w:val="16"/>
          <w:color w:val="auto"/>
        </w:rPr>
        <w:t>The following table sets forth certain information as of February 24, 2021 regarding options to acquire ordinary shares of the Company by all of our current Directors and executive officers.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Name of Owner or</w:t>
            </w:r>
          </w:p>
        </w:tc>
        <w:tc>
          <w:tcPr>
            <w:tcW w:w="212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No. of</w:t>
            </w:r>
          </w:p>
        </w:tc>
        <w:tc>
          <w:tcPr>
            <w:tcW w:w="422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Exercise price Expiration Date</w:t>
            </w:r>
          </w:p>
        </w:tc>
      </w:tr>
      <w:tr>
        <w:trPr>
          <w:trHeight w:val="216"/>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Identity of Group</w:t>
            </w:r>
          </w:p>
        </w:tc>
        <w:tc>
          <w:tcPr>
            <w:tcW w:w="2120" w:type="dxa"/>
            <w:vAlign w:val="bottom"/>
            <w:tcBorders>
              <w:bottom w:val="single" w:sz="8" w:color="auto"/>
            </w:tcBorders>
            <w:shd w:val="clear" w:color="auto" w:fill="CCEEFF"/>
          </w:tcPr>
          <w:p>
            <w:pPr>
              <w:jc w:val="right"/>
              <w:ind w:right="359"/>
              <w:spacing w:after="0" w:line="216" w:lineRule="exact"/>
              <w:rPr>
                <w:sz w:val="20"/>
                <w:szCs w:val="20"/>
                <w:color w:val="auto"/>
              </w:rPr>
            </w:pPr>
            <w:r>
              <w:rPr>
                <w:rFonts w:ascii="Arial" w:cs="Arial" w:eastAsia="Arial" w:hAnsi="Arial"/>
                <w:sz w:val="16"/>
                <w:szCs w:val="16"/>
                <w:b w:val="1"/>
                <w:bCs w:val="1"/>
                <w:color w:val="auto"/>
              </w:rPr>
              <w:t xml:space="preserve">Options </w:t>
            </w:r>
            <w:r>
              <w:rPr>
                <w:rFonts w:ascii="Arial" w:cs="Arial" w:eastAsia="Arial" w:hAnsi="Arial"/>
                <w:sz w:val="21"/>
                <w:szCs w:val="21"/>
                <w:b w:val="1"/>
                <w:bCs w:val="1"/>
                <w:color w:val="auto"/>
                <w:vertAlign w:val="superscript"/>
              </w:rPr>
              <w:t>(1)</w:t>
            </w:r>
          </w:p>
        </w:tc>
        <w:tc>
          <w:tcPr>
            <w:tcW w:w="4220" w:type="dxa"/>
            <w:vAlign w:val="bottom"/>
            <w:tcBorders>
              <w:bottom w:val="single" w:sz="8" w:color="auto"/>
            </w:tcBorders>
            <w:shd w:val="clear" w:color="auto" w:fill="CCEEFF"/>
          </w:tcPr>
          <w:p>
            <w:pPr>
              <w:spacing w:after="0"/>
              <w:rPr>
                <w:sz w:val="18"/>
                <w:szCs w:val="18"/>
                <w:color w:val="auto"/>
              </w:rPr>
            </w:pPr>
          </w:p>
        </w:tc>
      </w:tr>
    </w:tbl>
    <w:p>
      <w:pPr>
        <w:spacing w:after="0" w:line="15" w:lineRule="exact"/>
        <w:rPr>
          <w:sz w:val="20"/>
          <w:szCs w:val="20"/>
          <w:color w:val="auto"/>
        </w:rPr>
      </w:pPr>
    </w:p>
    <w:p>
      <w:pPr>
        <w:sectPr>
          <w:pgSz w:w="11900" w:h="16838" w:orient="portrait"/>
          <w:cols w:equalWidth="0" w:num="1">
            <w:col w:w="11240"/>
          </w:cols>
          <w:pgMar w:left="320" w:top="891" w:right="339" w:bottom="1440" w:gutter="0" w:footer="0" w:header="0"/>
        </w:sectPr>
      </w:pPr>
    </w:p>
    <w:p>
      <w:pPr>
        <w:ind w:left="20"/>
        <w:spacing w:after="0"/>
        <w:rPr>
          <w:sz w:val="20"/>
          <w:szCs w:val="20"/>
          <w:color w:val="auto"/>
        </w:rPr>
      </w:pPr>
      <w:r>
        <w:rPr>
          <w:rFonts w:ascii="Arial" w:cs="Arial" w:eastAsia="Arial" w:hAnsi="Arial"/>
          <w:sz w:val="16"/>
          <w:szCs w:val="16"/>
          <w:color w:val="auto"/>
        </w:rPr>
        <w:t>Mr.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1088390" cy="9772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8839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Dr. Steve Cutler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1088390" cy="7626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839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Rónán Murphy</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Professor Hugh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1088390" cy="11398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88390" cy="113982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Dr. John Climax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Ms. Joan Garahy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088390" cy="4889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88390" cy="488950"/>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Professor William Hall</w:t>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Mr. Eugene McCague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088390" cy="9772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88390" cy="97726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Ms. Mary Pendergast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45,948</w:t>
            </w:r>
          </w:p>
        </w:tc>
        <w:tc>
          <w:tcPr>
            <w:tcW w:w="1320" w:type="dxa"/>
            <w:vAlign w:val="bottom"/>
          </w:tcPr>
          <w:p>
            <w:pPr>
              <w:jc w:val="right"/>
              <w:spacing w:after="0"/>
              <w:rPr>
                <w:sz w:val="20"/>
                <w:szCs w:val="20"/>
                <w:color w:val="auto"/>
              </w:rPr>
            </w:pPr>
            <w:r>
              <w:rPr>
                <w:rFonts w:ascii="Arial" w:cs="Arial" w:eastAsia="Arial" w:hAnsi="Arial"/>
                <w:sz w:val="16"/>
                <w:szCs w:val="16"/>
                <w:color w:val="auto"/>
              </w:rPr>
              <w:t>$71.95</w:t>
            </w:r>
          </w:p>
        </w:tc>
        <w:tc>
          <w:tcPr>
            <w:tcW w:w="2680" w:type="dxa"/>
            <w:vAlign w:val="bottom"/>
          </w:tcPr>
          <w:p>
            <w:pPr>
              <w:ind w:left="40"/>
              <w:spacing w:after="0"/>
              <w:rPr>
                <w:sz w:val="20"/>
                <w:szCs w:val="20"/>
                <w:color w:val="auto"/>
              </w:rPr>
            </w:pPr>
            <w:r>
              <w:rPr>
                <w:rFonts w:ascii="Arial" w:cs="Arial" w:eastAsia="Arial" w:hAnsi="Arial"/>
                <w:sz w:val="16"/>
                <w:szCs w:val="16"/>
                <w:color w:val="auto"/>
              </w:rPr>
              <w:t>March 4, 2024</w:t>
            </w:r>
          </w:p>
        </w:tc>
      </w:tr>
      <w:tr>
        <w:trPr>
          <w:trHeight w:val="260"/>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7,693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19, 2025</w:t>
            </w: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5,005</w:t>
            </w:r>
          </w:p>
        </w:tc>
        <w:tc>
          <w:tcPr>
            <w:tcW w:w="1320" w:type="dxa"/>
            <w:vAlign w:val="bottom"/>
          </w:tcPr>
          <w:p>
            <w:pPr>
              <w:jc w:val="right"/>
              <w:spacing w:after="0"/>
              <w:rPr>
                <w:sz w:val="20"/>
                <w:szCs w:val="20"/>
                <w:color w:val="auto"/>
              </w:rPr>
            </w:pPr>
            <w:r>
              <w:rPr>
                <w:rFonts w:ascii="Arial" w:cs="Arial" w:eastAsia="Arial" w:hAnsi="Arial"/>
                <w:sz w:val="16"/>
                <w:szCs w:val="16"/>
                <w:color w:val="auto"/>
              </w:rPr>
              <w:t>$125.74</w:t>
            </w:r>
          </w:p>
        </w:tc>
        <w:tc>
          <w:tcPr>
            <w:tcW w:w="2680" w:type="dxa"/>
            <w:vAlign w:val="bottom"/>
          </w:tcPr>
          <w:p>
            <w:pPr>
              <w:ind w:left="40"/>
              <w:spacing w:after="0"/>
              <w:rPr>
                <w:sz w:val="20"/>
                <w:szCs w:val="20"/>
                <w:color w:val="auto"/>
              </w:rPr>
            </w:pPr>
            <w:r>
              <w:rPr>
                <w:rFonts w:ascii="Arial" w:cs="Arial" w:eastAsia="Arial" w:hAnsi="Arial"/>
                <w:sz w:val="16"/>
                <w:szCs w:val="16"/>
                <w:color w:val="auto"/>
              </w:rPr>
              <w:t>May 18, 2026</w:t>
            </w:r>
          </w:p>
        </w:tc>
      </w:tr>
      <w:tr>
        <w:trPr>
          <w:trHeight w:val="259"/>
        </w:trPr>
        <w:tc>
          <w:tcPr>
            <w:tcW w:w="29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r>
        <w:trPr>
          <w:trHeight w:val="254"/>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6,128</w:t>
            </w:r>
          </w:p>
        </w:tc>
        <w:tc>
          <w:tcPr>
            <w:tcW w:w="1320" w:type="dxa"/>
            <w:vAlign w:val="bottom"/>
          </w:tcPr>
          <w:p>
            <w:pPr>
              <w:jc w:val="right"/>
              <w:spacing w:after="0"/>
              <w:rPr>
                <w:sz w:val="20"/>
                <w:szCs w:val="20"/>
                <w:color w:val="auto"/>
              </w:rPr>
            </w:pPr>
            <w:r>
              <w:rPr>
                <w:rFonts w:ascii="Arial" w:cs="Arial" w:eastAsia="Arial" w:hAnsi="Arial"/>
                <w:sz w:val="16"/>
                <w:szCs w:val="16"/>
                <w:color w:val="auto"/>
              </w:rPr>
              <w:t>$71.95</w:t>
            </w:r>
          </w:p>
        </w:tc>
        <w:tc>
          <w:tcPr>
            <w:tcW w:w="2680" w:type="dxa"/>
            <w:vAlign w:val="bottom"/>
          </w:tcPr>
          <w:p>
            <w:pPr>
              <w:ind w:left="40"/>
              <w:spacing w:after="0"/>
              <w:rPr>
                <w:sz w:val="20"/>
                <w:szCs w:val="20"/>
                <w:color w:val="auto"/>
              </w:rPr>
            </w:pPr>
            <w:r>
              <w:rPr>
                <w:rFonts w:ascii="Arial" w:cs="Arial" w:eastAsia="Arial" w:hAnsi="Arial"/>
                <w:sz w:val="16"/>
                <w:szCs w:val="16"/>
                <w:color w:val="auto"/>
              </w:rPr>
              <w:t>March 4, 2024</w:t>
            </w:r>
          </w:p>
        </w:tc>
      </w:tr>
      <w:tr>
        <w:trPr>
          <w:trHeight w:val="259"/>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25,156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2025</w:t>
            </w:r>
          </w:p>
        </w:tc>
      </w:tr>
      <w:tr>
        <w:trPr>
          <w:trHeight w:val="254"/>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29,613</w:t>
            </w:r>
          </w:p>
        </w:tc>
        <w:tc>
          <w:tcPr>
            <w:tcW w:w="1320" w:type="dxa"/>
            <w:vAlign w:val="bottom"/>
          </w:tcPr>
          <w:p>
            <w:pPr>
              <w:jc w:val="right"/>
              <w:spacing w:after="0"/>
              <w:rPr>
                <w:sz w:val="20"/>
                <w:szCs w:val="20"/>
                <w:color w:val="auto"/>
              </w:rPr>
            </w:pPr>
            <w:r>
              <w:rPr>
                <w:rFonts w:ascii="Arial" w:cs="Arial" w:eastAsia="Arial" w:hAnsi="Arial"/>
                <w:sz w:val="16"/>
                <w:szCs w:val="16"/>
                <w:color w:val="auto"/>
              </w:rPr>
              <w:t>$115.11</w:t>
            </w:r>
          </w:p>
        </w:tc>
        <w:tc>
          <w:tcPr>
            <w:tcW w:w="2680" w:type="dxa"/>
            <w:vAlign w:val="bottom"/>
          </w:tcPr>
          <w:p>
            <w:pPr>
              <w:ind w:left="40"/>
              <w:spacing w:after="0"/>
              <w:rPr>
                <w:sz w:val="20"/>
                <w:szCs w:val="20"/>
                <w:color w:val="auto"/>
              </w:rPr>
            </w:pPr>
            <w:r>
              <w:rPr>
                <w:rFonts w:ascii="Arial" w:cs="Arial" w:eastAsia="Arial" w:hAnsi="Arial"/>
                <w:sz w:val="16"/>
                <w:szCs w:val="16"/>
                <w:color w:val="auto"/>
              </w:rPr>
              <w:t>March 3, 2026</w:t>
            </w:r>
          </w:p>
        </w:tc>
      </w:tr>
      <w:tr>
        <w:trPr>
          <w:trHeight w:val="259"/>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32,272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2027</w:t>
            </w: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42,386</w:t>
            </w:r>
          </w:p>
        </w:tc>
        <w:tc>
          <w:tcPr>
            <w:tcW w:w="1320" w:type="dxa"/>
            <w:vAlign w:val="bottom"/>
          </w:tcPr>
          <w:p>
            <w:pPr>
              <w:jc w:val="right"/>
              <w:spacing w:after="0"/>
              <w:rPr>
                <w:sz w:val="20"/>
                <w:szCs w:val="20"/>
                <w:color w:val="auto"/>
              </w:rPr>
            </w:pPr>
            <w:r>
              <w:rPr>
                <w:rFonts w:ascii="Arial" w:cs="Arial" w:eastAsia="Arial" w:hAnsi="Arial"/>
                <w:sz w:val="16"/>
                <w:szCs w:val="16"/>
                <w:color w:val="auto"/>
              </w:rPr>
              <w:t>$159.33</w:t>
            </w:r>
          </w:p>
        </w:tc>
        <w:tc>
          <w:tcPr>
            <w:tcW w:w="2680" w:type="dxa"/>
            <w:vAlign w:val="bottom"/>
          </w:tcPr>
          <w:p>
            <w:pPr>
              <w:ind w:left="40"/>
              <w:spacing w:after="0"/>
              <w:rPr>
                <w:sz w:val="20"/>
                <w:szCs w:val="20"/>
                <w:color w:val="auto"/>
              </w:rPr>
            </w:pPr>
            <w:r>
              <w:rPr>
                <w:rFonts w:ascii="Arial" w:cs="Arial" w:eastAsia="Arial" w:hAnsi="Arial"/>
                <w:sz w:val="16"/>
                <w:szCs w:val="16"/>
                <w:color w:val="auto"/>
              </w:rPr>
              <w:t>March 3, 2028</w:t>
            </w:r>
          </w:p>
        </w:tc>
      </w:tr>
      <w:tr>
        <w:trPr>
          <w:trHeight w:val="260"/>
        </w:trPr>
        <w:tc>
          <w:tcPr>
            <w:tcW w:w="29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13,611</w:t>
            </w:r>
          </w:p>
        </w:tc>
        <w:tc>
          <w:tcPr>
            <w:tcW w:w="1320" w:type="dxa"/>
            <w:vAlign w:val="bottom"/>
          </w:tcPr>
          <w:p>
            <w:pPr>
              <w:jc w:val="right"/>
              <w:spacing w:after="0"/>
              <w:rPr>
                <w:sz w:val="20"/>
                <w:szCs w:val="20"/>
                <w:color w:val="auto"/>
              </w:rPr>
            </w:pPr>
            <w:r>
              <w:rPr>
                <w:rFonts w:ascii="Arial" w:cs="Arial" w:eastAsia="Arial" w:hAnsi="Arial"/>
                <w:sz w:val="16"/>
                <w:szCs w:val="16"/>
                <w:color w:val="auto"/>
              </w:rPr>
              <w:t>$71.95</w:t>
            </w:r>
          </w:p>
        </w:tc>
        <w:tc>
          <w:tcPr>
            <w:tcW w:w="2680" w:type="dxa"/>
            <w:vAlign w:val="bottom"/>
          </w:tcPr>
          <w:p>
            <w:pPr>
              <w:ind w:left="40"/>
              <w:spacing w:after="0"/>
              <w:rPr>
                <w:sz w:val="20"/>
                <w:szCs w:val="20"/>
                <w:color w:val="auto"/>
              </w:rPr>
            </w:pPr>
            <w:r>
              <w:rPr>
                <w:rFonts w:ascii="Arial" w:cs="Arial" w:eastAsia="Arial" w:hAnsi="Arial"/>
                <w:sz w:val="16"/>
                <w:szCs w:val="16"/>
                <w:color w:val="auto"/>
              </w:rPr>
              <w:t>March 4, 2024</w:t>
            </w:r>
          </w:p>
        </w:tc>
      </w:tr>
      <w:tr>
        <w:trPr>
          <w:trHeight w:val="260"/>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14,206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2025</w:t>
            </w: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9,584</w:t>
            </w:r>
          </w:p>
        </w:tc>
        <w:tc>
          <w:tcPr>
            <w:tcW w:w="1320" w:type="dxa"/>
            <w:vAlign w:val="bottom"/>
          </w:tcPr>
          <w:p>
            <w:pPr>
              <w:jc w:val="right"/>
              <w:spacing w:after="0"/>
              <w:rPr>
                <w:sz w:val="20"/>
                <w:szCs w:val="20"/>
                <w:color w:val="auto"/>
              </w:rPr>
            </w:pPr>
            <w:r>
              <w:rPr>
                <w:rFonts w:ascii="Arial" w:cs="Arial" w:eastAsia="Arial" w:hAnsi="Arial"/>
                <w:sz w:val="16"/>
                <w:szCs w:val="16"/>
                <w:color w:val="auto"/>
              </w:rPr>
              <w:t>$115.11</w:t>
            </w:r>
          </w:p>
        </w:tc>
        <w:tc>
          <w:tcPr>
            <w:tcW w:w="2680" w:type="dxa"/>
            <w:vAlign w:val="bottom"/>
          </w:tcPr>
          <w:p>
            <w:pPr>
              <w:ind w:left="40"/>
              <w:spacing w:after="0"/>
              <w:rPr>
                <w:sz w:val="20"/>
                <w:szCs w:val="20"/>
                <w:color w:val="auto"/>
              </w:rPr>
            </w:pPr>
            <w:r>
              <w:rPr>
                <w:rFonts w:ascii="Arial" w:cs="Arial" w:eastAsia="Arial" w:hAnsi="Arial"/>
                <w:sz w:val="16"/>
                <w:szCs w:val="16"/>
                <w:color w:val="auto"/>
              </w:rPr>
              <w:t>March 3, 2026</w:t>
            </w:r>
          </w:p>
        </w:tc>
      </w:tr>
      <w:tr>
        <w:trPr>
          <w:trHeight w:val="259"/>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8,796</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3, 2027</w:t>
            </w:r>
          </w:p>
        </w:tc>
      </w:tr>
      <w:tr>
        <w:trPr>
          <w:trHeight w:val="254"/>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9,176</w:t>
            </w:r>
          </w:p>
        </w:tc>
        <w:tc>
          <w:tcPr>
            <w:tcW w:w="1320" w:type="dxa"/>
            <w:vAlign w:val="bottom"/>
          </w:tcPr>
          <w:p>
            <w:pPr>
              <w:jc w:val="right"/>
              <w:spacing w:after="0"/>
              <w:rPr>
                <w:sz w:val="20"/>
                <w:szCs w:val="20"/>
                <w:color w:val="auto"/>
              </w:rPr>
            </w:pPr>
            <w:r>
              <w:rPr>
                <w:rFonts w:ascii="Arial" w:cs="Arial" w:eastAsia="Arial" w:hAnsi="Arial"/>
                <w:sz w:val="16"/>
                <w:szCs w:val="16"/>
                <w:color w:val="auto"/>
              </w:rPr>
              <w:t>$159.33</w:t>
            </w:r>
          </w:p>
        </w:tc>
        <w:tc>
          <w:tcPr>
            <w:tcW w:w="2680" w:type="dxa"/>
            <w:vAlign w:val="bottom"/>
          </w:tcPr>
          <w:p>
            <w:pPr>
              <w:ind w:left="40"/>
              <w:spacing w:after="0"/>
              <w:rPr>
                <w:sz w:val="20"/>
                <w:szCs w:val="20"/>
                <w:color w:val="auto"/>
              </w:rPr>
            </w:pPr>
            <w:r>
              <w:rPr>
                <w:rFonts w:ascii="Arial" w:cs="Arial" w:eastAsia="Arial" w:hAnsi="Arial"/>
                <w:sz w:val="16"/>
                <w:szCs w:val="16"/>
                <w:color w:val="auto"/>
              </w:rPr>
              <w:t>March 3, 2028</w:t>
            </w:r>
          </w:p>
        </w:tc>
      </w:tr>
      <w:tr>
        <w:trPr>
          <w:trHeight w:val="259"/>
        </w:trPr>
        <w:tc>
          <w:tcPr>
            <w:tcW w:w="29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r>
        <w:trPr>
          <w:trHeight w:val="21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4,617</w:t>
            </w:r>
          </w:p>
        </w:tc>
        <w:tc>
          <w:tcPr>
            <w:tcW w:w="1320" w:type="dxa"/>
            <w:vAlign w:val="bottom"/>
          </w:tcPr>
          <w:p>
            <w:pPr>
              <w:jc w:val="right"/>
              <w:spacing w:after="0"/>
              <w:rPr>
                <w:sz w:val="20"/>
                <w:szCs w:val="20"/>
                <w:color w:val="auto"/>
              </w:rPr>
            </w:pPr>
            <w:r>
              <w:rPr>
                <w:rFonts w:ascii="Arial" w:cs="Arial" w:eastAsia="Arial" w:hAnsi="Arial"/>
                <w:sz w:val="16"/>
                <w:szCs w:val="16"/>
                <w:color w:val="auto"/>
              </w:rPr>
              <w:t>$90.03</w:t>
            </w:r>
          </w:p>
        </w:tc>
        <w:tc>
          <w:tcPr>
            <w:tcW w:w="2680" w:type="dxa"/>
            <w:vAlign w:val="bottom"/>
          </w:tcPr>
          <w:p>
            <w:pPr>
              <w:ind w:left="40"/>
              <w:spacing w:after="0"/>
              <w:rPr>
                <w:sz w:val="20"/>
                <w:szCs w:val="20"/>
                <w:color w:val="auto"/>
              </w:rPr>
            </w:pPr>
            <w:r>
              <w:rPr>
                <w:rFonts w:ascii="Arial" w:cs="Arial" w:eastAsia="Arial" w:hAnsi="Arial"/>
                <w:sz w:val="16"/>
                <w:szCs w:val="16"/>
                <w:color w:val="auto"/>
              </w:rPr>
              <w:t>May 19, 2025</w:t>
            </w:r>
          </w:p>
        </w:tc>
      </w:tr>
      <w:tr>
        <w:trPr>
          <w:trHeight w:val="219"/>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5,005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18, 2026</w:t>
            </w:r>
          </w:p>
        </w:tc>
      </w:tr>
      <w:tr>
        <w:trPr>
          <w:trHeight w:val="257"/>
        </w:trPr>
        <w:tc>
          <w:tcPr>
            <w:tcW w:w="2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56"/>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2,113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20, 2024</w:t>
            </w:r>
          </w:p>
        </w:tc>
      </w:tr>
      <w:tr>
        <w:trPr>
          <w:trHeight w:val="254"/>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3,079</w:t>
            </w:r>
          </w:p>
        </w:tc>
        <w:tc>
          <w:tcPr>
            <w:tcW w:w="1320" w:type="dxa"/>
            <w:vAlign w:val="bottom"/>
          </w:tcPr>
          <w:p>
            <w:pPr>
              <w:jc w:val="right"/>
              <w:spacing w:after="0"/>
              <w:rPr>
                <w:sz w:val="20"/>
                <w:szCs w:val="20"/>
                <w:color w:val="auto"/>
              </w:rPr>
            </w:pPr>
            <w:r>
              <w:rPr>
                <w:rFonts w:ascii="Arial" w:cs="Arial" w:eastAsia="Arial" w:hAnsi="Arial"/>
                <w:sz w:val="16"/>
                <w:szCs w:val="16"/>
                <w:color w:val="auto"/>
              </w:rPr>
              <w:t>$90.03</w:t>
            </w:r>
          </w:p>
        </w:tc>
        <w:tc>
          <w:tcPr>
            <w:tcW w:w="2680" w:type="dxa"/>
            <w:vAlign w:val="bottom"/>
          </w:tcPr>
          <w:p>
            <w:pPr>
              <w:ind w:left="40"/>
              <w:spacing w:after="0"/>
              <w:rPr>
                <w:sz w:val="20"/>
                <w:szCs w:val="20"/>
                <w:color w:val="auto"/>
              </w:rPr>
            </w:pPr>
            <w:r>
              <w:rPr>
                <w:rFonts w:ascii="Arial" w:cs="Arial" w:eastAsia="Arial" w:hAnsi="Arial"/>
                <w:sz w:val="16"/>
                <w:szCs w:val="16"/>
                <w:color w:val="auto"/>
              </w:rPr>
              <w:t>May 19, 2025</w:t>
            </w:r>
          </w:p>
        </w:tc>
      </w:tr>
      <w:tr>
        <w:trPr>
          <w:trHeight w:val="259"/>
        </w:trPr>
        <w:tc>
          <w:tcPr>
            <w:tcW w:w="29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2,500</w:t>
            </w:r>
          </w:p>
        </w:tc>
        <w:tc>
          <w:tcPr>
            <w:tcW w:w="1320" w:type="dxa"/>
            <w:vAlign w:val="bottom"/>
          </w:tcPr>
          <w:p>
            <w:pPr>
              <w:jc w:val="right"/>
              <w:spacing w:after="0"/>
              <w:rPr>
                <w:sz w:val="20"/>
                <w:szCs w:val="20"/>
                <w:color w:val="auto"/>
              </w:rPr>
            </w:pPr>
            <w:r>
              <w:rPr>
                <w:rFonts w:ascii="Arial" w:cs="Arial" w:eastAsia="Arial" w:hAnsi="Arial"/>
                <w:sz w:val="16"/>
                <w:szCs w:val="16"/>
                <w:color w:val="auto"/>
              </w:rPr>
              <w:t>$32.37</w:t>
            </w:r>
          </w:p>
        </w:tc>
        <w:tc>
          <w:tcPr>
            <w:tcW w:w="2680" w:type="dxa"/>
            <w:vAlign w:val="bottom"/>
          </w:tcPr>
          <w:p>
            <w:pPr>
              <w:ind w:left="40"/>
              <w:spacing w:after="0"/>
              <w:rPr>
                <w:sz w:val="20"/>
                <w:szCs w:val="20"/>
                <w:color w:val="auto"/>
              </w:rPr>
            </w:pPr>
            <w:r>
              <w:rPr>
                <w:rFonts w:ascii="Arial" w:cs="Arial" w:eastAsia="Arial" w:hAnsi="Arial"/>
                <w:sz w:val="16"/>
                <w:szCs w:val="16"/>
                <w:color w:val="auto"/>
              </w:rPr>
              <w:t>May 1, 2021</w:t>
            </w:r>
          </w:p>
        </w:tc>
      </w:tr>
      <w:tr>
        <w:trPr>
          <w:trHeight w:val="260"/>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10,000</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23, 2022</w:t>
            </w:r>
          </w:p>
        </w:tc>
      </w:tr>
      <w:tr>
        <w:trPr>
          <w:trHeight w:val="254"/>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10,000</w:t>
            </w:r>
          </w:p>
        </w:tc>
        <w:tc>
          <w:tcPr>
            <w:tcW w:w="1320" w:type="dxa"/>
            <w:vAlign w:val="bottom"/>
          </w:tcPr>
          <w:p>
            <w:pPr>
              <w:jc w:val="right"/>
              <w:spacing w:after="0"/>
              <w:rPr>
                <w:sz w:val="20"/>
                <w:szCs w:val="20"/>
                <w:color w:val="auto"/>
              </w:rPr>
            </w:pPr>
            <w:r>
              <w:rPr>
                <w:rFonts w:ascii="Arial" w:cs="Arial" w:eastAsia="Arial" w:hAnsi="Arial"/>
                <w:sz w:val="16"/>
                <w:szCs w:val="16"/>
                <w:color w:val="auto"/>
              </w:rPr>
              <w:t>$68.39</w:t>
            </w:r>
          </w:p>
        </w:tc>
        <w:tc>
          <w:tcPr>
            <w:tcW w:w="2680" w:type="dxa"/>
            <w:vAlign w:val="bottom"/>
          </w:tcPr>
          <w:p>
            <w:pPr>
              <w:ind w:left="40"/>
              <w:spacing w:after="0"/>
              <w:rPr>
                <w:sz w:val="20"/>
                <w:szCs w:val="20"/>
                <w:color w:val="auto"/>
              </w:rPr>
            </w:pPr>
            <w:r>
              <w:rPr>
                <w:rFonts w:ascii="Arial" w:cs="Arial" w:eastAsia="Arial" w:hAnsi="Arial"/>
                <w:sz w:val="16"/>
                <w:szCs w:val="16"/>
                <w:color w:val="auto"/>
              </w:rPr>
              <w:t>March 18, 2023</w:t>
            </w:r>
          </w:p>
        </w:tc>
      </w:tr>
      <w:tr>
        <w:trPr>
          <w:trHeight w:val="260"/>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10,557</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20, 2024</w:t>
            </w: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7,693</w:t>
            </w:r>
          </w:p>
        </w:tc>
        <w:tc>
          <w:tcPr>
            <w:tcW w:w="1320" w:type="dxa"/>
            <w:vAlign w:val="bottom"/>
          </w:tcPr>
          <w:p>
            <w:pPr>
              <w:jc w:val="right"/>
              <w:spacing w:after="0"/>
              <w:rPr>
                <w:sz w:val="20"/>
                <w:szCs w:val="20"/>
                <w:color w:val="auto"/>
              </w:rPr>
            </w:pPr>
            <w:r>
              <w:rPr>
                <w:rFonts w:ascii="Arial" w:cs="Arial" w:eastAsia="Arial" w:hAnsi="Arial"/>
                <w:sz w:val="16"/>
                <w:szCs w:val="16"/>
                <w:color w:val="auto"/>
              </w:rPr>
              <w:t>$90.03</w:t>
            </w:r>
          </w:p>
        </w:tc>
        <w:tc>
          <w:tcPr>
            <w:tcW w:w="2680" w:type="dxa"/>
            <w:vAlign w:val="bottom"/>
          </w:tcPr>
          <w:p>
            <w:pPr>
              <w:ind w:left="40"/>
              <w:spacing w:after="0"/>
              <w:rPr>
                <w:sz w:val="20"/>
                <w:szCs w:val="20"/>
                <w:color w:val="auto"/>
              </w:rPr>
            </w:pPr>
            <w:r>
              <w:rPr>
                <w:rFonts w:ascii="Arial" w:cs="Arial" w:eastAsia="Arial" w:hAnsi="Arial"/>
                <w:sz w:val="16"/>
                <w:szCs w:val="16"/>
                <w:color w:val="auto"/>
              </w:rPr>
              <w:t>May 19, 2025</w:t>
            </w:r>
          </w:p>
        </w:tc>
      </w:tr>
      <w:tr>
        <w:trPr>
          <w:trHeight w:val="260"/>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5,005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18, 2026</w:t>
            </w:r>
          </w:p>
        </w:tc>
      </w:tr>
      <w:tr>
        <w:trPr>
          <w:trHeight w:val="256"/>
        </w:trPr>
        <w:tc>
          <w:tcPr>
            <w:tcW w:w="2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16"/>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5,005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18, 2026</w:t>
            </w:r>
          </w:p>
        </w:tc>
      </w:tr>
      <w:tr>
        <w:trPr>
          <w:trHeight w:val="256"/>
        </w:trPr>
        <w:tc>
          <w:tcPr>
            <w:tcW w:w="2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80" w:type="dxa"/>
            <w:vAlign w:val="bottom"/>
          </w:tcPr>
          <w:p>
            <w:pPr>
              <w:spacing w:after="0"/>
              <w:rPr>
                <w:sz w:val="22"/>
                <w:szCs w:val="22"/>
                <w:color w:val="auto"/>
              </w:rPr>
            </w:pPr>
          </w:p>
        </w:tc>
      </w:tr>
      <w:tr>
        <w:trPr>
          <w:trHeight w:val="257"/>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2,113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20, 2024</w:t>
            </w: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3,079</w:t>
            </w:r>
          </w:p>
        </w:tc>
        <w:tc>
          <w:tcPr>
            <w:tcW w:w="1320" w:type="dxa"/>
            <w:vAlign w:val="bottom"/>
          </w:tcPr>
          <w:p>
            <w:pPr>
              <w:jc w:val="right"/>
              <w:spacing w:after="0"/>
              <w:rPr>
                <w:sz w:val="20"/>
                <w:szCs w:val="20"/>
                <w:color w:val="auto"/>
              </w:rPr>
            </w:pPr>
            <w:r>
              <w:rPr>
                <w:rFonts w:ascii="Arial" w:cs="Arial" w:eastAsia="Arial" w:hAnsi="Arial"/>
                <w:sz w:val="16"/>
                <w:szCs w:val="16"/>
                <w:color w:val="auto"/>
              </w:rPr>
              <w:t>$90.03</w:t>
            </w:r>
          </w:p>
        </w:tc>
        <w:tc>
          <w:tcPr>
            <w:tcW w:w="2680" w:type="dxa"/>
            <w:vAlign w:val="bottom"/>
          </w:tcPr>
          <w:p>
            <w:pPr>
              <w:ind w:left="40"/>
              <w:spacing w:after="0"/>
              <w:rPr>
                <w:sz w:val="20"/>
                <w:szCs w:val="20"/>
                <w:color w:val="auto"/>
              </w:rPr>
            </w:pPr>
            <w:r>
              <w:rPr>
                <w:rFonts w:ascii="Arial" w:cs="Arial" w:eastAsia="Arial" w:hAnsi="Arial"/>
                <w:sz w:val="16"/>
                <w:szCs w:val="16"/>
                <w:color w:val="auto"/>
              </w:rPr>
              <w:t>May 19, 2025</w:t>
            </w:r>
          </w:p>
        </w:tc>
      </w:tr>
      <w:tr>
        <w:trPr>
          <w:trHeight w:val="260"/>
        </w:trPr>
        <w:tc>
          <w:tcPr>
            <w:tcW w:w="29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r>
        <w:trPr>
          <w:trHeight w:val="21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5,005</w:t>
            </w:r>
          </w:p>
        </w:tc>
        <w:tc>
          <w:tcPr>
            <w:tcW w:w="1320" w:type="dxa"/>
            <w:vAlign w:val="bottom"/>
          </w:tcPr>
          <w:p>
            <w:pPr>
              <w:jc w:val="right"/>
              <w:spacing w:after="0"/>
              <w:rPr>
                <w:sz w:val="20"/>
                <w:szCs w:val="20"/>
                <w:color w:val="auto"/>
              </w:rPr>
            </w:pPr>
            <w:r>
              <w:rPr>
                <w:rFonts w:ascii="Arial" w:cs="Arial" w:eastAsia="Arial" w:hAnsi="Arial"/>
                <w:sz w:val="16"/>
                <w:szCs w:val="16"/>
                <w:color w:val="auto"/>
              </w:rPr>
              <w:t>$125.74</w:t>
            </w:r>
          </w:p>
        </w:tc>
        <w:tc>
          <w:tcPr>
            <w:tcW w:w="2680" w:type="dxa"/>
            <w:vAlign w:val="bottom"/>
          </w:tcPr>
          <w:p>
            <w:pPr>
              <w:ind w:left="40"/>
              <w:spacing w:after="0"/>
              <w:rPr>
                <w:sz w:val="20"/>
                <w:szCs w:val="20"/>
                <w:color w:val="auto"/>
              </w:rPr>
            </w:pPr>
            <w:r>
              <w:rPr>
                <w:rFonts w:ascii="Arial" w:cs="Arial" w:eastAsia="Arial" w:hAnsi="Arial"/>
                <w:sz w:val="16"/>
                <w:szCs w:val="16"/>
                <w:color w:val="auto"/>
              </w:rPr>
              <w:t>May 18, 2026</w:t>
            </w:r>
          </w:p>
        </w:tc>
      </w:tr>
      <w:tr>
        <w:trPr>
          <w:trHeight w:val="260"/>
        </w:trPr>
        <w:tc>
          <w:tcPr>
            <w:tcW w:w="29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10,000</w:t>
            </w:r>
          </w:p>
        </w:tc>
        <w:tc>
          <w:tcPr>
            <w:tcW w:w="1320" w:type="dxa"/>
            <w:vAlign w:val="bottom"/>
          </w:tcPr>
          <w:p>
            <w:pPr>
              <w:jc w:val="right"/>
              <w:spacing w:after="0"/>
              <w:rPr>
                <w:sz w:val="20"/>
                <w:szCs w:val="20"/>
                <w:color w:val="auto"/>
              </w:rPr>
            </w:pPr>
            <w:r>
              <w:rPr>
                <w:rFonts w:ascii="Arial" w:cs="Arial" w:eastAsia="Arial" w:hAnsi="Arial"/>
                <w:sz w:val="16"/>
                <w:szCs w:val="16"/>
                <w:color w:val="auto"/>
              </w:rPr>
              <w:t>$40.83</w:t>
            </w:r>
          </w:p>
        </w:tc>
        <w:tc>
          <w:tcPr>
            <w:tcW w:w="2680" w:type="dxa"/>
            <w:vAlign w:val="bottom"/>
          </w:tcPr>
          <w:p>
            <w:pPr>
              <w:ind w:left="40"/>
              <w:spacing w:after="0"/>
              <w:rPr>
                <w:sz w:val="20"/>
                <w:szCs w:val="20"/>
                <w:color w:val="auto"/>
              </w:rPr>
            </w:pPr>
            <w:r>
              <w:rPr>
                <w:rFonts w:ascii="Arial" w:cs="Arial" w:eastAsia="Arial" w:hAnsi="Arial"/>
                <w:sz w:val="16"/>
                <w:szCs w:val="16"/>
                <w:color w:val="auto"/>
              </w:rPr>
              <w:t>May 23, 2022</w:t>
            </w:r>
          </w:p>
        </w:tc>
      </w:tr>
      <w:tr>
        <w:trPr>
          <w:trHeight w:val="260"/>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10,000</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18, 2023</w:t>
            </w: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10,557</w:t>
            </w:r>
          </w:p>
        </w:tc>
        <w:tc>
          <w:tcPr>
            <w:tcW w:w="1320" w:type="dxa"/>
            <w:vAlign w:val="bottom"/>
          </w:tcPr>
          <w:p>
            <w:pPr>
              <w:jc w:val="right"/>
              <w:spacing w:after="0"/>
              <w:rPr>
                <w:sz w:val="20"/>
                <w:szCs w:val="20"/>
                <w:color w:val="auto"/>
              </w:rPr>
            </w:pPr>
            <w:r>
              <w:rPr>
                <w:rFonts w:ascii="Arial" w:cs="Arial" w:eastAsia="Arial" w:hAnsi="Arial"/>
                <w:sz w:val="16"/>
                <w:szCs w:val="16"/>
                <w:color w:val="auto"/>
              </w:rPr>
              <w:t>$65.60</w:t>
            </w:r>
          </w:p>
        </w:tc>
        <w:tc>
          <w:tcPr>
            <w:tcW w:w="2680" w:type="dxa"/>
            <w:vAlign w:val="bottom"/>
          </w:tcPr>
          <w:p>
            <w:pPr>
              <w:ind w:left="40"/>
              <w:spacing w:after="0"/>
              <w:rPr>
                <w:sz w:val="20"/>
                <w:szCs w:val="20"/>
                <w:color w:val="auto"/>
              </w:rPr>
            </w:pPr>
            <w:r>
              <w:rPr>
                <w:rFonts w:ascii="Arial" w:cs="Arial" w:eastAsia="Arial" w:hAnsi="Arial"/>
                <w:sz w:val="16"/>
                <w:szCs w:val="16"/>
                <w:color w:val="auto"/>
              </w:rPr>
              <w:t>May 20, 2024</w:t>
            </w:r>
          </w:p>
        </w:tc>
      </w:tr>
      <w:tr>
        <w:trPr>
          <w:trHeight w:val="260"/>
        </w:trPr>
        <w:tc>
          <w:tcPr>
            <w:tcW w:w="29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7,693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19, 2025</w:t>
            </w:r>
          </w:p>
        </w:tc>
      </w:tr>
      <w:tr>
        <w:trPr>
          <w:trHeight w:val="253"/>
        </w:trPr>
        <w:tc>
          <w:tcPr>
            <w:tcW w:w="2960" w:type="dxa"/>
            <w:vAlign w:val="bottom"/>
          </w:tcPr>
          <w:p>
            <w:pPr>
              <w:jc w:val="right"/>
              <w:ind w:right="619"/>
              <w:spacing w:after="0"/>
              <w:rPr>
                <w:sz w:val="20"/>
                <w:szCs w:val="20"/>
                <w:color w:val="auto"/>
              </w:rPr>
            </w:pPr>
            <w:r>
              <w:rPr>
                <w:rFonts w:ascii="Arial" w:cs="Arial" w:eastAsia="Arial" w:hAnsi="Arial"/>
                <w:sz w:val="16"/>
                <w:szCs w:val="16"/>
                <w:color w:val="auto"/>
              </w:rPr>
              <w:t>5,005</w:t>
            </w:r>
          </w:p>
        </w:tc>
        <w:tc>
          <w:tcPr>
            <w:tcW w:w="1320" w:type="dxa"/>
            <w:vAlign w:val="bottom"/>
          </w:tcPr>
          <w:p>
            <w:pPr>
              <w:jc w:val="right"/>
              <w:spacing w:after="0"/>
              <w:rPr>
                <w:sz w:val="20"/>
                <w:szCs w:val="20"/>
                <w:color w:val="auto"/>
              </w:rPr>
            </w:pPr>
            <w:r>
              <w:rPr>
                <w:rFonts w:ascii="Arial" w:cs="Arial" w:eastAsia="Arial" w:hAnsi="Arial"/>
                <w:sz w:val="16"/>
                <w:szCs w:val="16"/>
                <w:color w:val="auto"/>
              </w:rPr>
              <w:t>$125.74</w:t>
            </w:r>
          </w:p>
        </w:tc>
        <w:tc>
          <w:tcPr>
            <w:tcW w:w="2680" w:type="dxa"/>
            <w:vAlign w:val="bottom"/>
          </w:tcPr>
          <w:p>
            <w:pPr>
              <w:ind w:left="40"/>
              <w:spacing w:after="0"/>
              <w:rPr>
                <w:sz w:val="20"/>
                <w:szCs w:val="20"/>
                <w:color w:val="auto"/>
              </w:rPr>
            </w:pPr>
            <w:r>
              <w:rPr>
                <w:rFonts w:ascii="Arial" w:cs="Arial" w:eastAsia="Arial" w:hAnsi="Arial"/>
                <w:sz w:val="16"/>
                <w:szCs w:val="16"/>
                <w:color w:val="auto"/>
              </w:rPr>
              <w:t>May 18, 2026</w:t>
            </w:r>
          </w:p>
        </w:tc>
      </w:tr>
      <w:tr>
        <w:trPr>
          <w:trHeight w:val="260"/>
        </w:trPr>
        <w:tc>
          <w:tcPr>
            <w:tcW w:w="29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r>
    </w:tbl>
    <w:p>
      <w:pPr>
        <w:spacing w:after="0" w:line="96" w:lineRule="exact"/>
        <w:rPr>
          <w:sz w:val="20"/>
          <w:szCs w:val="20"/>
          <w:color w:val="auto"/>
        </w:rPr>
      </w:pPr>
    </w:p>
    <w:p>
      <w:pPr>
        <w:sectPr>
          <w:pgSz w:w="11900" w:h="16838" w:orient="portrait"/>
          <w:cols w:equalWidth="0" w:num="2">
            <w:col w:w="1620" w:space="100"/>
            <w:col w:w="9520"/>
          </w:cols>
          <w:pgMar w:left="320" w:top="891" w:right="3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The title of securities covered by all of the above options are non-qualified.</w:t>
      </w: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4" w:name="page75"/>
    <w:bookmarkEnd w:id="74"/>
    <w:p>
      <w:pPr>
        <w:jc w:val="both"/>
        <w:ind w:firstLine="221"/>
        <w:spacing w:after="0" w:line="249" w:lineRule="auto"/>
        <w:rPr>
          <w:sz w:val="20"/>
          <w:szCs w:val="20"/>
          <w:color w:val="auto"/>
        </w:rPr>
      </w:pPr>
      <w:r>
        <w:rPr>
          <w:rFonts w:ascii="Arial" w:cs="Arial" w:eastAsia="Arial" w:hAnsi="Arial"/>
          <w:sz w:val="16"/>
          <w:szCs w:val="16"/>
          <w:color w:val="auto"/>
        </w:rPr>
        <w:t>In February 2018, the Board approved the appointment of Mr. Murray as Chairman of the Board of Directors with effect from May 12, 2018. Mr. Murray ceased to be an employee of the Company as of this date. Mr. Murray was granted and held ordinary share options, Restricted Share Units and Performance Share Units as Chief Financial Officer, Chief Executive Officer and Executive Chairman. The vesting of the ordinary share options and Restricted Share Units which were unvested on Mr. Murray ceasing to be an ICON plc employee (May 12, 2018) were accelerated and the outstanding ordinary share options and Restricted Share Units vested on that date. The unvested Performance Share Units with vesting dates between May 12, 2018 and March 2019 were forfeited on Mr. Murray ceasing to be an ICON plc employee on May 12, 2018.</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68" w:lineRule="exact"/>
        <w:rPr>
          <w:sz w:val="20"/>
          <w:szCs w:val="20"/>
          <w:color w:val="auto"/>
        </w:rPr>
      </w:pPr>
    </w:p>
    <w:p>
      <w:pPr>
        <w:jc w:val="both"/>
        <w:ind w:firstLine="201"/>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2019 and 2020 vest over twelve months.</w:t>
      </w:r>
    </w:p>
    <w:p>
      <w:pPr>
        <w:spacing w:after="0" w:line="230" w:lineRule="exact"/>
        <w:rPr>
          <w:sz w:val="20"/>
          <w:szCs w:val="20"/>
          <w:color w:val="auto"/>
        </w:rPr>
      </w:pPr>
    </w:p>
    <w:p>
      <w:pPr>
        <w:jc w:val="both"/>
        <w:ind w:firstLine="190"/>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78" w:lineRule="exact"/>
        <w:rPr>
          <w:sz w:val="20"/>
          <w:szCs w:val="20"/>
          <w:color w:val="auto"/>
        </w:rPr>
      </w:pPr>
    </w:p>
    <w:p>
      <w:pPr>
        <w:jc w:val="both"/>
        <w:ind w:firstLine="234"/>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30" w:lineRule="exact"/>
        <w:rPr>
          <w:sz w:val="20"/>
          <w:szCs w:val="20"/>
          <w:color w:val="auto"/>
        </w:rPr>
      </w:pPr>
    </w:p>
    <w:p>
      <w:pPr>
        <w:jc w:val="both"/>
        <w:ind w:firstLine="224"/>
        <w:spacing w:after="0" w:line="248"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81" w:lineRule="exact"/>
        <w:rPr>
          <w:sz w:val="20"/>
          <w:szCs w:val="20"/>
          <w:color w:val="auto"/>
        </w:rPr>
      </w:pPr>
    </w:p>
    <w:p>
      <w:pPr>
        <w:jc w:val="both"/>
        <w:ind w:firstLine="217"/>
        <w:spacing w:after="0" w:line="251" w:lineRule="auto"/>
        <w:rPr>
          <w:sz w:val="20"/>
          <w:szCs w:val="20"/>
          <w:color w:val="auto"/>
        </w:rPr>
      </w:pPr>
      <w:r>
        <w:rPr>
          <w:rFonts w:ascii="Arial" w:cs="Arial" w:eastAsia="Arial" w:hAnsi="Arial"/>
          <w:sz w:val="16"/>
          <w:szCs w:val="16"/>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75" w:lineRule="exact"/>
        <w:rPr>
          <w:sz w:val="20"/>
          <w:szCs w:val="20"/>
          <w:color w:val="auto"/>
        </w:rPr>
      </w:pPr>
    </w:p>
    <w:p>
      <w:pPr>
        <w:jc w:val="both"/>
        <w:ind w:firstLine="271"/>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181" w:lineRule="exact"/>
        <w:rPr>
          <w:sz w:val="20"/>
          <w:szCs w:val="20"/>
          <w:color w:val="auto"/>
        </w:rPr>
      </w:pPr>
    </w:p>
    <w:p>
      <w:pPr>
        <w:jc w:val="both"/>
        <w:ind w:firstLine="212"/>
        <w:spacing w:after="0" w:line="253"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Share options typically vest over a period of five years from date of grant and expire eight years from date of grant. Share options granted to Non-Executive Directors during 2018 vest over 12 months and expire eight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i w:val="1"/>
          <w:iCs w:val="1"/>
          <w:color w:val="auto"/>
        </w:rPr>
        <w:t>Major Shareholders and Related Party Transactions.</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Major Shareholders</w:t>
      </w:r>
    </w:p>
    <w:p>
      <w:pPr>
        <w:spacing w:after="0" w:line="268" w:lineRule="exact"/>
        <w:rPr>
          <w:sz w:val="20"/>
          <w:szCs w:val="20"/>
          <w:color w:val="auto"/>
        </w:rPr>
      </w:pPr>
    </w:p>
    <w:p>
      <w:pPr>
        <w:jc w:val="both"/>
        <w:ind w:firstLine="183"/>
        <w:spacing w:after="0" w:line="250" w:lineRule="auto"/>
        <w:rPr>
          <w:sz w:val="20"/>
          <w:szCs w:val="20"/>
          <w:color w:val="auto"/>
        </w:rPr>
      </w:pPr>
      <w:r>
        <w:rPr>
          <w:rFonts w:ascii="Arial" w:cs="Arial" w:eastAsia="Arial" w:hAnsi="Arial"/>
          <w:sz w:val="16"/>
          <w:szCs w:val="16"/>
          <w:color w:val="auto"/>
        </w:rPr>
        <w:t>The following table sets forth certain information regarding beneficial ownership of ICON's ordinary shares as of February 24, 2021 (i) by each person that beneficially owns more than 5% of the outstanding ordinary shares, based upon information known to us and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 None of the persons listed below have voting rights that differ from any other person listed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 (4)</w:t>
            </w:r>
          </w:p>
        </w:tc>
        <w:tc>
          <w:tcPr>
            <w:tcW w:w="9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 (5)</w:t>
            </w:r>
          </w:p>
        </w:tc>
        <w:tc>
          <w:tcPr>
            <w:tcW w:w="8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 of Owner or Identity of Group</w:t>
            </w:r>
          </w:p>
        </w:tc>
        <w:tc>
          <w:tcPr>
            <w:tcW w:w="1480" w:type="dxa"/>
            <w:vAlign w:val="bottom"/>
          </w:tcPr>
          <w:p>
            <w:pPr>
              <w:jc w:val="right"/>
              <w:ind w:right="139"/>
              <w:spacing w:after="0" w:line="162" w:lineRule="exact"/>
              <w:rPr>
                <w:sz w:val="20"/>
                <w:szCs w:val="20"/>
                <w:color w:val="auto"/>
              </w:rPr>
            </w:pPr>
            <w:r>
              <w:rPr>
                <w:rFonts w:ascii="Arial" w:cs="Arial" w:eastAsia="Arial" w:hAnsi="Arial"/>
                <w:sz w:val="16"/>
                <w:szCs w:val="16"/>
                <w:b w:val="1"/>
                <w:bCs w:val="1"/>
                <w:color w:val="auto"/>
              </w:rPr>
              <w:t>No. of Shares</w:t>
            </w:r>
          </w:p>
        </w:tc>
        <w:tc>
          <w:tcPr>
            <w:tcW w:w="102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Percent of</w:t>
            </w:r>
          </w:p>
        </w:tc>
        <w:tc>
          <w:tcPr>
            <w:tcW w:w="1440" w:type="dxa"/>
            <w:vAlign w:val="bottom"/>
          </w:tcPr>
          <w:p>
            <w:pPr>
              <w:jc w:val="right"/>
              <w:ind w:right="199"/>
              <w:spacing w:after="0" w:line="162" w:lineRule="exact"/>
              <w:rPr>
                <w:sz w:val="20"/>
                <w:szCs w:val="20"/>
                <w:color w:val="auto"/>
              </w:rPr>
            </w:pPr>
            <w:r>
              <w:rPr>
                <w:rFonts w:ascii="Arial" w:cs="Arial" w:eastAsia="Arial" w:hAnsi="Arial"/>
                <w:sz w:val="16"/>
                <w:szCs w:val="16"/>
                <w:b w:val="1"/>
                <w:bCs w:val="1"/>
                <w:color w:val="auto"/>
              </w:rPr>
              <w:t>No. of Shares</w:t>
            </w:r>
          </w:p>
        </w:tc>
        <w:tc>
          <w:tcPr>
            <w:tcW w:w="96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Percent of</w:t>
            </w:r>
          </w:p>
        </w:tc>
        <w:tc>
          <w:tcPr>
            <w:tcW w:w="1460" w:type="dxa"/>
            <w:vAlign w:val="bottom"/>
          </w:tcPr>
          <w:p>
            <w:pPr>
              <w:jc w:val="right"/>
              <w:ind w:right="219"/>
              <w:spacing w:after="0" w:line="162" w:lineRule="exact"/>
              <w:rPr>
                <w:sz w:val="20"/>
                <w:szCs w:val="20"/>
                <w:color w:val="auto"/>
              </w:rPr>
            </w:pPr>
            <w:r>
              <w:rPr>
                <w:rFonts w:ascii="Arial" w:cs="Arial" w:eastAsia="Arial" w:hAnsi="Arial"/>
                <w:sz w:val="16"/>
                <w:szCs w:val="16"/>
                <w:b w:val="1"/>
                <w:bCs w:val="1"/>
                <w:color w:val="auto"/>
              </w:rPr>
              <w:t>No. of Shares</w:t>
            </w:r>
          </w:p>
        </w:tc>
        <w:tc>
          <w:tcPr>
            <w:tcW w:w="8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Percent of</w:t>
            </w:r>
          </w:p>
        </w:tc>
        <w:tc>
          <w:tcPr>
            <w:tcW w:w="0" w:type="dxa"/>
            <w:vAlign w:val="bottom"/>
          </w:tcPr>
          <w:p>
            <w:pPr>
              <w:spacing w:after="0"/>
              <w:rPr>
                <w:sz w:val="1"/>
                <w:szCs w:val="1"/>
                <w:color w:val="auto"/>
              </w:rPr>
            </w:pPr>
          </w:p>
        </w:tc>
      </w:tr>
      <w:tr>
        <w:trPr>
          <w:trHeight w:val="215"/>
        </w:trPr>
        <w:tc>
          <w:tcPr>
            <w:tcW w:w="3940" w:type="dxa"/>
            <w:vAlign w:val="bottom"/>
            <w:vMerge w:val="continue"/>
          </w:tcPr>
          <w:p>
            <w:pPr>
              <w:spacing w:after="0"/>
              <w:rPr>
                <w:sz w:val="18"/>
                <w:szCs w:val="18"/>
                <w:color w:val="auto"/>
              </w:rPr>
            </w:pP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(1)</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Class</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(1)</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Class</w:t>
            </w: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(1)</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Class</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Wellington Management Company, LLP (2)</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3,989,007</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7.6 %</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3,800,959</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7.1 %</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3,728,130</w:t>
            </w:r>
          </w:p>
        </w:tc>
        <w:tc>
          <w:tcPr>
            <w:tcW w:w="84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WCM Investment Management (2)</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3,976,550</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7.5 %</w:t>
            </w:r>
          </w:p>
        </w:tc>
        <w:tc>
          <w:tcPr>
            <w:tcW w:w="1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3,643,211</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6.8 %</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5,272,086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color w:val="auto"/>
              </w:rPr>
              <w:t>Comgest S.A. (2)</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2,648,983</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5.0 %</w:t>
            </w:r>
          </w:p>
        </w:tc>
        <w:tc>
          <w:tcPr>
            <w:tcW w:w="1440" w:type="dxa"/>
            <w:vAlign w:val="bottom"/>
          </w:tcPr>
          <w:p>
            <w:pPr>
              <w:jc w:val="right"/>
              <w:ind w:right="259"/>
              <w:spacing w:after="0"/>
              <w:rPr>
                <w:sz w:val="20"/>
                <w:szCs w:val="20"/>
                <w:color w:val="auto"/>
              </w:rPr>
            </w:pPr>
            <w:r>
              <w:rPr>
                <w:rFonts w:ascii="Arial" w:cs="Arial" w:eastAsia="Arial" w:hAnsi="Arial"/>
                <w:sz w:val="16"/>
                <w:szCs w:val="16"/>
                <w:color w:val="auto"/>
              </w:rPr>
              <w:t>1,760,847</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3.3 %</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328,333</w:t>
            </w:r>
          </w:p>
        </w:tc>
        <w:tc>
          <w:tcPr>
            <w:tcW w:w="84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180"/>
        </w:trPr>
        <w:tc>
          <w:tcPr>
            <w:tcW w:w="39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All Directors, officers and other key employees as a</w:t>
            </w:r>
          </w:p>
        </w:tc>
        <w:tc>
          <w:tcPr>
            <w:tcW w:w="1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group (3)</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1,152,168</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2.2 %</w:t>
            </w:r>
          </w:p>
        </w:tc>
        <w:tc>
          <w:tcPr>
            <w:tcW w:w="1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1,278,374</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2.4 %</w:t>
            </w:r>
          </w:p>
        </w:tc>
        <w:tc>
          <w:tcPr>
            <w:tcW w:w="1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1,578,677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both"/>
        <w:ind w:left="500" w:hanging="330"/>
        <w:spacing w:after="0" w:line="253"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93" w:lineRule="exact"/>
        <w:rPr>
          <w:rFonts w:ascii="Arial" w:cs="Arial" w:eastAsia="Arial" w:hAnsi="Arial"/>
          <w:sz w:val="16"/>
          <w:szCs w:val="16"/>
          <w:color w:val="auto"/>
        </w:rPr>
      </w:pPr>
    </w:p>
    <w:p>
      <w:pPr>
        <w:ind w:left="480" w:hanging="310"/>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Neither the Company nor any of its officers, Directors or affiliates holds any voting power in this entity.</w:t>
      </w:r>
    </w:p>
    <w:p>
      <w:pPr>
        <w:spacing w:after="0" w:line="99" w:lineRule="exact"/>
        <w:rPr>
          <w:rFonts w:ascii="Arial" w:cs="Arial" w:eastAsia="Arial" w:hAnsi="Arial"/>
          <w:sz w:val="16"/>
          <w:szCs w:val="16"/>
          <w:color w:val="auto"/>
        </w:rPr>
      </w:pPr>
    </w:p>
    <w:p>
      <w:pPr>
        <w:jc w:val="both"/>
        <w:ind w:left="500" w:hanging="330"/>
        <w:spacing w:after="0" w:line="235" w:lineRule="auto"/>
        <w:tabs>
          <w:tab w:leader="none" w:pos="4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390,100 ordinary shares issuable upon the exercise of stock options granted by the Company, 39,425 RSUs awarded by the Company to Directors, officers and other key employees and 105,776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237" w:lineRule="exact"/>
        <w:rPr>
          <w:rFonts w:ascii="Arial" w:cs="Arial" w:eastAsia="Arial" w:hAnsi="Arial"/>
          <w:sz w:val="16"/>
          <w:szCs w:val="16"/>
          <w:color w:val="auto"/>
        </w:rPr>
      </w:pPr>
    </w:p>
    <w:p>
      <w:pPr>
        <w:ind w:left="480" w:hanging="310"/>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Amounts shown above are stated as of February 27, 2020.</w:t>
      </w:r>
    </w:p>
    <w:p>
      <w:pPr>
        <w:spacing w:after="0" w:line="113" w:lineRule="exact"/>
        <w:rPr>
          <w:rFonts w:ascii="Arial" w:cs="Arial" w:eastAsia="Arial" w:hAnsi="Arial"/>
          <w:sz w:val="16"/>
          <w:szCs w:val="16"/>
          <w:color w:val="auto"/>
        </w:rPr>
      </w:pPr>
    </w:p>
    <w:p>
      <w:pPr>
        <w:ind w:left="480" w:hanging="310"/>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Amounts shown above are stated as of March 1, 2019.</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ICON plc, is not directly or indirectly, owned or controlled by another corporation or by any government.</w:t>
      </w:r>
    </w:p>
    <w:p>
      <w:pPr>
        <w:spacing w:after="0" w:line="22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Related Party Transactions</w:t>
      </w:r>
    </w:p>
    <w:p>
      <w:pPr>
        <w:spacing w:after="0" w:line="268" w:lineRule="exact"/>
        <w:rPr>
          <w:sz w:val="20"/>
          <w:szCs w:val="20"/>
          <w:color w:val="auto"/>
        </w:rPr>
      </w:pPr>
    </w:p>
    <w:p>
      <w:pPr>
        <w:jc w:val="both"/>
        <w:ind w:firstLine="189"/>
        <w:spacing w:after="0" w:line="253" w:lineRule="auto"/>
        <w:rPr>
          <w:sz w:val="20"/>
          <w:szCs w:val="20"/>
          <w:color w:val="auto"/>
        </w:rPr>
      </w:pPr>
      <w:r>
        <w:rPr>
          <w:rFonts w:ascii="Arial" w:cs="Arial" w:eastAsia="Arial" w:hAnsi="Arial"/>
          <w:sz w:val="16"/>
          <w:szCs w:val="16"/>
          <w:color w:val="auto"/>
        </w:rPr>
        <w:t>Subsidiaries of the Company earned revenue of $321,000 (December 31, 2019: $95,000) from DS Biopharma Limited (formerly Dignity Sciences Limited) during the year. Dr. John Climax is Chief Executive Officer and a Director and shareholder of DS Biopharma Limited. $41,000 was recorded as due from DS Biopharma Limited at December 31, 2020 (December 31, 2019: $36,000). The contract terms were agreed on an arm’s length basis.</w:t>
      </w:r>
    </w:p>
    <w:p>
      <w:pPr>
        <w:spacing w:after="0" w:line="2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with a third party. The Company has invested $4.9 million to obtain a 49% interest in the voting share capital of Oncacare, of which, $2.5 million has been paid with the remainder to be paid in the next twelve months. This balance remains outstanding at the year ended December 31, 2020. The majority investor has the right to sell the 51% majority voting share capital exclusively to the Company in an eighteen month period, commencing January 1, 2023 and ICON also has the right to acquire the 51% majority voting share capital from August 1, 2025.</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Information.</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Consolidated Statements and Other Financial Information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Item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Legal Proceedings</w:t>
      </w:r>
    </w:p>
    <w:p>
      <w:pPr>
        <w:spacing w:after="0" w:line="255" w:lineRule="exact"/>
        <w:rPr>
          <w:sz w:val="20"/>
          <w:szCs w:val="20"/>
          <w:color w:val="auto"/>
        </w:rPr>
      </w:pPr>
    </w:p>
    <w:p>
      <w:pPr>
        <w:jc w:val="both"/>
        <w:ind w:firstLine="240"/>
        <w:spacing w:after="0" w:line="231" w:lineRule="auto"/>
        <w:rPr>
          <w:sz w:val="20"/>
          <w:szCs w:val="20"/>
          <w:color w:val="auto"/>
        </w:rPr>
      </w:pPr>
      <w:r>
        <w:rPr>
          <w:rFonts w:ascii="Arial" w:cs="Arial" w:eastAsia="Arial" w:hAnsi="Arial"/>
          <w:sz w:val="16"/>
          <w:szCs w:val="16"/>
          <w:color w:val="auto"/>
        </w:rPr>
        <w:t>On April 20, 2020, an individual named Chrystal Miller (“Miller”) who previously worked for a subsidiary of the Company, ICON Clinical Research LLC (“ICON Clinical”), filed a putative class action lawsuit, Chrystal Miller v. ICON plc et al., in the Superior Court of California, County of San Mateo. Her lawsuit was brought against the Company, ICON Clinical, DOCS Global, Inc., a subsidiary of the Company, and an individual former employee of ICON Clinical (collectively, “the ICON defendants”). The complaint alleges that the ICON defendants violated the California Labor Code and the California Business &amp; Professions Code by failing to pay overtime wages, provide meal and rest periods, provide accurate, itemized wage statements, and timely pay all final wages to Clinical Research Associates employed in California since April 20, 2016. The suit seeks monetary damages, interest, injunctive relief, and attorneys’ fees and costs. On June 22, 2020, the case was removed to the U.S. District Court, Northern District of California. On November 4, 2020, the federal court remanded the case to San Mateo Superior Court. On December 23, 2020, ICON Clinical filed a cross-complaint against Miller alleging causes of action for fraud, negligent misrepresentation, conversion, breach of contract, and accounting. The ICON defendants deny the allegations that they have acted unlawfully and are vigorously defending the lawsuit.</w:t>
      </w:r>
    </w:p>
    <w:p>
      <w:pPr>
        <w:spacing w:after="0" w:line="22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do not expect the Miller litigation or any other litigation to have a materially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68" w:lineRule="exact"/>
        <w:rPr>
          <w:sz w:val="20"/>
          <w:szCs w:val="20"/>
          <w:color w:val="auto"/>
        </w:rPr>
      </w:pPr>
    </w:p>
    <w:p>
      <w:pPr>
        <w:jc w:val="both"/>
        <w:ind w:firstLine="241"/>
        <w:spacing w:after="0" w:line="250" w:lineRule="auto"/>
        <w:rPr>
          <w:sz w:val="20"/>
          <w:szCs w:val="20"/>
          <w:color w:val="auto"/>
        </w:rPr>
      </w:pPr>
      <w:r>
        <w:rPr>
          <w:rFonts w:ascii="Arial" w:cs="Arial" w:eastAsia="Arial" w:hAnsi="Arial"/>
          <w:sz w:val="16"/>
          <w:szCs w:val="16"/>
          <w:color w:val="auto"/>
        </w:rPr>
        <w:t>We have not paid cash dividends on our ordinary shares and do not currently intend to pay cash dividends on our ordinary shares in the foreseeable future.</w:t>
      </w:r>
    </w:p>
    <w:p>
      <w:pPr>
        <w:spacing w:after="0" w:line="200" w:lineRule="exact"/>
        <w:rPr>
          <w:sz w:val="20"/>
          <w:szCs w:val="20"/>
          <w:color w:val="auto"/>
        </w:rPr>
      </w:pPr>
    </w:p>
    <w:p>
      <w:pPr>
        <w:spacing w:after="0" w:line="20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Significant Changes</w:t>
      </w:r>
    </w:p>
    <w:p>
      <w:pPr>
        <w:spacing w:after="0" w:line="268" w:lineRule="exact"/>
        <w:rPr>
          <w:sz w:val="20"/>
          <w:szCs w:val="20"/>
          <w:color w:val="auto"/>
        </w:rPr>
      </w:pPr>
    </w:p>
    <w:p>
      <w:pPr>
        <w:jc w:val="both"/>
        <w:ind w:firstLine="189"/>
        <w:spacing w:after="0" w:line="260" w:lineRule="auto"/>
        <w:rPr>
          <w:sz w:val="20"/>
          <w:szCs w:val="20"/>
          <w:color w:val="auto"/>
        </w:rPr>
      </w:pPr>
      <w:r>
        <w:rPr>
          <w:rFonts w:ascii="Arial" w:cs="Arial" w:eastAsia="Arial" w:hAnsi="Arial"/>
          <w:sz w:val="16"/>
          <w:szCs w:val="16"/>
          <w:color w:val="auto"/>
        </w:rPr>
        <w:t>There have been no significant changes to our business that we believe could reasonably be expected to have a material adverse effect on our business, results of operations and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b w:val="1"/>
          <w:bCs w:val="1"/>
          <w:i w:val="1"/>
          <w:iCs w:val="1"/>
          <w:color w:val="auto"/>
        </w:rPr>
        <w:t>The Offer and Listing.</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Offer and listing details</w:t>
      </w:r>
    </w:p>
    <w:p>
      <w:pPr>
        <w:spacing w:after="0" w:line="25" w:lineRule="exact"/>
        <w:rPr>
          <w:sz w:val="20"/>
          <w:szCs w:val="20"/>
          <w:color w:val="auto"/>
        </w:rPr>
      </w:pPr>
    </w:p>
    <w:p>
      <w:pPr>
        <w:jc w:val="both"/>
        <w:ind w:firstLine="197"/>
        <w:spacing w:after="0" w:line="253" w:lineRule="auto"/>
        <w:rPr>
          <w:sz w:val="20"/>
          <w:szCs w:val="20"/>
          <w:color w:val="auto"/>
        </w:rPr>
      </w:pPr>
      <w:r>
        <w:rPr>
          <w:rFonts w:ascii="Arial" w:cs="Arial" w:eastAsia="Arial" w:hAnsi="Arial"/>
          <w:sz w:val="16"/>
          <w:szCs w:val="16"/>
          <w:color w:val="auto"/>
        </w:rPr>
        <w:t>ICON’s ordinary shares are traded on the NASDAQ Global Select Market under the symbol “ICLR”. ICON plc’s ADR program was terminated on January 31, 2013 and ICON plc’s ordinary shares began directly trading on NASDAQ on February 4, 2013. Prior to that date, ICON plc’s ADSs were traded on NASDAQ and ICON plc’s Depository for the ADSs was The Bank of New York Mellon.</w:t>
      </w:r>
    </w:p>
    <w:p>
      <w:pPr>
        <w:spacing w:after="0" w:line="208" w:lineRule="exact"/>
        <w:rPr>
          <w:sz w:val="20"/>
          <w:szCs w:val="20"/>
          <w:color w:val="auto"/>
        </w:rPr>
      </w:pPr>
    </w:p>
    <w:p>
      <w:pPr>
        <w:ind w:left="660" w:right="9100" w:hanging="328"/>
        <w:spacing w:after="0" w:line="286" w:lineRule="auto"/>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82" w:lineRule="exact"/>
        <w:rPr>
          <w:rFonts w:ascii="Arial" w:cs="Arial" w:eastAsia="Arial" w:hAnsi="Arial"/>
          <w:sz w:val="16"/>
          <w:szCs w:val="16"/>
          <w:b w:val="1"/>
          <w:bCs w:val="1"/>
          <w:color w:val="auto"/>
        </w:rPr>
      </w:pPr>
    </w:p>
    <w:p>
      <w:pPr>
        <w:ind w:left="660" w:hanging="328"/>
        <w:spacing w:after="0"/>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NASDAQ</w:t>
      </w:r>
    </w:p>
    <w:p>
      <w:pPr>
        <w:spacing w:after="0" w:line="228" w:lineRule="exact"/>
        <w:rPr>
          <w:rFonts w:ascii="Arial" w:cs="Arial" w:eastAsia="Arial" w:hAnsi="Arial"/>
          <w:sz w:val="16"/>
          <w:szCs w:val="16"/>
          <w:b w:val="1"/>
          <w:bCs w:val="1"/>
          <w:color w:val="auto"/>
        </w:rPr>
      </w:pPr>
    </w:p>
    <w:p>
      <w:pPr>
        <w:ind w:left="660" w:right="9000" w:hanging="328"/>
        <w:spacing w:after="0" w:line="286" w:lineRule="auto"/>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Selling shareholders </w:t>
      </w:r>
      <w:r>
        <w:rPr>
          <w:rFonts w:ascii="Arial" w:cs="Arial" w:eastAsia="Arial" w:hAnsi="Arial"/>
          <w:sz w:val="16"/>
          <w:szCs w:val="16"/>
          <w:color w:val="auto"/>
        </w:rPr>
        <w:t>Not applicable</w:t>
      </w:r>
    </w:p>
    <w:p>
      <w:pPr>
        <w:spacing w:after="0" w:line="182" w:lineRule="exact"/>
        <w:rPr>
          <w:rFonts w:ascii="Arial" w:cs="Arial" w:eastAsia="Arial" w:hAnsi="Arial"/>
          <w:sz w:val="16"/>
          <w:szCs w:val="16"/>
          <w:b w:val="1"/>
          <w:bCs w:val="1"/>
          <w:color w:val="auto"/>
        </w:rPr>
      </w:pPr>
    </w:p>
    <w:p>
      <w:pPr>
        <w:ind w:left="640" w:hanging="308"/>
        <w:spacing w:after="0"/>
        <w:tabs>
          <w:tab w:leader="none" w:pos="6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Additional Information.</w:t>
      </w:r>
    </w:p>
    <w:p>
      <w:pPr>
        <w:spacing w:after="0" w:line="248" w:lineRule="exact"/>
        <w:rPr>
          <w:sz w:val="20"/>
          <w:szCs w:val="20"/>
          <w:color w:val="auto"/>
        </w:rPr>
      </w:pPr>
    </w:p>
    <w:p>
      <w:pPr>
        <w:jc w:val="both"/>
        <w:ind w:left="660" w:right="9520" w:hanging="328"/>
        <w:spacing w:after="0" w:line="563" w:lineRule="auto"/>
        <w:tabs>
          <w:tab w:leader="none" w:pos="66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660" w:hanging="328"/>
        <w:spacing w:after="0"/>
        <w:tabs>
          <w:tab w:leader="none" w:pos="66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Constitution</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hereby incorporate by reference our Constitution, as amended, located under the heading “Constitution of the Company” in Exhibit 3.1.</w:t>
      </w:r>
    </w:p>
    <w:p>
      <w:pPr>
        <w:spacing w:after="0" w:line="248" w:lineRule="exact"/>
        <w:rPr>
          <w:sz w:val="20"/>
          <w:szCs w:val="20"/>
          <w:color w:val="auto"/>
        </w:rPr>
      </w:pPr>
    </w:p>
    <w:p>
      <w:pPr>
        <w:ind w:firstLine="264"/>
        <w:spacing w:after="0" w:line="260" w:lineRule="auto"/>
        <w:rPr>
          <w:sz w:val="20"/>
          <w:szCs w:val="20"/>
          <w:color w:val="auto"/>
        </w:rPr>
      </w:pPr>
      <w:r>
        <w:rPr>
          <w:rFonts w:ascii="Arial" w:cs="Arial" w:eastAsia="Arial" w:hAnsi="Arial"/>
          <w:sz w:val="16"/>
          <w:szCs w:val="16"/>
          <w:color w:val="auto"/>
        </w:rPr>
        <w:t>The following is a summary of certain provisions of the current Constitution of the Company. This summary does not purport to be complete and is qualified in its entirety by reference to the complete text of the Constitution of the Company, which are included as an exhibit to this annual report.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7" w:name="page78"/>
    <w:bookmarkEnd w:id="77"/>
    <w:p>
      <w:pPr>
        <w:ind w:left="180"/>
        <w:spacing w:after="0"/>
        <w:rPr>
          <w:sz w:val="20"/>
          <w:szCs w:val="20"/>
          <w:color w:val="auto"/>
        </w:rPr>
      </w:pPr>
      <w:r>
        <w:rPr>
          <w:rFonts w:ascii="Arial" w:cs="Arial" w:eastAsia="Arial" w:hAnsi="Arial"/>
          <w:sz w:val="16"/>
          <w:szCs w:val="16"/>
          <w:i w:val="1"/>
          <w:iCs w:val="1"/>
          <w:color w:val="auto"/>
        </w:rPr>
        <w:t>Objects</w:t>
      </w:r>
    </w:p>
    <w:p>
      <w:pPr>
        <w:spacing w:after="0" w:line="21" w:lineRule="exact"/>
        <w:rPr>
          <w:sz w:val="20"/>
          <w:szCs w:val="20"/>
          <w:color w:val="auto"/>
        </w:rPr>
      </w:pPr>
    </w:p>
    <w:p>
      <w:pPr>
        <w:jc w:val="both"/>
        <w:ind w:firstLine="190"/>
        <w:spacing w:after="0" w:line="260" w:lineRule="auto"/>
        <w:rPr>
          <w:sz w:val="20"/>
          <w:szCs w:val="20"/>
          <w:color w:val="auto"/>
        </w:rPr>
      </w:pPr>
      <w:r>
        <w:rPr>
          <w:rFonts w:ascii="Arial" w:cs="Arial" w:eastAsia="Arial" w:hAnsi="Arial"/>
          <w:sz w:val="16"/>
          <w:szCs w:val="16"/>
          <w:color w:val="auto"/>
        </w:rPr>
        <w:t>The Company is incorporated under the name ICON plc, and is registered in Ireland under registered number 145835. The Company's objects, which are detailed in the Constitution of the Company, are broad and include, but are not limited to the carrying on the business of an investment holding company.</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Directors</w:t>
      </w:r>
    </w:p>
    <w:p>
      <w:pPr>
        <w:spacing w:after="0" w:line="21" w:lineRule="exact"/>
        <w:rPr>
          <w:sz w:val="20"/>
          <w:szCs w:val="20"/>
          <w:color w:val="auto"/>
        </w:rPr>
      </w:pPr>
    </w:p>
    <w:p>
      <w:pPr>
        <w:jc w:val="both"/>
        <w:ind w:firstLine="250"/>
        <w:spacing w:after="0" w:line="248" w:lineRule="auto"/>
        <w:rPr>
          <w:sz w:val="20"/>
          <w:szCs w:val="20"/>
          <w:color w:val="auto"/>
        </w:rPr>
      </w:pPr>
      <w:r>
        <w:rPr>
          <w:rFonts w:ascii="Arial" w:cs="Arial" w:eastAsia="Arial" w:hAnsi="Arial"/>
          <w:sz w:val="16"/>
          <w:szCs w:val="16"/>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 set out in the Constitution.</w:t>
      </w:r>
    </w:p>
    <w:p>
      <w:pPr>
        <w:spacing w:after="0" w:line="21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Rights, Preferences and Dividends Attaching to Shares</w:t>
      </w:r>
    </w:p>
    <w:p>
      <w:pPr>
        <w:spacing w:after="0" w:line="21" w:lineRule="exact"/>
        <w:rPr>
          <w:sz w:val="20"/>
          <w:szCs w:val="20"/>
          <w:color w:val="auto"/>
        </w:rPr>
      </w:pPr>
    </w:p>
    <w:p>
      <w:pPr>
        <w:jc w:val="both"/>
        <w:ind w:firstLine="210"/>
        <w:spacing w:after="0" w:line="248"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Action Necessary to Change the Rights of Shareholders</w:t>
      </w:r>
    </w:p>
    <w:p>
      <w:pPr>
        <w:spacing w:after="0" w:line="21" w:lineRule="exact"/>
        <w:rPr>
          <w:sz w:val="20"/>
          <w:szCs w:val="20"/>
          <w:color w:val="auto"/>
        </w:rPr>
      </w:pPr>
    </w:p>
    <w:p>
      <w:pPr>
        <w:jc w:val="both"/>
        <w:ind w:right="20" w:firstLine="275"/>
        <w:spacing w:after="0" w:line="260"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Annual and General Meetings</w:t>
      </w:r>
    </w:p>
    <w:p>
      <w:pPr>
        <w:spacing w:after="0" w:line="21" w:lineRule="exact"/>
        <w:rPr>
          <w:sz w:val="20"/>
          <w:szCs w:val="20"/>
          <w:color w:val="auto"/>
        </w:rPr>
      </w:pPr>
    </w:p>
    <w:p>
      <w:pPr>
        <w:jc w:val="both"/>
        <w:ind w:firstLine="191"/>
        <w:spacing w:after="0" w:line="250"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Limitations on the Right to Own Shares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Disclosure of Share Ownership</w:t>
      </w:r>
    </w:p>
    <w:p>
      <w:pPr>
        <w:spacing w:after="0" w:line="21" w:lineRule="exact"/>
        <w:rPr>
          <w:sz w:val="20"/>
          <w:szCs w:val="20"/>
          <w:color w:val="auto"/>
        </w:rPr>
      </w:pPr>
    </w:p>
    <w:p>
      <w:pPr>
        <w:jc w:val="both"/>
        <w:ind w:firstLine="236"/>
        <w:spacing w:after="0" w:line="250"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Other Provisions of the Constitution</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are no provisions in the Constitution of the Company:</w:t>
      </w:r>
    </w:p>
    <w:p>
      <w:pPr>
        <w:spacing w:after="0" w:line="248" w:lineRule="exact"/>
        <w:rPr>
          <w:sz w:val="20"/>
          <w:szCs w:val="20"/>
          <w:color w:val="auto"/>
        </w:rPr>
      </w:pPr>
    </w:p>
    <w:p>
      <w:pPr>
        <w:ind w:left="660" w:hanging="4"/>
        <w:spacing w:after="0" w:line="260" w:lineRule="auto"/>
        <w:tabs>
          <w:tab w:leader="none" w:pos="879"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222" w:lineRule="exact"/>
        <w:rPr>
          <w:rFonts w:ascii="Arial" w:cs="Arial" w:eastAsia="Arial" w:hAnsi="Arial"/>
          <w:sz w:val="16"/>
          <w:szCs w:val="16"/>
          <w:color w:val="auto"/>
        </w:rPr>
      </w:pPr>
    </w:p>
    <w:p>
      <w:pPr>
        <w:ind w:left="880" w:hanging="224"/>
        <w:spacing w:after="0"/>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discriminating against any existing or prospective holder of shares as a result of such shareholder owning a substantial number of shares; or</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governing changes in capital, in each case, where such provisions are more stringent than those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8" w:name="page79"/>
    <w:bookmarkEnd w:id="78"/>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Material Contracts</w:t>
      </w:r>
    </w:p>
    <w:p>
      <w:pPr>
        <w:spacing w:after="0" w:line="187"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16"/>
          <w:szCs w:val="16"/>
          <w:color w:val="auto"/>
        </w:rPr>
        <w:t>The following is a summary of each contract (not being a contract entered into in the ordinary course of business) that has been entered into: (a) within the two years immediately preceding the date of this Form 20-F which are, or may be, material to us; or (b) at any time which contain obligations or entitlements which is, or may be, material to us as at the date of this Form 20-F:</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 and Plan of Merger</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February 24, 2021, we entered into an Agreement and Plan of Merger (the “Merger Agreement”) with PRA Health Sciences, Inc. (“PRA”), ICON US Holdings Inc., a Delaware corporation and subsidiary of ICON (“US HoldCo”), and Indigo Merger Sub, Inc., a Delaware corporation and subsidiary of ICON and US HoldCo (“Merger Subsidiary”). Upon the terms and subject to the conditions of the Merger Agreement, Merger Subsidiary will merge with and into PRA (the “Merger”), with PRA surviving as a subsidiary of ICON and US HoldCo (the “Surviving Corporation”). The Merger Agreement was unanimously approved by the Board of Directors of each of PRA, ICON, and US HoldCo.</w:t>
      </w:r>
    </w:p>
    <w:p>
      <w:pPr>
        <w:spacing w:after="0" w:line="2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Pursuant to the Merger Agreement, at the effective time of the Merger (the “Effective Time”), each share of common stock, par value $0.01 per share, of PRA (“PRA Common Stock”) issued and outstanding immediately prior to the Effective Time (other than shares held by any shareholder who properly demands and perfects his, her or its appraisal rights with respect to such shares and treasury shares held by PRA), will be converted into the right to receive (i) from ICON, 0.4125 of one ordinary share, par value €0.06 per share, of ICON (“ICON Ordinary Shares”) (the “Share Consideration”) and (ii) from US HoldCo and the Surviving Corporation, $80.00 in cash, without any interest thereon (together with the Share Consideration, the “Merger Consideration”).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Closing Conditions</w:t>
      </w:r>
    </w:p>
    <w:p>
      <w:pPr>
        <w:spacing w:after="0" w:line="2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obligation of the parties to consummate the Merger is subject to customary conditions, including, among others, (i) the approval by ICON’s shareholders (the “Requisite ICON Vote”) of the grant of authority to the Board of Directors of ICON to effect the issuance of ICON Ordinary Shares (the “Share Issuance”), (ii) the approval and adoption of the Merger Agreement by PRA’s shareholders (the “Requisite PRA Vote”), (iii) the absence of any court order or law prohibiting the consummation of the Merger, the Share Issuance or other transactions contemplated by the Merger Agreement, (iv) the early termination or expiration of any applicable waiting period or periods under the Hart-Scott-Rodino Antitrust Improvements Act of 1976, as amended, and specified approvals under certain other antitrust and foreign investment laws, including the expiration or termination of all applicable waiting or other time periods, (v) the ICON Ordinary Shares to be issued in the Merger having been approved for listing on the Nasdaq, (vi) the effectiveness of the registration statement of ICON pursuant to which the ICON Ordinary Shares to be issued in the Merger will be registered with the SEC, (vii) compliance by ICON and PRA in all material respects with their respective obligations under the Merger Agreement, and (viii) subject in most cases to exceptions that do not rise to the level of a “Parent Material Adverse Effect” or a “Company Material Adverse Effect” (each as defined in the Merger Agreement), as applicable, the accuracy of representations and warranties made by ICON and PRA,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Representations and Warranties; Covenants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Merger Agreement contains customary representations and warranties from both ICON and PRA with respect to each party’s business. The Merger Agreement also contains customary covenants, including covenants by each of ICON and PRA to, subject to certain exceptions (including reasonable actions taken in response to COVID-19), use reasonable best efforts to conduct its business in the ordinary course during the interim period between the execution of the Merger Agreement and the consummation of the Merger.</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Under the Merger Agreement, each of ICON and PRA has agreed to use its reasonable best efforts to take all actions and to do all things necessary, proper or advisable to consummate the Merger, including obtaining all consents from governmental authorities and taking all steps as may be reasonably necessary to obtain an approval or waiver from, or to avoid an action or proceeding by, any governmental authorities, in order to consummate the Merger and the other transactions contemplated by the Merger Agreement. Notwithstanding such general obligation, ICON and PRA are not required to take any action that would reasonably be expected to have a material adverse effect on ICON, PRA and their respective subsidiaries, taken as a whole.</w:t>
      </w:r>
    </w:p>
    <w:p>
      <w:pPr>
        <w:spacing w:after="0" w:line="2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Merger Agreement provides that ICON will take all reasonably necessary actions to cause, as of the Closing (as defined in the Merger agreement), PRA's CEO and one additional current member of the Board of Directors of PRA to be appointed to the Board of Directors of ICON, until the next annual general meeting of ICON shareholders and ICON will take all reasonably necessary action to nominate such two new directors for re-election to the Board of Directors of ICON at the next annual general meeting of ICON’s shareholders, in accordance with and subject to the charter documents and governance policies of ICON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Shareholder Meetings; Non-Solicitation; Intervening Events</w:t>
      </w:r>
    </w:p>
    <w:p>
      <w:pPr>
        <w:spacing w:after="0" w:line="2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Merger Agreement requires each of ICON and PRA to convene a shareholder meeting for purposes of obtaining the Requisite ICON Vote and the Requisite PRA Vote, respectively. In addition, subject to certain exceptions, each of ICON and PRA have agreed (i) not to solicit alternative transactions or enter into discussions concerning, or provide information in connection with, any alternative transaction and (ii) that its Board of Directors will recommend that its shareholders approve the granting of authority to the Board of Directors of ICON to effect the Share Issuance, in the case of ICON, and adopt the Merger Agreement, in the case of PRA.</w:t>
      </w:r>
    </w:p>
    <w:p>
      <w:pPr>
        <w:spacing w:after="0" w:line="23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Prior to the Requisite ICON Vote, the Board of Directors of ICON may, in connection with a “Parent Intervening Event” (as defined in the Merger agreement), change its recommendation, subject to complying with notice and other specified conditions, including giving PRA the opportunity to propose changes to the Merger Agreement in response to such Parent Intervening Event, if the Board of Directors of ICON determines that the failure to do so would be inconsistent with its fiduciary duties under applicable law.</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Prior to the Requisite PRA Vote, the Board of Directors of PRA may, in connection with (i) the receipt of a “Company Superior Proposal” (as defined in the Merger Agreement), or (ii) a “Company Intervening Event” (as defined in the Merger Agreement), change its recommendation, subject to complying with notice and other specified conditions, including giving ICON the opportunity to propose changes to the Merger Agreement in response to such Company Superior Proposal or Company Intervening Event, as applicable, if the Board of Directors of PRA determines that the failure to do so would be inconsistent with its fiduciary duties under applicable law.</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w:t>
      </w:r>
    </w:p>
    <w:p>
      <w:pPr>
        <w:spacing w:after="0" w:line="2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Merger Agreement contains certain customary termination rights for ICON and PRA. Subject to certain limitations, the Merger Agreement may be terminated by either ICON or PRA if (i) the Merger is not consummated on or before February 24, 2022 (such date, as extended, the “End Date”), (x) subject to automatic extension for three months if all of the conditions to the closing, other than the conditions related to obtaining regulatory approvals, have been satisfied or waived and (y) in the event that an antitrust litigation is pending, subject to automatic extension for a maximum of 18 months from the date of the Merger Agreement (inclusive of any extensions), (ii) a final court order makes the Merger illegal or a law is enacted to prohibit the Merger and (iii) if the Requisite ICON Vote or the Requisite PRA Vote is not obtained.</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addition, ICON may terminate the Merger Agreement (subject to certain limitations): (i) if prior to the Requisite PRA Vote, the Board of Directors of PRA has changed its recommendation that PRA shareholders vote in favor of the approval and adoption of the Merger Agreement; or (ii) if PRA has breached or failed to perform any of its representations, warranties, covenants or other agreements such that a condition to ICON’s obligation to consummate the Merger would fail to be satisfied, and such breach or failure is not cured during a 30-day cure period or is incapable of being cured by the End Date.</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PRA will be obligated to pay to ICON and US HoldCo a termination fee of $277,000,000 in the event the Merger Agreement is terminated: (i) by ICON in accordance with the termination right described in clause (i) in the immediately preceding paragraph; (ii) by PRA in order to enter into a definitive agreement providing for a Company Superior Proposal; (iii) by ICON or PRA due to the failure to obtain the Requisite PRA Vote at a time when the Merger Agreement was terminable by ICON in accordance with the termination right described in clause (i) in the immediately preceding paragraph; (iv) by ICON in accordance with the termination right described in clause (ii) in the immediately preceding paragraph or by either ICON or PRA due to the failure to consummate the Merger on or before the End Date, if (a) prior to termination of the Merger Agreement, a Company Takeover Proposal has been publicly disclosed or otherwise publicly known or otherwise made to the Board of Directors of PRA and not publicly withdrawn at least seven business days prior to such termination, and (b) within 12 months of termination of the Merger Agreement, PRA enters into certain agreements with respect to a Company Takeover Proposal or any Company Takeover Proposal is consummated; or (v) by ICON or PRA due to failure to obtain the Requisite PRA Vote, if (a) at or prior to the PRA shareholder meeting convened for purposes of obtaining the Requisite PRA Vote, a Company Takeover Proposal has been publicly disclosed or otherwise publicly known or otherwise made to the Board of Directors of PRA and not publicly withdrawn at least seven business days prior to the PRA shareholder meeting, and (b) within 12 months of termination of the Merger Agreement, PRA enters into certain agreements with respect to a Company Takeover Proposal or any Company Takeover Proposal is consummated. In addition, if the Merger Agreement is terminated because of a failure of PRA’s shareholders to approve and adopt the Merger Agreement, PRA is required to reimburse ICON and US HoldCo for its expenses in an amount equal to $100,000,000. In no event would ICON be entitled to receive more than one termination fee or more than one expense reimbursement. Upon payment by PRA of a termination fee, any previously paid expense reimbursements shall be credited against the amount of such 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0" w:name="page81"/>
    <w:bookmarkEnd w:id="80"/>
    <w:p>
      <w:pPr>
        <w:jc w:val="both"/>
        <w:ind w:firstLine="648"/>
        <w:spacing w:after="0" w:line="249" w:lineRule="auto"/>
        <w:rPr>
          <w:sz w:val="20"/>
          <w:szCs w:val="20"/>
          <w:color w:val="auto"/>
        </w:rPr>
      </w:pPr>
      <w:r>
        <w:rPr>
          <w:rFonts w:ascii="Arial" w:cs="Arial" w:eastAsia="Arial" w:hAnsi="Arial"/>
          <w:sz w:val="16"/>
          <w:szCs w:val="16"/>
          <w:color w:val="auto"/>
        </w:rPr>
        <w:t>In addition, PRA may terminate the Merger Agreement: (i) prior to the receipt of the Requisite PRA Vote, in order to enter into a definitive agreement providing for a Company Superior Proposal if certain conditions are met; (ii) if prior to the Requisite ICON Vote, the Board of Directors of ICON has changed its recommendation that ICON shareholders vote in favor of the grant of authority to the Board of Directors of ICON to effect the Share Issuance; or (iii) if ICON has breached or failed to perform any of its representations, warranties, covenants or other agreements such that a condition to PRA’s obligation to consummate the Merger would fail to be satisfied, and such breach or failure is not cured during a 30-day cure period or is incapable of being cured by the End Date.</w:t>
      </w: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ICON and US HoldCo will be obligated to pay to PRA a termination fee of $388,000,000 in the event the Merger Agreement is terminated: (i) by PRA in accordance with the termination right described in clause (ii) in the immediately preceding paragraph; (ii) by ICON or PRA due to the failure to obtain the Requisite ICON Vote at a time when the Merger Agreement was terminable by PRA in accordance with the termination right described in clause (ii) in the immediately preceding paragraph; (iii) by PRA in accordance with the termination right described in clause (iii) in the immediately preceding paragraph or by ICON or PRA due to the failure to consummate the Merger on or before the End Date, if (a) prior to termination of the Merger Agreement, a Parent Takeover Proposal has been publicly disclosed or otherwise publicly known or otherwise made to the Board of Directors of ICON and not publicly withdrawn at least seven business days prior to such termination, and (b) within 12 months of termination of the Merger Agreement, ICON enters into certain agreements with respect to a Parent Takeover Proposal or any Parent Takeover Proposal is consummated; or (v) by ICON or PRA due to failure to obtain the Requisite ICON Vote, if (a) at or prior to the ICON shareholder meeting convened for purposes of obtaining the Requisite ICON Vote, a Parent Takeover Proposal has been publicly disclosed or otherwise publicly known or otherwise made to the Board of Directors of ICON and not publicly withdrawn at least seven business days prior to the ICON shareholder meeting, and (b) within 12 months of termination of the Merger Agreement, ICON enters into certain agreements with respect to a Parent Takeover Proposal or any Parent Takeover Proposal is consummated. In addition, if the Merger Agreement is terminated because of a failure of ICON’s shareholders to approve the grant of authority to the Board of Directors of ICON to effect the Share Issuance, ICON is required to reimburse PRA for its expenses in an amount equal to $120,000,000. In no event would PRA be entitled to receive more than one termination fee or more than one expense reimbursement. Upon payment by ICON of a termination fee, any previously paid expense reimbursements shall be credited against the amount of such termination fee.</w:t>
      </w:r>
    </w:p>
    <w:p>
      <w:pPr>
        <w:spacing w:after="0" w:line="23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foregoing description of the Merger Agreement does not purport to be complete and is qualified in its entirety by reference to the full text of the Merger Agreement, a copy of which has been filed as an exhibit to a Form 6-K filed with the SEC on February 24, 2021. The Merger Agreement should not be read alone but should instead be read in conjunction with the other information regarding the Merger Agreement, the Merger, ICON, PRA, their respective affiliates and their respective businesses, that will be contained in, or incorporated by reference into, the Registration Statement on Form F-4 that will include a joint proxy statement of ICON and PRA, a prospectus of ICON, and an extraordinary general meeting notice of ICON, as well as in the Forms 10-K, Forms 10-Q, Forms 8-K, and other filings, and the Forms 20-F and 6-K, and other filings, that each of ICON and PRA make with the SEC, respectively.</w:t>
      </w:r>
    </w:p>
    <w:p>
      <w:pPr>
        <w:spacing w:after="0" w:line="21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Exchange Controls and Other Limitations Affecting Security Holders</w:t>
      </w:r>
    </w:p>
    <w:p>
      <w:pPr>
        <w:spacing w:after="0" w:line="187" w:lineRule="exact"/>
        <w:rPr>
          <w:sz w:val="20"/>
          <w:szCs w:val="20"/>
          <w:color w:val="auto"/>
        </w:rPr>
      </w:pPr>
    </w:p>
    <w:p>
      <w:pPr>
        <w:jc w:val="both"/>
        <w:ind w:firstLine="269"/>
        <w:spacing w:after="0" w:line="253" w:lineRule="auto"/>
        <w:rPr>
          <w:sz w:val="20"/>
          <w:szCs w:val="20"/>
          <w:color w:val="auto"/>
        </w:rPr>
      </w:pPr>
      <w:r>
        <w:rPr>
          <w:rFonts w:ascii="Arial" w:cs="Arial" w:eastAsia="Arial" w:hAnsi="Arial"/>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47" w:lineRule="exact"/>
        <w:rPr>
          <w:sz w:val="20"/>
          <w:szCs w:val="20"/>
          <w:color w:val="auto"/>
        </w:rPr>
      </w:pPr>
    </w:p>
    <w:p>
      <w:pPr>
        <w:jc w:val="both"/>
        <w:ind w:firstLine="229"/>
        <w:spacing w:after="0" w:line="250" w:lineRule="auto"/>
        <w:rPr>
          <w:sz w:val="20"/>
          <w:szCs w:val="20"/>
          <w:color w:val="auto"/>
        </w:rPr>
      </w:pPr>
      <w:r>
        <w:rPr>
          <w:rFonts w:ascii="Arial" w:cs="Arial" w:eastAsia="Arial" w:hAnsi="Arial"/>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149" w:lineRule="exact"/>
        <w:rPr>
          <w:sz w:val="20"/>
          <w:szCs w:val="20"/>
          <w:color w:val="auto"/>
        </w:rPr>
      </w:pPr>
    </w:p>
    <w:p>
      <w:pPr>
        <w:jc w:val="both"/>
        <w:ind w:firstLine="214"/>
        <w:spacing w:after="0" w:line="249" w:lineRule="auto"/>
        <w:rPr>
          <w:sz w:val="20"/>
          <w:szCs w:val="20"/>
          <w:color w:val="auto"/>
        </w:rPr>
      </w:pPr>
      <w:r>
        <w:rPr>
          <w:rFonts w:ascii="Arial" w:cs="Arial" w:eastAsia="Arial" w:hAnsi="Arial"/>
          <w:sz w:val="16"/>
          <w:szCs w:val="16"/>
          <w:color w:val="auto"/>
        </w:rPr>
        <w:t>The Financial Transfers Act, 1992 prohibits financial transfers involving a number of persons, entities and bodies, which is subject to amendment on an ongoing, regular basis and currently includes, but is not limited to: certain persons and activities in Sudan, South Sudan, the Central African Republic, Libya, Iraq, the Democratic People's Republic of Korea, Myanmar/Burma, Tunisia, Zimbabwe, Egypt, Venezuela, certain persons, entities and bodies in Syrian Arab Republic, the Republic of Guinea-Bissau, Nicaragua, Democratic Republic of Congo, Iran, Ukraine, associated with the Taliban in Afghanistan; associated with ISIL (Da’esh) and Al-Qaeda; associated with Turkey’s unauthorized drilling activities in the Eastern Mediterranean and certain known terrorists and terrorist groups and countries that harbor certain terrorist groups, without the prior permission of the Central Bank of Ireland.</w:t>
      </w:r>
    </w:p>
    <w:p>
      <w:pPr>
        <w:spacing w:after="0" w:line="151" w:lineRule="exact"/>
        <w:rPr>
          <w:sz w:val="20"/>
          <w:szCs w:val="20"/>
          <w:color w:val="auto"/>
        </w:rPr>
      </w:pPr>
    </w:p>
    <w:p>
      <w:pPr>
        <w:jc w:val="both"/>
        <w:ind w:right="20" w:firstLine="181"/>
        <w:spacing w:after="0" w:line="260" w:lineRule="auto"/>
        <w:rPr>
          <w:sz w:val="20"/>
          <w:szCs w:val="20"/>
          <w:color w:val="auto"/>
        </w:rPr>
      </w:pPr>
      <w:r>
        <w:rPr>
          <w:rFonts w:ascii="Arial" w:cs="Arial" w:eastAsia="Arial" w:hAnsi="Arial"/>
          <w:sz w:val="16"/>
          <w:szCs w:val="16"/>
          <w:color w:val="auto"/>
        </w:rPr>
        <w:t>There are no restrictions under the Company’s Constitution or under Irish Law that limit the right of non-residents or foreign owners to hold the Company’s ordinary shares or vote at general meetings of the Company.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1" w:name="page82"/>
    <w:bookmarkEnd w:id="81"/>
    <w:p>
      <w:pPr>
        <w:ind w:left="640" w:hanging="308"/>
        <w:spacing w:after="0"/>
        <w:tabs>
          <w:tab w:leader="none" w:pos="64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67"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jc w:val="both"/>
        <w:ind w:firstLine="259"/>
        <w:spacing w:after="0" w:line="249" w:lineRule="auto"/>
        <w:rPr>
          <w:sz w:val="20"/>
          <w:szCs w:val="20"/>
          <w:color w:val="auto"/>
        </w:rPr>
      </w:pPr>
      <w:r>
        <w:rPr>
          <w:rFonts w:ascii="Arial" w:cs="Arial" w:eastAsia="Arial" w:hAnsi="Arial"/>
          <w:sz w:val="16"/>
          <w:szCs w:val="16"/>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151" w:lineRule="exact"/>
        <w:rPr>
          <w:sz w:val="20"/>
          <w:szCs w:val="20"/>
          <w:color w:val="auto"/>
        </w:rPr>
      </w:pPr>
    </w:p>
    <w:p>
      <w:pPr>
        <w:jc w:val="both"/>
        <w:ind w:firstLine="176"/>
        <w:spacing w:after="0" w:line="250"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49"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6"/>
          <w:szCs w:val="16"/>
          <w:color w:val="auto"/>
        </w:rPr>
        <w:t>AS USED HEREIN, REFERENCES TO THE ORDINARY SHARES SHALL INCLUDE SHARES HELD IN THE ACCOUNTS OF PARTICIPANTS THROUGH THE DEPOSITARY TRUST COMPANY (“THE DTC”).</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Irish Taxation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Irish corporation tax on income</w:t>
      </w:r>
    </w:p>
    <w:p>
      <w:pPr>
        <w:spacing w:after="0" w:line="183" w:lineRule="exact"/>
        <w:rPr>
          <w:sz w:val="20"/>
          <w:szCs w:val="20"/>
          <w:color w:val="auto"/>
        </w:rPr>
      </w:pPr>
    </w:p>
    <w:p>
      <w:pPr>
        <w:jc w:val="both"/>
        <w:ind w:right="20" w:firstLine="210"/>
        <w:spacing w:after="0" w:line="260" w:lineRule="auto"/>
        <w:rPr>
          <w:sz w:val="20"/>
          <w:szCs w:val="20"/>
          <w:color w:val="auto"/>
        </w:rPr>
      </w:pPr>
      <w:r>
        <w:rPr>
          <w:rFonts w:ascii="Arial" w:cs="Arial" w:eastAsia="Arial" w:hAnsi="Arial"/>
          <w:sz w:val="16"/>
          <w:szCs w:val="16"/>
          <w:color w:val="auto"/>
        </w:rPr>
        <w:t>ICON is a public limited company incorporated and resident for tax purposes in Ireland by virtue of its place of central management and control being in Ireland.</w:t>
      </w:r>
    </w:p>
    <w:p>
      <w:pPr>
        <w:spacing w:after="0" w:line="141" w:lineRule="exact"/>
        <w:rPr>
          <w:sz w:val="20"/>
          <w:szCs w:val="20"/>
          <w:color w:val="auto"/>
        </w:rPr>
      </w:pPr>
    </w:p>
    <w:p>
      <w:pPr>
        <w:jc w:val="both"/>
        <w:ind w:firstLine="198"/>
        <w:spacing w:after="0" w:line="251" w:lineRule="auto"/>
        <w:rPr>
          <w:sz w:val="20"/>
          <w:szCs w:val="20"/>
          <w:color w:val="auto"/>
        </w:rPr>
      </w:pPr>
      <w:r>
        <w:rPr>
          <w:rFonts w:ascii="Arial" w:cs="Arial" w:eastAsia="Arial" w:hAnsi="Arial"/>
          <w:sz w:val="16"/>
          <w:szCs w:val="16"/>
          <w:color w:val="auto"/>
        </w:rPr>
        <w:t>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standard rate of Irish corporation tax on trading income (with certain exceptions) is currently 12.5%.</w:t>
      </w:r>
    </w:p>
    <w:p>
      <w:pPr>
        <w:spacing w:after="0" w:line="248" w:lineRule="exact"/>
        <w:rPr>
          <w:sz w:val="20"/>
          <w:szCs w:val="20"/>
          <w:color w:val="auto"/>
        </w:rPr>
      </w:pPr>
    </w:p>
    <w:p>
      <w:pPr>
        <w:jc w:val="both"/>
        <w:ind w:firstLine="180"/>
        <w:spacing w:after="0" w:line="260" w:lineRule="auto"/>
        <w:rPr>
          <w:sz w:val="20"/>
          <w:szCs w:val="20"/>
          <w:color w:val="auto"/>
        </w:rPr>
      </w:pPr>
      <w:r>
        <w:rPr>
          <w:rFonts w:ascii="Arial" w:cs="Arial" w:eastAsia="Arial" w:hAnsi="Arial"/>
          <w:sz w:val="16"/>
          <w:szCs w:val="16"/>
          <w:color w:val="auto"/>
        </w:rPr>
        <w:t>A research and development tax credit is available in Ireland where an Irish resident company incurs qualifying expenditure on research and development activities. Qualifying expenditure incurred in a particular account period results in a tax credit of 25% of that expenditure.</w:t>
      </w:r>
    </w:p>
    <w:p>
      <w:pPr>
        <w:spacing w:after="0" w:line="141" w:lineRule="exact"/>
        <w:rPr>
          <w:sz w:val="20"/>
          <w:szCs w:val="20"/>
          <w:color w:val="auto"/>
        </w:rPr>
      </w:pPr>
    </w:p>
    <w:p>
      <w:pPr>
        <w:ind w:firstLine="232"/>
        <w:spacing w:after="0" w:line="260" w:lineRule="auto"/>
        <w:rPr>
          <w:sz w:val="20"/>
          <w:szCs w:val="20"/>
          <w:color w:val="auto"/>
        </w:rPr>
      </w:pPr>
      <w:r>
        <w:rPr>
          <w:rFonts w:ascii="Arial" w:cs="Arial" w:eastAsia="Arial" w:hAnsi="Arial"/>
          <w:sz w:val="16"/>
          <w:szCs w:val="16"/>
          <w:color w:val="auto"/>
        </w:rPr>
        <w:t>Corporation tax is charged at the rate of 25% on a company's non-trading income and certain types of trading income not eligible for the lower rate of 12.5% referred to above.</w:t>
      </w:r>
    </w:p>
    <w:p>
      <w:pPr>
        <w:spacing w:after="0" w:line="141" w:lineRule="exact"/>
        <w:rPr>
          <w:sz w:val="20"/>
          <w:szCs w:val="20"/>
          <w:color w:val="auto"/>
        </w:rPr>
      </w:pPr>
    </w:p>
    <w:p>
      <w:pPr>
        <w:jc w:val="both"/>
        <w:ind w:firstLine="185"/>
        <w:spacing w:after="0" w:line="260" w:lineRule="auto"/>
        <w:rPr>
          <w:sz w:val="20"/>
          <w:szCs w:val="20"/>
          <w:color w:val="auto"/>
        </w:rPr>
      </w:pPr>
      <w:r>
        <w:rPr>
          <w:rFonts w:ascii="Arial" w:cs="Arial" w:eastAsia="Arial" w:hAnsi="Arial"/>
          <w:sz w:val="16"/>
          <w:szCs w:val="16"/>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141" w:lineRule="exact"/>
        <w:rPr>
          <w:sz w:val="20"/>
          <w:szCs w:val="20"/>
          <w:color w:val="auto"/>
        </w:rPr>
      </w:pPr>
    </w:p>
    <w:p>
      <w:pPr>
        <w:jc w:val="both"/>
        <w:ind w:firstLine="183"/>
        <w:spacing w:after="0" w:line="260" w:lineRule="auto"/>
        <w:rPr>
          <w:sz w:val="20"/>
          <w:szCs w:val="20"/>
          <w:color w:val="auto"/>
        </w:rPr>
      </w:pPr>
      <w:r>
        <w:rPr>
          <w:rFonts w:ascii="Arial" w:cs="Arial" w:eastAsia="Arial" w:hAnsi="Arial"/>
          <w:sz w:val="16"/>
          <w:szCs w:val="16"/>
          <w:color w:val="auto"/>
        </w:rPr>
        <w:t>The exemption from capital gains tax on the disposal of shares by an Irish resident company will apply where certain conditions are met. These conditions principally are:</w:t>
      </w:r>
    </w:p>
    <w:p>
      <w:pPr>
        <w:spacing w:after="0" w:line="222" w:lineRule="exact"/>
        <w:rPr>
          <w:sz w:val="20"/>
          <w:szCs w:val="20"/>
          <w:color w:val="auto"/>
        </w:rPr>
      </w:pPr>
    </w:p>
    <w:p>
      <w:pPr>
        <w:ind w:left="660" w:right="20" w:hanging="328"/>
        <w:spacing w:after="0" w:line="260"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claiming the exemption must hold (directly or indirectly) at least 5% of the ordinary share capital of the company in which the interest is being disposed of, throughout a continuous period of at least 12 months, within the two year period prior to disposal;</w:t>
      </w:r>
    </w:p>
    <w:p>
      <w:pPr>
        <w:spacing w:after="0" w:line="222"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222"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shares must be in a company which is primarily a trading company or the company making the disposal together with its “5% plus subsidiaries” should be primarily a trading group; and</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shares must not derive the greater part of their value from land or mineral rights in the State.</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Irish withholding tax on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2" w:name="page83"/>
    <w:bookmarkEnd w:id="82"/>
    <w:p>
      <w:pPr>
        <w:jc w:val="both"/>
        <w:ind w:firstLine="220"/>
        <w:spacing w:after="0" w:line="260" w:lineRule="auto"/>
        <w:rPr>
          <w:sz w:val="20"/>
          <w:szCs w:val="20"/>
          <w:color w:val="auto"/>
        </w:rPr>
      </w:pPr>
      <w:r>
        <w:rPr>
          <w:rFonts w:ascii="Arial" w:cs="Arial" w:eastAsia="Arial" w:hAnsi="Arial"/>
          <w:sz w:val="16"/>
          <w:szCs w:val="16"/>
          <w:color w:val="auto"/>
        </w:rPr>
        <w:t>Unless specifically exempted, all dividends paid by the Company, will be subject to Irish withholding tax. The current rate for dividend withholding tax is 25% (previously 20%).</w:t>
      </w:r>
    </w:p>
    <w:p>
      <w:pPr>
        <w:spacing w:after="0" w:line="222" w:lineRule="exact"/>
        <w:rPr>
          <w:sz w:val="20"/>
          <w:szCs w:val="20"/>
          <w:color w:val="auto"/>
        </w:rPr>
      </w:pPr>
    </w:p>
    <w:p>
      <w:pPr>
        <w:jc w:val="both"/>
        <w:ind w:firstLine="212"/>
        <w:spacing w:after="0" w:line="253" w:lineRule="auto"/>
        <w:rPr>
          <w:sz w:val="20"/>
          <w:szCs w:val="20"/>
          <w:color w:val="auto"/>
        </w:rPr>
      </w:pPr>
      <w:r>
        <w:rPr>
          <w:rFonts w:ascii="Arial" w:cs="Arial" w:eastAsia="Arial" w:hAnsi="Arial"/>
          <w:sz w:val="16"/>
          <w:szCs w:val="16"/>
          <w:color w:val="auto"/>
        </w:rPr>
        <w:t>An individual shareholder who is neither resident nor ordinarily resident for tax purposes in Ireland, but is resident in a country with which Ireland has a double tax treaty, or in a member state of the European Communities, other than Ireland (together, a Relevant Territory), will be exempt from withholding tax provided he or she makes the requisite declaration.</w:t>
      </w:r>
    </w:p>
    <w:p>
      <w:pPr>
        <w:spacing w:after="0" w:line="228" w:lineRule="exact"/>
        <w:rPr>
          <w:sz w:val="20"/>
          <w:szCs w:val="20"/>
          <w:color w:val="auto"/>
        </w:rPr>
      </w:pPr>
    </w:p>
    <w:p>
      <w:pPr>
        <w:jc w:val="both"/>
        <w:ind w:firstLine="197"/>
        <w:spacing w:after="0" w:line="260" w:lineRule="auto"/>
        <w:rPr>
          <w:sz w:val="20"/>
          <w:szCs w:val="20"/>
          <w:color w:val="auto"/>
        </w:rPr>
      </w:pPr>
      <w:r>
        <w:rPr>
          <w:rFonts w:ascii="Arial" w:cs="Arial" w:eastAsia="Arial" w:hAnsi="Arial"/>
          <w:sz w:val="16"/>
          <w:szCs w:val="16"/>
          <w:color w:val="auto"/>
        </w:rPr>
        <w:t>Irish resident corporate shareholders will be exempt from withholding tax. Where the shareholding held by the recipient Company, in the company paying the dividend is not 51% or greater a declaration must be made in order to avail of the exemption.</w:t>
      </w:r>
    </w:p>
    <w:p>
      <w:pPr>
        <w:spacing w:after="0" w:line="222" w:lineRule="exact"/>
        <w:rPr>
          <w:sz w:val="20"/>
          <w:szCs w:val="20"/>
          <w:color w:val="auto"/>
        </w:rPr>
      </w:pPr>
    </w:p>
    <w:p>
      <w:pPr>
        <w:jc w:val="both"/>
        <w:ind w:firstLine="241"/>
        <w:spacing w:after="0" w:line="250" w:lineRule="auto"/>
        <w:rPr>
          <w:sz w:val="20"/>
          <w:szCs w:val="20"/>
          <w:color w:val="auto"/>
        </w:rPr>
      </w:pPr>
      <w:r>
        <w:rPr>
          <w:rFonts w:ascii="Arial" w:cs="Arial" w:eastAsia="Arial" w:hAnsi="Arial"/>
          <w:sz w:val="16"/>
          <w:szCs w:val="16"/>
          <w:color w:val="auto"/>
        </w:rPr>
        <w:t>Non-Irish resident corporate shareholders will be exempt from withholding tax on the production of the appropriate certificates and declarations where they:</w:t>
      </w:r>
    </w:p>
    <w:p>
      <w:pPr>
        <w:spacing w:after="0" w:line="200" w:lineRule="exact"/>
        <w:rPr>
          <w:sz w:val="20"/>
          <w:szCs w:val="20"/>
          <w:color w:val="auto"/>
        </w:rPr>
      </w:pPr>
    </w:p>
    <w:p>
      <w:pPr>
        <w:spacing w:after="0" w:line="229"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are resident in a Relevant Territory and are not controlled (directly or indirectly) by Irish residents;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are ultimately controlled (directly or indirectly) by residents of a Relevant Territory; or</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have the principal class of their shares, or shares of a 75% parent, substantially and regularly traded on one or more recognized stock exchanges in a Relevant Territory (including Ireland) or Territories; or</w:t>
      </w:r>
    </w:p>
    <w:p>
      <w:pPr>
        <w:spacing w:after="0" w:line="222"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222" w:lineRule="exact"/>
        <w:rPr>
          <w:sz w:val="20"/>
          <w:szCs w:val="20"/>
          <w:color w:val="auto"/>
        </w:rPr>
      </w:pPr>
    </w:p>
    <w:p>
      <w:pPr>
        <w:jc w:val="both"/>
        <w:ind w:firstLine="185"/>
        <w:spacing w:after="0" w:line="249" w:lineRule="auto"/>
        <w:rPr>
          <w:sz w:val="20"/>
          <w:szCs w:val="20"/>
          <w:color w:val="auto"/>
        </w:rPr>
      </w:pPr>
      <w:r>
        <w:rPr>
          <w:rFonts w:ascii="Arial" w:cs="Arial" w:eastAsia="Arial" w:hAnsi="Arial"/>
          <w:sz w:val="16"/>
          <w:szCs w:val="16"/>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232"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depositary or the DTC is resident in a Relevant Territory;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depositary or the DTC have entered into a qualifying intermediary agreement with the Irish tax authorities; and</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depositary or the DTC have been authorized by the Irish Revenue Commissioners as a qualifying intermediary and such authorization has not expired or been revoked.</w:t>
      </w:r>
    </w:p>
    <w:p>
      <w:pPr>
        <w:spacing w:after="0" w:line="15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i w:val="1"/>
          <w:iCs w:val="1"/>
          <w:color w:val="auto"/>
        </w:rPr>
        <w:t>Irish income tax on dividends</w:t>
      </w:r>
    </w:p>
    <w:p>
      <w:pPr>
        <w:spacing w:after="0" w:line="264" w:lineRule="exact"/>
        <w:rPr>
          <w:sz w:val="20"/>
          <w:szCs w:val="20"/>
          <w:color w:val="auto"/>
        </w:rPr>
      </w:pPr>
    </w:p>
    <w:p>
      <w:pPr>
        <w:jc w:val="both"/>
        <w:ind w:firstLine="219"/>
        <w:spacing w:after="0" w:line="260" w:lineRule="auto"/>
        <w:rPr>
          <w:sz w:val="20"/>
          <w:szCs w:val="20"/>
          <w:color w:val="auto"/>
        </w:rPr>
      </w:pPr>
      <w:r>
        <w:rPr>
          <w:rFonts w:ascii="Arial" w:cs="Arial" w:eastAsia="Arial" w:hAnsi="Arial"/>
          <w:sz w:val="16"/>
          <w:szCs w:val="16"/>
          <w:color w:val="auto"/>
        </w:rPr>
        <w:t>Irish resident or ordinarily resident shareholders will generally be liable to Irish income tax on dividend income at their marginal rate of income tax. This income may also be liable to Pay Related Social Insurance (“PRSI”) of up to 4% and the Universal Social Charge (“USC”) of up to 11% (up to 15% in total).</w:t>
      </w:r>
    </w:p>
    <w:p>
      <w:pPr>
        <w:spacing w:after="0" w:line="222"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6"/>
          <w:szCs w:val="16"/>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228" w:lineRule="exact"/>
        <w:rPr>
          <w:sz w:val="20"/>
          <w:szCs w:val="20"/>
          <w:color w:val="auto"/>
        </w:rPr>
      </w:pPr>
    </w:p>
    <w:p>
      <w:pPr>
        <w:jc w:val="both"/>
        <w:ind w:firstLine="228"/>
        <w:spacing w:after="0" w:line="260" w:lineRule="auto"/>
        <w:rPr>
          <w:sz w:val="20"/>
          <w:szCs w:val="20"/>
          <w:color w:val="auto"/>
        </w:rPr>
      </w:pPr>
      <w:r>
        <w:rPr>
          <w:rFonts w:ascii="Arial" w:cs="Arial" w:eastAsia="Arial" w:hAnsi="Arial"/>
          <w:sz w:val="16"/>
          <w:szCs w:val="16"/>
          <w:color w:val="auto"/>
        </w:rPr>
        <w:t>However, a non-Irish resident shareholder will not have an Irish income tax liability on dividends from the Company if the holder is neither resident nor ordinarily resident in the Republic of Ireland and the holder is:</w:t>
      </w:r>
    </w:p>
    <w:p>
      <w:pPr>
        <w:spacing w:after="0" w:line="222"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individual resident in the U.S. or in a Relevant Territory;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corporation that is ultimately controlled by persons resident in the U.S. or in a Relevant Territory;</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corporation whose principal class of shares (or its 75% or greater parent’s principal class of shares) is substantially and regularly traded on a recognized stock exchange in an EU country or in a Relevant Territory;</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in a Relevant Territory.</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83" w:name="page84"/>
    <w:bookmarkEnd w:id="83"/>
    <w:p>
      <w:pPr>
        <w:ind w:left="180"/>
        <w:spacing w:after="0"/>
        <w:rPr>
          <w:sz w:val="20"/>
          <w:szCs w:val="20"/>
          <w:color w:val="auto"/>
        </w:rPr>
      </w:pPr>
      <w:r>
        <w:rPr>
          <w:rFonts w:ascii="Arial" w:cs="Arial" w:eastAsia="Arial" w:hAnsi="Arial"/>
          <w:sz w:val="16"/>
          <w:szCs w:val="16"/>
          <w:color w:val="auto"/>
        </w:rPr>
        <w:t>U.S. Holders who do not qualify for the above income tax exemption may be able to obtain treaty benefits under the double tax treaty.</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Irish domicile levy</w:t>
      </w:r>
    </w:p>
    <w:p>
      <w:pPr>
        <w:spacing w:after="0" w:line="264" w:lineRule="exact"/>
        <w:rPr>
          <w:sz w:val="20"/>
          <w:szCs w:val="20"/>
          <w:color w:val="auto"/>
        </w:rPr>
      </w:pPr>
    </w:p>
    <w:p>
      <w:pPr>
        <w:jc w:val="both"/>
        <w:ind w:firstLine="226"/>
        <w:spacing w:after="0" w:line="253" w:lineRule="auto"/>
        <w:rPr>
          <w:sz w:val="20"/>
          <w:szCs w:val="20"/>
          <w:color w:val="auto"/>
        </w:rPr>
      </w:pPr>
      <w:r>
        <w:rPr>
          <w:rFonts w:ascii="Arial" w:cs="Arial" w:eastAsia="Arial" w:hAnsi="Arial"/>
          <w:sz w:val="16"/>
          <w:szCs w:val="16"/>
          <w:color w:val="auto"/>
        </w:rPr>
        <w:t>Certain non-Irish resident individuals that are domiciled in Ireland will be subject to an annual levy of €200,000 if the market value of their Irish-located property on December 31 exceeds €5,000,000, their worldwide annual income exceeds €1,000,000 and their liability to Irish Income Tax in that year is less than €200,000.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capital gains tax on disposal of shares</w:t>
      </w:r>
    </w:p>
    <w:p>
      <w:pPr>
        <w:spacing w:after="0" w:line="129" w:lineRule="exact"/>
        <w:rPr>
          <w:sz w:val="20"/>
          <w:szCs w:val="20"/>
          <w:color w:val="auto"/>
        </w:rPr>
      </w:pPr>
    </w:p>
    <w:p>
      <w:pPr>
        <w:jc w:val="both"/>
        <w:ind w:firstLine="266"/>
        <w:spacing w:after="0" w:line="260" w:lineRule="auto"/>
        <w:rPr>
          <w:sz w:val="20"/>
          <w:szCs w:val="20"/>
          <w:color w:val="auto"/>
        </w:rPr>
      </w:pPr>
      <w:r>
        <w:rPr>
          <w:rFonts w:ascii="Arial" w:cs="Arial" w:eastAsia="Arial" w:hAnsi="Arial"/>
          <w:sz w:val="16"/>
          <w:szCs w:val="16"/>
          <w:color w:val="auto"/>
        </w:rPr>
        <w:t>Irish resident or ordinarily resident shareholders will be liable to capital gains tax at 33% on gains arising from the disposal or part disposal of their shareholding.</w:t>
      </w:r>
    </w:p>
    <w:p>
      <w:pPr>
        <w:spacing w:after="0" w:line="87" w:lineRule="exact"/>
        <w:rPr>
          <w:sz w:val="20"/>
          <w:szCs w:val="20"/>
          <w:color w:val="auto"/>
        </w:rPr>
      </w:pPr>
    </w:p>
    <w:p>
      <w:pPr>
        <w:jc w:val="both"/>
        <w:ind w:firstLine="209"/>
        <w:spacing w:after="0" w:line="253" w:lineRule="auto"/>
        <w:rPr>
          <w:sz w:val="20"/>
          <w:szCs w:val="20"/>
          <w:color w:val="auto"/>
        </w:rPr>
      </w:pPr>
      <w:r>
        <w:rPr>
          <w:rFonts w:ascii="Arial" w:cs="Arial" w:eastAsia="Arial" w:hAnsi="Arial"/>
          <w:sz w:val="16"/>
          <w:szCs w:val="16"/>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are provisions to subject a person who disposes of an interest in a company while temporarily being non-Irish resident, to Irish capital gains tax.</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treatment will apply to Irish domiciled individuals:</w:t>
      </w:r>
    </w:p>
    <w:p>
      <w:pPr>
        <w:spacing w:after="0" w:line="248"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who cease to be Irish resident;</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who beneficially own the relevant assets when they cease to be resident;</w:t>
      </w:r>
    </w:p>
    <w:p>
      <w:pPr>
        <w:spacing w:after="0" w:line="24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there are not more than 5 years of assessment between the last year of Irish tax residence prior to becoming temporarily non-resident and the tax year that he/she resumes Irish tax residency;</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who dispose of the relevant assets during this temporary non-residence;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interest disposed of represents 5% or greater of the issued share capital of the company or is worth at least €500,000.</w:t>
      </w:r>
    </w:p>
    <w:p>
      <w:pPr>
        <w:spacing w:after="0" w:line="248" w:lineRule="exact"/>
        <w:rPr>
          <w:sz w:val="20"/>
          <w:szCs w:val="20"/>
          <w:color w:val="auto"/>
        </w:rPr>
      </w:pPr>
    </w:p>
    <w:p>
      <w:pPr>
        <w:ind w:firstLine="272"/>
        <w:spacing w:after="0" w:line="260" w:lineRule="auto"/>
        <w:rPr>
          <w:sz w:val="20"/>
          <w:szCs w:val="20"/>
          <w:color w:val="auto"/>
        </w:rPr>
      </w:pPr>
      <w:r>
        <w:rPr>
          <w:rFonts w:ascii="Arial" w:cs="Arial" w:eastAsia="Arial" w:hAnsi="Arial"/>
          <w:sz w:val="16"/>
          <w:szCs w:val="16"/>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Irish capital acquisitions tax</w:t>
      </w:r>
    </w:p>
    <w:p>
      <w:pPr>
        <w:spacing w:after="0" w:line="264" w:lineRule="exact"/>
        <w:rPr>
          <w:sz w:val="20"/>
          <w:szCs w:val="20"/>
          <w:color w:val="auto"/>
        </w:rPr>
      </w:pPr>
    </w:p>
    <w:p>
      <w:pPr>
        <w:ind w:firstLine="188"/>
        <w:spacing w:after="0" w:line="260" w:lineRule="auto"/>
        <w:rPr>
          <w:sz w:val="20"/>
          <w:szCs w:val="20"/>
          <w:color w:val="auto"/>
        </w:rPr>
      </w:pPr>
      <w:r>
        <w:rPr>
          <w:rFonts w:ascii="Arial" w:cs="Arial" w:eastAsia="Arial" w:hAnsi="Arial"/>
          <w:sz w:val="16"/>
          <w:szCs w:val="16"/>
          <w:color w:val="auto"/>
        </w:rPr>
        <w:t>Irish capital acquisitions tax (referred to as CAT) applies to gifts and inheritances. Subject to certain tax-free thresholds, gifts and inheritances are liable to tax at 33%.</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Where a gift or inheritance is taken under a disposition made after December 1, 1999 it will be within the charge to CAT:</w:t>
      </w:r>
    </w:p>
    <w:p>
      <w:pPr>
        <w:spacing w:after="0" w:line="248" w:lineRule="exact"/>
        <w:rPr>
          <w:sz w:val="20"/>
          <w:szCs w:val="20"/>
          <w:color w:val="auto"/>
        </w:rPr>
      </w:pPr>
    </w:p>
    <w:p>
      <w:pPr>
        <w:ind w:left="1060" w:hanging="323"/>
        <w:spacing w:after="0"/>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the extent that the property of which the gift or inheritance consists is situated in the Republic of Ireland at the date of the gift or inheritance;</w:t>
      </w:r>
    </w:p>
    <w:p>
      <w:pPr>
        <w:spacing w:after="0" w:line="248" w:lineRule="exact"/>
        <w:rPr>
          <w:rFonts w:ascii="Arial" w:cs="Arial" w:eastAsia="Arial" w:hAnsi="Arial"/>
          <w:sz w:val="16"/>
          <w:szCs w:val="16"/>
          <w:color w:val="auto"/>
        </w:rPr>
      </w:pPr>
    </w:p>
    <w:p>
      <w:pPr>
        <w:ind w:left="1060" w:hanging="323"/>
        <w:spacing w:after="0" w:line="260" w:lineRule="auto"/>
        <w:tabs>
          <w:tab w:leader="none" w:pos="10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where the person making the gift or inheritance is or was resident or ordinarily resident in the Republic of Ireland at the date of the disposition under which the gift or inheritance is taken;</w:t>
      </w:r>
    </w:p>
    <w:p>
      <w:pPr>
        <w:spacing w:after="0" w:line="222" w:lineRule="exact"/>
        <w:rPr>
          <w:rFonts w:ascii="Arial" w:cs="Arial" w:eastAsia="Arial" w:hAnsi="Arial"/>
          <w:sz w:val="16"/>
          <w:szCs w:val="16"/>
          <w:color w:val="auto"/>
        </w:rPr>
      </w:pPr>
    </w:p>
    <w:p>
      <w:pPr>
        <w:jc w:val="both"/>
        <w:ind w:left="1060" w:hanging="323"/>
        <w:spacing w:after="0" w:line="253" w:lineRule="auto"/>
        <w:tabs>
          <w:tab w:leader="none" w:pos="10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he/she made the settlement, or at the date of the gift or, if he/she is dead at the date of the gift, at the date of his/her death; or</w:t>
      </w:r>
    </w:p>
    <w:p>
      <w:pPr>
        <w:spacing w:after="0" w:line="228" w:lineRule="exact"/>
        <w:rPr>
          <w:rFonts w:ascii="Arial" w:cs="Arial" w:eastAsia="Arial" w:hAnsi="Arial"/>
          <w:sz w:val="16"/>
          <w:szCs w:val="16"/>
          <w:color w:val="auto"/>
        </w:rPr>
      </w:pPr>
    </w:p>
    <w:p>
      <w:pPr>
        <w:ind w:left="1060" w:hanging="323"/>
        <w:spacing w:after="0" w:line="250" w:lineRule="auto"/>
        <w:tabs>
          <w:tab w:leader="none" w:pos="10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where the person receiving the gift or inheritance is resident or ordinarily resident in the Republic of Ireland at the date of the gift or inheritance.</w:t>
      </w:r>
    </w:p>
    <w:p>
      <w:pPr>
        <w:spacing w:after="0" w:line="200" w:lineRule="exact"/>
        <w:rPr>
          <w:sz w:val="20"/>
          <w:szCs w:val="20"/>
          <w:color w:val="auto"/>
        </w:rPr>
      </w:pPr>
    </w:p>
    <w:p>
      <w:pPr>
        <w:spacing w:after="0" w:line="229"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6"/>
          <w:szCs w:val="16"/>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228" w:lineRule="exact"/>
        <w:rPr>
          <w:sz w:val="20"/>
          <w:szCs w:val="20"/>
          <w:color w:val="auto"/>
        </w:rPr>
      </w:pPr>
    </w:p>
    <w:p>
      <w:pPr>
        <w:jc w:val="both"/>
        <w:ind w:firstLine="266"/>
        <w:spacing w:after="0" w:line="251" w:lineRule="auto"/>
        <w:rPr>
          <w:sz w:val="20"/>
          <w:szCs w:val="20"/>
          <w:color w:val="auto"/>
        </w:rPr>
      </w:pPr>
      <w:r>
        <w:rPr>
          <w:rFonts w:ascii="Arial" w:cs="Arial" w:eastAsia="Arial" w:hAnsi="Arial"/>
          <w:sz w:val="16"/>
          <w:szCs w:val="16"/>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84" w:name="page85"/>
    <w:bookmarkEnd w:id="84"/>
    <w:p>
      <w:pPr>
        <w:spacing w:after="0" w:line="260" w:lineRule="auto"/>
        <w:rPr>
          <w:sz w:val="20"/>
          <w:szCs w:val="20"/>
          <w:color w:val="auto"/>
        </w:rPr>
      </w:pPr>
      <w:r>
        <w:rPr>
          <w:rFonts w:ascii="Arial" w:cs="Arial" w:eastAsia="Arial" w:hAnsi="Arial"/>
          <w:sz w:val="16"/>
          <w:szCs w:val="16"/>
          <w:color w:val="auto"/>
        </w:rPr>
        <w:t>The tax-free threshold is dependent on the relationship between the donor and the donees and the aggregation since December 5, 1991 of all previous gifts and inheritances, within the same tax threshold.</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tax-free threshold amounts that apply are:</w:t>
      </w:r>
    </w:p>
    <w:p>
      <w:pPr>
        <w:spacing w:after="0" w:line="5" w:lineRule="exact"/>
        <w:rPr>
          <w:sz w:val="20"/>
          <w:szCs w:val="20"/>
          <w:color w:val="auto"/>
        </w:rPr>
      </w:pPr>
    </w:p>
    <w:p>
      <w:pPr>
        <w:ind w:left="1140" w:hanging="241"/>
        <w:spacing w:after="0"/>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€16,250 in the case of persons who are not related to one another;</w:t>
      </w:r>
    </w:p>
    <w:p>
      <w:pPr>
        <w:spacing w:after="0" w:line="248" w:lineRule="exact"/>
        <w:rPr>
          <w:rFonts w:ascii="Arial" w:cs="Arial" w:eastAsia="Arial" w:hAnsi="Arial"/>
          <w:sz w:val="16"/>
          <w:szCs w:val="16"/>
          <w:color w:val="auto"/>
        </w:rPr>
      </w:pPr>
    </w:p>
    <w:p>
      <w:pPr>
        <w:ind w:left="1140" w:hanging="241"/>
        <w:spacing w:after="0" w:line="260" w:lineRule="auto"/>
        <w:tabs>
          <w:tab w:leader="none" w:pos="1129" w:val="left"/>
        </w:tabs>
        <w:numPr>
          <w:ilvl w:val="0"/>
          <w:numId w:val="57"/>
        </w:numPr>
        <w:rPr>
          <w:rFonts w:ascii="Arial" w:cs="Arial" w:eastAsia="Arial" w:hAnsi="Arial"/>
          <w:sz w:val="16"/>
          <w:szCs w:val="16"/>
          <w:color w:val="auto"/>
        </w:rPr>
      </w:pPr>
      <w:r>
        <w:rPr>
          <w:rFonts w:ascii="Arial" w:cs="Arial" w:eastAsia="Arial" w:hAnsi="Arial"/>
          <w:sz w:val="16"/>
          <w:szCs w:val="16"/>
          <w:color w:val="auto"/>
        </w:rPr>
        <w:t>€32,500 in the case of gifts or inheritances received from inter alia a brother or sister or from a brother or sister of a parent or from a grandparent; and</w:t>
      </w:r>
    </w:p>
    <w:p>
      <w:pPr>
        <w:spacing w:after="0" w:line="222" w:lineRule="exact"/>
        <w:rPr>
          <w:rFonts w:ascii="Arial" w:cs="Arial" w:eastAsia="Arial" w:hAnsi="Arial"/>
          <w:sz w:val="16"/>
          <w:szCs w:val="16"/>
          <w:color w:val="auto"/>
        </w:rPr>
      </w:pPr>
    </w:p>
    <w:p>
      <w:pPr>
        <w:jc w:val="both"/>
        <w:ind w:left="1140" w:hanging="241"/>
        <w:spacing w:after="0" w:line="253" w:lineRule="auto"/>
        <w:tabs>
          <w:tab w:leader="none" w:pos="1129" w:val="left"/>
        </w:tabs>
        <w:numPr>
          <w:ilvl w:val="0"/>
          <w:numId w:val="57"/>
        </w:numPr>
        <w:rPr>
          <w:rFonts w:ascii="Arial" w:cs="Arial" w:eastAsia="Arial" w:hAnsi="Arial"/>
          <w:sz w:val="16"/>
          <w:szCs w:val="16"/>
          <w:color w:val="auto"/>
        </w:rPr>
      </w:pPr>
      <w:r>
        <w:rPr>
          <w:rFonts w:ascii="Arial" w:cs="Arial" w:eastAsia="Arial" w:hAnsi="Arial"/>
          <w:sz w:val="16"/>
          <w:szCs w:val="16"/>
          <w:color w:val="auto"/>
        </w:rPr>
        <w:t>€335,000 in the case of gifts and inheritances received from a parent (or from a grandparent by a minor child of a deceased child) and specified inheritances received by a parent from a child for gifts or inheritances taken on or after October 9, 2019. This threshold was €320,000 prior to October 9, 2019.</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Gifts and inheritances passing between spouses are exempt from CAT.</w:t>
      </w:r>
    </w:p>
    <w:p>
      <w:pPr>
        <w:spacing w:after="0" w:line="5" w:lineRule="exact"/>
        <w:rPr>
          <w:sz w:val="20"/>
          <w:szCs w:val="20"/>
          <w:color w:val="auto"/>
        </w:rPr>
      </w:pPr>
    </w:p>
    <w:p>
      <w:pPr>
        <w:jc w:val="both"/>
        <w:ind w:right="20" w:firstLine="185"/>
        <w:spacing w:after="0" w:line="260" w:lineRule="auto"/>
        <w:rPr>
          <w:sz w:val="20"/>
          <w:szCs w:val="20"/>
          <w:color w:val="auto"/>
        </w:rPr>
      </w:pPr>
      <w:r>
        <w:rPr>
          <w:rFonts w:ascii="Arial" w:cs="Arial" w:eastAsia="Arial" w:hAnsi="Arial"/>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222" w:lineRule="exact"/>
        <w:rPr>
          <w:sz w:val="20"/>
          <w:szCs w:val="20"/>
          <w:color w:val="auto"/>
        </w:rPr>
      </w:pPr>
    </w:p>
    <w:p>
      <w:pPr>
        <w:jc w:val="both"/>
        <w:ind w:firstLine="189"/>
        <w:spacing w:after="0" w:line="253"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Irish stamp duty</w:t>
      </w:r>
    </w:p>
    <w:p>
      <w:pPr>
        <w:spacing w:after="0" w:line="264" w:lineRule="exact"/>
        <w:rPr>
          <w:sz w:val="20"/>
          <w:szCs w:val="20"/>
          <w:color w:val="auto"/>
        </w:rPr>
      </w:pPr>
    </w:p>
    <w:p>
      <w:pPr>
        <w:jc w:val="both"/>
        <w:ind w:firstLine="203"/>
        <w:spacing w:after="0" w:line="250" w:lineRule="auto"/>
        <w:rPr>
          <w:sz w:val="20"/>
          <w:szCs w:val="20"/>
          <w:color w:val="auto"/>
        </w:rPr>
      </w:pPr>
      <w:r>
        <w:rPr>
          <w:rFonts w:ascii="Arial" w:cs="Arial" w:eastAsia="Arial" w:hAnsi="Arial"/>
          <w:sz w:val="16"/>
          <w:szCs w:val="16"/>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Transfers through the DTC of book entry interests in shares are not subject to Irish stamp duty.</w:t>
      </w:r>
    </w:p>
    <w:p>
      <w:pPr>
        <w:spacing w:after="0" w:line="248" w:lineRule="exact"/>
        <w:rPr>
          <w:sz w:val="20"/>
          <w:szCs w:val="20"/>
          <w:color w:val="auto"/>
        </w:rPr>
      </w:pPr>
    </w:p>
    <w:p>
      <w:pPr>
        <w:jc w:val="both"/>
        <w:ind w:firstLine="260"/>
        <w:spacing w:after="0" w:line="250" w:lineRule="auto"/>
        <w:rPr>
          <w:sz w:val="20"/>
          <w:szCs w:val="20"/>
          <w:color w:val="auto"/>
        </w:rPr>
      </w:pPr>
      <w:r>
        <w:rPr>
          <w:rFonts w:ascii="Arial" w:cs="Arial" w:eastAsia="Arial" w:hAnsi="Arial"/>
          <w:sz w:val="16"/>
          <w:szCs w:val="16"/>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stampable at the ad valorem rate if the transfer relates to a sale, a contemplated sale, a gift or any other change in the beneficial ownership of such ordinary shares. However transfers of ordinary shares into or out of the DTC are not subject to Irish stamp duty provided that no change in beneficial ownership of the shares has occurred and provided a contract for sale in respect of the transferring shares is not in place.</w:t>
      </w:r>
    </w:p>
    <w:p>
      <w:pPr>
        <w:spacing w:after="0" w:line="230" w:lineRule="exact"/>
        <w:rPr>
          <w:sz w:val="20"/>
          <w:szCs w:val="20"/>
          <w:color w:val="auto"/>
        </w:rPr>
      </w:pPr>
    </w:p>
    <w:p>
      <w:pPr>
        <w:jc w:val="both"/>
        <w:ind w:firstLine="177"/>
        <w:spacing w:after="0" w:line="260" w:lineRule="auto"/>
        <w:rPr>
          <w:sz w:val="20"/>
          <w:szCs w:val="20"/>
          <w:color w:val="auto"/>
        </w:rPr>
      </w:pPr>
      <w:r>
        <w:rPr>
          <w:rFonts w:ascii="Arial" w:cs="Arial" w:eastAsia="Arial" w:hAnsi="Arial"/>
          <w:sz w:val="16"/>
          <w:szCs w:val="16"/>
          <w:color w:val="auto"/>
        </w:rPr>
        <w:t>The person accountable for payment of stamp duty is normally the transferee or, in the case of a transfer by way of gift, or for a consideration less than the market value, all parties to the transfer.</w:t>
      </w:r>
    </w:p>
    <w:p>
      <w:pPr>
        <w:spacing w:after="0" w:line="222" w:lineRule="exact"/>
        <w:rPr>
          <w:sz w:val="20"/>
          <w:szCs w:val="20"/>
          <w:color w:val="auto"/>
        </w:rPr>
      </w:pPr>
    </w:p>
    <w:p>
      <w:pPr>
        <w:jc w:val="both"/>
        <w:ind w:right="20" w:firstLine="184"/>
        <w:spacing w:after="0" w:line="253" w:lineRule="auto"/>
        <w:rPr>
          <w:sz w:val="20"/>
          <w:szCs w:val="20"/>
          <w:color w:val="auto"/>
        </w:rPr>
      </w:pPr>
      <w:r>
        <w:rPr>
          <w:rFonts w:ascii="Arial" w:cs="Arial" w:eastAsia="Arial" w:hAnsi="Arial"/>
          <w:sz w:val="16"/>
          <w:szCs w:val="16"/>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228" w:lineRule="exact"/>
        <w:rPr>
          <w:sz w:val="20"/>
          <w:szCs w:val="20"/>
          <w:color w:val="auto"/>
        </w:rPr>
      </w:pPr>
    </w:p>
    <w:p>
      <w:pPr>
        <w:jc w:val="both"/>
        <w:ind w:firstLine="236"/>
        <w:spacing w:after="0" w:line="253" w:lineRule="auto"/>
        <w:rPr>
          <w:sz w:val="20"/>
          <w:szCs w:val="20"/>
          <w:color w:val="auto"/>
        </w:rPr>
      </w:pPr>
      <w:r>
        <w:rPr>
          <w:rFonts w:ascii="Arial" w:cs="Arial" w:eastAsia="Arial" w:hAnsi="Arial"/>
          <w:sz w:val="16"/>
          <w:szCs w:val="16"/>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208" w:lineRule="exact"/>
        <w:rPr>
          <w:sz w:val="20"/>
          <w:szCs w:val="20"/>
          <w:color w:val="auto"/>
        </w:rPr>
      </w:pPr>
    </w:p>
    <w:p>
      <w:pPr>
        <w:ind w:left="660" w:right="8360" w:hanging="328"/>
        <w:spacing w:after="0" w:line="563" w:lineRule="auto"/>
        <w:tabs>
          <w:tab w:leader="none" w:pos="637"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paying agents </w:t>
      </w:r>
      <w:r>
        <w:rPr>
          <w:rFonts w:ascii="Arial" w:cs="Arial" w:eastAsia="Arial" w:hAnsi="Arial"/>
          <w:sz w:val="16"/>
          <w:szCs w:val="16"/>
          <w:color w:val="auto"/>
        </w:rPr>
        <w:t>Not applicable</w:t>
      </w:r>
    </w:p>
    <w:p>
      <w:pPr>
        <w:ind w:left="660" w:right="8960" w:hanging="328"/>
        <w:spacing w:after="0" w:line="563" w:lineRule="auto"/>
        <w:tabs>
          <w:tab w:leader="none" w:pos="655"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660" w:hanging="328"/>
        <w:spacing w:after="0"/>
        <w:tabs>
          <w:tab w:leader="none" w:pos="6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85" w:name="page86"/>
    <w:bookmarkEnd w:id="85"/>
    <w:p>
      <w:pPr>
        <w:jc w:val="both"/>
        <w:ind w:firstLine="226"/>
        <w:spacing w:after="0" w:line="253"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file reports and other information with the SEC. The SEC maintains a website that contains reports, proxy and information statements and other information regarding registrants that file electronically with the SEC at http://www.sec.gov.</w:t>
      </w:r>
    </w:p>
    <w:p>
      <w:pPr>
        <w:spacing w:after="0" w:line="228"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6"/>
          <w:szCs w:val="16"/>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228" w:lineRule="exact"/>
        <w:rPr>
          <w:sz w:val="20"/>
          <w:szCs w:val="20"/>
          <w:color w:val="auto"/>
        </w:rPr>
      </w:pPr>
    </w:p>
    <w:p>
      <w:pPr>
        <w:jc w:val="both"/>
        <w:ind w:right="20" w:firstLine="175"/>
        <w:spacing w:after="0" w:line="260" w:lineRule="auto"/>
        <w:rPr>
          <w:sz w:val="20"/>
          <w:szCs w:val="20"/>
          <w:color w:val="auto"/>
        </w:rPr>
      </w:pPr>
      <w:r>
        <w:rPr>
          <w:rFonts w:ascii="Arial" w:cs="Arial" w:eastAsia="Arial" w:hAnsi="Arial"/>
          <w:sz w:val="16"/>
          <w:szCs w:val="16"/>
          <w:color w:val="auto"/>
        </w:rPr>
        <w:t>As a foreign private issuer, we are exempt from certain rules under the Exchange Act, including prescribing the furnishing and content of proxy statements to shareholders.</w:t>
      </w:r>
    </w:p>
    <w:p>
      <w:pPr>
        <w:spacing w:after="0" w:line="222" w:lineRule="exact"/>
        <w:rPr>
          <w:sz w:val="20"/>
          <w:szCs w:val="20"/>
          <w:color w:val="auto"/>
        </w:rPr>
      </w:pPr>
    </w:p>
    <w:p>
      <w:pPr>
        <w:jc w:val="both"/>
        <w:ind w:firstLine="286"/>
        <w:spacing w:after="0" w:line="251" w:lineRule="auto"/>
        <w:rPr>
          <w:sz w:val="20"/>
          <w:szCs w:val="20"/>
          <w:color w:val="auto"/>
        </w:rPr>
      </w:pPr>
      <w:r>
        <w:rPr>
          <w:rFonts w:ascii="Arial" w:cs="Arial" w:eastAsia="Arial" w:hAnsi="Arial"/>
          <w:sz w:val="16"/>
          <w:szCs w:val="16"/>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Erina Fox, telephone number: +353 1 2912000.</w:t>
      </w:r>
    </w:p>
    <w:p>
      <w:pPr>
        <w:spacing w:after="0" w:line="209"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Exemptions From Corporate Governance Listing Requirements Under the NASDAQ Marketplace Rules</w:t>
      </w:r>
    </w:p>
    <w:p>
      <w:pPr>
        <w:spacing w:after="0" w:line="268" w:lineRule="exact"/>
        <w:rPr>
          <w:sz w:val="20"/>
          <w:szCs w:val="20"/>
          <w:color w:val="auto"/>
        </w:rPr>
      </w:pPr>
    </w:p>
    <w:p>
      <w:pPr>
        <w:jc w:val="both"/>
        <w:ind w:firstLine="267"/>
        <w:spacing w:after="0" w:line="251" w:lineRule="auto"/>
        <w:rPr>
          <w:sz w:val="20"/>
          <w:szCs w:val="20"/>
          <w:color w:val="auto"/>
        </w:rPr>
      </w:pPr>
      <w:r>
        <w:rPr>
          <w:rFonts w:ascii="Arial" w:cs="Arial" w:eastAsia="Arial" w:hAnsi="Arial"/>
          <w:sz w:val="16"/>
          <w:szCs w:val="16"/>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exemptions that the Company relies on, and the practices the Company adheres to, are as follows:</w:t>
      </w:r>
    </w:p>
    <w:p>
      <w:pPr>
        <w:spacing w:after="0" w:line="248" w:lineRule="exact"/>
        <w:rPr>
          <w:sz w:val="20"/>
          <w:szCs w:val="20"/>
          <w:color w:val="auto"/>
        </w:rPr>
      </w:pPr>
    </w:p>
    <w:p>
      <w:pPr>
        <w:jc w:val="both"/>
        <w:ind w:left="900" w:hanging="244"/>
        <w:spacing w:after="0" w:line="250" w:lineRule="auto"/>
        <w:tabs>
          <w:tab w:leader="none" w:pos="8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229" w:lineRule="exact"/>
        <w:rPr>
          <w:rFonts w:ascii="Arial" w:cs="Arial" w:eastAsia="Arial" w:hAnsi="Arial"/>
          <w:sz w:val="16"/>
          <w:szCs w:val="16"/>
          <w:color w:val="auto"/>
        </w:rPr>
      </w:pPr>
    </w:p>
    <w:p>
      <w:pPr>
        <w:jc w:val="both"/>
        <w:ind w:left="900" w:hanging="244"/>
        <w:spacing w:after="0" w:line="249" w:lineRule="auto"/>
        <w:tabs>
          <w:tab w:leader="none" w:pos="8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231" w:lineRule="exact"/>
        <w:rPr>
          <w:rFonts w:ascii="Arial" w:cs="Arial" w:eastAsia="Arial" w:hAnsi="Arial"/>
          <w:sz w:val="16"/>
          <w:szCs w:val="16"/>
          <w:color w:val="auto"/>
        </w:rPr>
      </w:pPr>
    </w:p>
    <w:p>
      <w:pPr>
        <w:jc w:val="both"/>
        <w:ind w:left="900" w:hanging="244"/>
        <w:spacing w:after="0" w:line="250" w:lineRule="auto"/>
        <w:tabs>
          <w:tab w:leader="none" w:pos="8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b w:val="1"/>
          <w:bCs w:val="1"/>
          <w:i w:val="1"/>
          <w:iCs w:val="1"/>
          <w:color w:val="auto"/>
        </w:rPr>
        <w:t>. Quantitative and Qualitative Disclosures about Market Risk.</w:t>
      </w:r>
    </w:p>
    <w:p>
      <w:pPr>
        <w:spacing w:after="0" w:line="268" w:lineRule="exact"/>
        <w:rPr>
          <w:sz w:val="20"/>
          <w:szCs w:val="20"/>
          <w:color w:val="auto"/>
        </w:rPr>
      </w:pPr>
    </w:p>
    <w:p>
      <w:pPr>
        <w:ind w:firstLine="185"/>
        <w:spacing w:after="0" w:line="260" w:lineRule="auto"/>
        <w:rPr>
          <w:sz w:val="20"/>
          <w:szCs w:val="20"/>
          <w:color w:val="auto"/>
        </w:rPr>
      </w:pPr>
      <w:r>
        <w:rPr>
          <w:rFonts w:ascii="Arial" w:cs="Arial" w:eastAsia="Arial" w:hAnsi="Arial"/>
          <w:sz w:val="16"/>
          <w:szCs w:val="16"/>
          <w:color w:val="auto"/>
        </w:rPr>
        <w:t>The principal market risks (i.e. risk of loss arising from adverse changes in market rates and prices) to which we are exposed include foreign currency risk and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68" w:lineRule="exact"/>
        <w:rPr>
          <w:sz w:val="20"/>
          <w:szCs w:val="20"/>
          <w:color w:val="auto"/>
        </w:rPr>
      </w:pPr>
    </w:p>
    <w:p>
      <w:pPr>
        <w:jc w:val="both"/>
        <w:ind w:right="20" w:firstLine="201"/>
        <w:spacing w:after="0" w:line="260" w:lineRule="auto"/>
        <w:rPr>
          <w:sz w:val="20"/>
          <w:szCs w:val="20"/>
          <w:color w:val="auto"/>
        </w:rPr>
      </w:pPr>
      <w:r>
        <w:rPr>
          <w:rFonts w:ascii="Arial" w:cs="Arial" w:eastAsia="Arial" w:hAnsi="Arial"/>
          <w:sz w:val="16"/>
          <w:szCs w:val="16"/>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222" w:lineRule="exact"/>
        <w:rPr>
          <w:sz w:val="20"/>
          <w:szCs w:val="20"/>
          <w:color w:val="auto"/>
        </w:rPr>
      </w:pPr>
    </w:p>
    <w:p>
      <w:pPr>
        <w:jc w:val="both"/>
        <w:ind w:right="20" w:firstLine="195"/>
        <w:spacing w:after="0" w:line="260" w:lineRule="auto"/>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 dollars, could be affected by fluctuations in exchange rates between the U.S. dollar and the currencies of those operations.</w:t>
      </w:r>
    </w:p>
    <w:p>
      <w:pPr>
        <w:spacing w:after="0" w:line="222" w:lineRule="exact"/>
        <w:rPr>
          <w:sz w:val="20"/>
          <w:szCs w:val="20"/>
          <w:color w:val="auto"/>
        </w:rPr>
      </w:pPr>
    </w:p>
    <w:p>
      <w:pPr>
        <w:jc w:val="both"/>
        <w:ind w:firstLine="226"/>
        <w:spacing w:after="0" w:line="248"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enter into forward currency contracts to manage our exposure. We had no open foreign currency contracts at December 31,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ind w:left="180"/>
              <w:spacing w:after="0"/>
              <w:rPr>
                <w:sz w:val="20"/>
                <w:szCs w:val="20"/>
                <w:color w:val="auto"/>
              </w:rPr>
            </w:pPr>
            <w:r>
              <w:rPr>
                <w:rFonts w:ascii="Arial" w:cs="Arial" w:eastAsia="Arial" w:hAnsi="Arial"/>
                <w:sz w:val="16"/>
                <w:szCs w:val="16"/>
                <w:color w:val="auto"/>
              </w:rPr>
              <w:t>The following significant exchange rates applied during the year:</w:t>
            </w:r>
          </w:p>
        </w:tc>
        <w:tc>
          <w:tcPr>
            <w:tcW w:w="1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14"/>
        </w:trPr>
        <w:tc>
          <w:tcPr>
            <w:tcW w:w="5380" w:type="dxa"/>
            <w:vAlign w:val="bottom"/>
          </w:tcPr>
          <w:p>
            <w:pPr>
              <w:spacing w:after="0"/>
              <w:rPr>
                <w:sz w:val="9"/>
                <w:szCs w:val="9"/>
                <w:color w:val="auto"/>
              </w:rPr>
            </w:pPr>
          </w:p>
        </w:tc>
        <w:tc>
          <w:tcPr>
            <w:tcW w:w="3000" w:type="dxa"/>
            <w:vAlign w:val="bottom"/>
            <w:gridSpan w:val="2"/>
          </w:tcPr>
          <w:p>
            <w:pPr>
              <w:spacing w:after="0"/>
              <w:rPr>
                <w:sz w:val="9"/>
                <w:szCs w:val="9"/>
                <w:color w:val="auto"/>
              </w:rPr>
            </w:pPr>
          </w:p>
        </w:tc>
        <w:tc>
          <w:tcPr>
            <w:tcW w:w="2860" w:type="dxa"/>
            <w:vAlign w:val="bottom"/>
            <w:gridSpan w:val="2"/>
          </w:tcPr>
          <w:p>
            <w:pPr>
              <w:spacing w:after="0"/>
              <w:rPr>
                <w:sz w:val="9"/>
                <w:szCs w:val="9"/>
                <w:color w:val="auto"/>
              </w:rPr>
            </w:pPr>
          </w:p>
        </w:tc>
      </w:tr>
      <w:tr>
        <w:trPr>
          <w:trHeight w:val="216"/>
        </w:trPr>
        <w:tc>
          <w:tcPr>
            <w:tcW w:w="53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ind w:left="1060"/>
              <w:spacing w:after="0"/>
              <w:rPr>
                <w:sz w:val="20"/>
                <w:szCs w:val="20"/>
                <w:color w:val="auto"/>
              </w:rPr>
            </w:pPr>
            <w:r>
              <w:rPr>
                <w:rFonts w:ascii="Arial" w:cs="Arial" w:eastAsia="Arial" w:hAnsi="Arial"/>
                <w:sz w:val="16"/>
                <w:szCs w:val="16"/>
                <w:b w:val="1"/>
                <w:bCs w:val="1"/>
                <w:color w:val="auto"/>
              </w:rPr>
              <w:t>Average Rate</w:t>
            </w:r>
          </w:p>
        </w:tc>
        <w:tc>
          <w:tcPr>
            <w:tcW w:w="2860" w:type="dxa"/>
            <w:vAlign w:val="bottom"/>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Closing Rate</w:t>
            </w:r>
          </w:p>
        </w:tc>
      </w:tr>
      <w:tr>
        <w:trPr>
          <w:trHeight w:val="215"/>
        </w:trPr>
        <w:tc>
          <w:tcPr>
            <w:tcW w:w="5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2020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r>
      <w:tr>
        <w:trPr>
          <w:trHeight w:val="21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Euro:USD</w:t>
            </w:r>
          </w:p>
        </w:tc>
        <w:tc>
          <w:tcPr>
            <w:tcW w:w="1560" w:type="dxa"/>
            <w:vAlign w:val="bottom"/>
            <w:shd w:val="clear" w:color="auto" w:fill="CCEEFF"/>
          </w:tcPr>
          <w:p>
            <w:pPr>
              <w:jc w:val="center"/>
              <w:ind w:left="59"/>
              <w:spacing w:after="0"/>
              <w:rPr>
                <w:sz w:val="20"/>
                <w:szCs w:val="20"/>
                <w:color w:val="auto"/>
              </w:rPr>
            </w:pPr>
            <w:r>
              <w:rPr>
                <w:rFonts w:ascii="Arial" w:cs="Arial" w:eastAsia="Arial" w:hAnsi="Arial"/>
                <w:sz w:val="16"/>
                <w:szCs w:val="16"/>
                <w:b w:val="1"/>
                <w:bCs w:val="1"/>
                <w:color w:val="auto"/>
              </w:rPr>
              <w:t>1.1357</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1.1183</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1.2216</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1.1213</w:t>
            </w: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Pound Sterling:USD</w:t>
            </w:r>
          </w:p>
        </w:tc>
        <w:tc>
          <w:tcPr>
            <w:tcW w:w="1560" w:type="dxa"/>
            <w:vAlign w:val="bottom"/>
          </w:tcPr>
          <w:p>
            <w:pPr>
              <w:jc w:val="center"/>
              <w:ind w:left="59"/>
              <w:spacing w:after="0"/>
              <w:rPr>
                <w:sz w:val="20"/>
                <w:szCs w:val="20"/>
                <w:color w:val="auto"/>
              </w:rPr>
            </w:pPr>
            <w:r>
              <w:rPr>
                <w:rFonts w:ascii="Arial" w:cs="Arial" w:eastAsia="Arial" w:hAnsi="Arial"/>
                <w:sz w:val="16"/>
                <w:szCs w:val="16"/>
                <w:b w:val="1"/>
                <w:bCs w:val="1"/>
                <w:color w:val="auto"/>
              </w:rPr>
              <w:t>1.2821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1.2735</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1.3670</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1.3257</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68" w:lineRule="exact"/>
        <w:rPr>
          <w:sz w:val="20"/>
          <w:szCs w:val="20"/>
          <w:color w:val="auto"/>
        </w:rPr>
      </w:pPr>
    </w:p>
    <w:p>
      <w:pPr>
        <w:jc w:val="both"/>
        <w:ind w:firstLine="278"/>
        <w:spacing w:after="0" w:line="249" w:lineRule="auto"/>
        <w:rPr>
          <w:sz w:val="20"/>
          <w:szCs w:val="20"/>
          <w:color w:val="auto"/>
        </w:rPr>
      </w:pPr>
      <w:r>
        <w:rPr>
          <w:rFonts w:ascii="Arial" w:cs="Arial" w:eastAsia="Arial" w:hAnsi="Arial"/>
          <w:sz w:val="16"/>
          <w:szCs w:val="16"/>
          <w:color w:val="auto"/>
        </w:rPr>
        <w:t>We are exposed to interest rate risk in respect of our cash and cash equivalents and available for sale investments. Our treasury function actively manages our available cash resources and invests significant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23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In December 8, 2020, the Company issued new senior notes, '2020 Senior Notes' for aggregate gross proceeds of $350.0 million in the private placement market. The 2020 Senior Notes were issued in two tranches; Series A Notes of $275.0 million at a fixed interest rate of 2.32% and Series B Notes of $ 75.0 million at a fixed interest rate of 2.43%. The effective interest rate is adjusted by the impact of an interest rate cash flow hedge which was entered into in advance of the rate fixing date. This cash flow hedge was deemed to be fully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realized loss related to this derivative is recorded within other comprehensive income and is amortized over the life of the 2020 Senior Notes. The effective rate on the 2020 Senior Notes is fixed at 2.41%.</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Interest payable on the 2020 Senior Notes is fixed at 2.32% and 2.43% for Series A Notes and Series B Notes respectively. The interest is payable semi-annually on the 2020 Senior Notes on each June 8 and December 8, which will commence on June 8, 2021. The Company entered into an interest rate hedge in respect of the planned issuance of the 2020 Senior Notes in June 2020. The interest rate hedge matured in July 2020 when the interest rates on the 2020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There was a cash outflow on maturity in July 2020, representing the realized loss on the interest rate hedge.</w:t>
      </w:r>
    </w:p>
    <w:p>
      <w:pPr>
        <w:spacing w:after="0" w:line="230" w:lineRule="exact"/>
        <w:rPr>
          <w:sz w:val="20"/>
          <w:szCs w:val="20"/>
          <w:color w:val="auto"/>
        </w:rPr>
      </w:pPr>
    </w:p>
    <w:p>
      <w:pPr>
        <w:jc w:val="both"/>
        <w:ind w:firstLine="193"/>
        <w:spacing w:after="0" w:line="253" w:lineRule="auto"/>
        <w:rPr>
          <w:sz w:val="20"/>
          <w:szCs w:val="20"/>
          <w:color w:val="auto"/>
        </w:rPr>
      </w:pPr>
      <w:r>
        <w:rPr>
          <w:rFonts w:ascii="Arial" w:cs="Arial" w:eastAsia="Arial" w:hAnsi="Arial"/>
          <w:sz w:val="16"/>
          <w:szCs w:val="16"/>
          <w:color w:val="auto"/>
        </w:rPr>
        <w:t>The 2020 Senior A Notes which will mature on December 8, 2023 and 2020 Series B Notes will mature on December 8, 2025. We regularly evaluate our debt arrangements, as well as market conditions, and during the year we will explore the opportunity to modify our existing arrangements or pursue additional financing arrangements that may result in the issuance of new debt securities by us or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7" w:name="page88"/>
    <w:bookmarkEnd w:id="87"/>
    <w:p>
      <w:pPr>
        <w:ind w:left="180"/>
        <w:spacing w:after="0"/>
        <w:rPr>
          <w:sz w:val="20"/>
          <w:szCs w:val="20"/>
          <w:color w:val="auto"/>
        </w:rPr>
      </w:pPr>
      <w:r>
        <w:rPr>
          <w:rFonts w:ascii="Arial" w:cs="Arial" w:eastAsia="Arial" w:hAnsi="Arial"/>
          <w:sz w:val="16"/>
          <w:szCs w:val="16"/>
          <w:color w:val="auto"/>
        </w:rPr>
        <w:t>The sensitivity analysis below represents the hypothetical change in the net interest payable of a 1% movement in market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shd w:val="clear" w:color="auto" w:fill="CCEEFF"/>
          </w:tcPr>
          <w:p>
            <w:pPr>
              <w:spacing w:after="0"/>
              <w:rPr>
                <w:sz w:val="16"/>
                <w:szCs w:val="16"/>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Interest for the year</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spacing w:after="0"/>
              <w:rPr>
                <w:sz w:val="14"/>
                <w:szCs w:val="14"/>
                <w:color w:val="auto"/>
              </w:rPr>
            </w:pPr>
          </w:p>
        </w:tc>
        <w:tc>
          <w:tcPr>
            <w:tcW w:w="2000" w:type="dxa"/>
            <w:vAlign w:val="bottom"/>
            <w:vMerge w:val="continue"/>
            <w:shd w:val="clear" w:color="auto" w:fill="CCEEFF"/>
          </w:tcPr>
          <w:p>
            <w:pPr>
              <w:spacing w:after="0"/>
              <w:rPr>
                <w:sz w:val="14"/>
                <w:szCs w:val="14"/>
                <w:color w:val="auto"/>
              </w:rPr>
            </w:pPr>
          </w:p>
        </w:tc>
        <w:tc>
          <w:tcPr>
            <w:tcW w:w="1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Change 1% increase in</w:t>
            </w:r>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Change 1% decrease in</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ended December 31,</w:t>
            </w:r>
          </w:p>
        </w:tc>
        <w:tc>
          <w:tcPr>
            <w:tcW w:w="19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market interest rate</w:t>
            </w:r>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market interest rate</w:t>
            </w:r>
          </w:p>
        </w:tc>
        <w:tc>
          <w:tcPr>
            <w:tcW w:w="0" w:type="dxa"/>
            <w:vAlign w:val="bottom"/>
          </w:tcPr>
          <w:p>
            <w:pPr>
              <w:spacing w:after="0"/>
              <w:rPr>
                <w:sz w:val="1"/>
                <w:szCs w:val="1"/>
                <w:color w:val="auto"/>
              </w:rPr>
            </w:pPr>
          </w:p>
        </w:tc>
      </w:tr>
      <w:tr>
        <w:trPr>
          <w:trHeight w:val="215"/>
        </w:trPr>
        <w:tc>
          <w:tcPr>
            <w:tcW w:w="53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 (in thousands)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7"/>
        </w:trPr>
        <w:tc>
          <w:tcPr>
            <w:tcW w:w="53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$2,724</w:t>
            </w:r>
          </w:p>
        </w:tc>
        <w:tc>
          <w:tcPr>
            <w:tcW w:w="1920" w:type="dxa"/>
            <w:vAlign w:val="bottom"/>
          </w:tcPr>
          <w:p>
            <w:pPr>
              <w:jc w:val="right"/>
              <w:ind w:right="139"/>
              <w:spacing w:after="0"/>
              <w:rPr>
                <w:sz w:val="20"/>
                <w:szCs w:val="20"/>
                <w:color w:val="auto"/>
              </w:rPr>
            </w:pPr>
            <w:r>
              <w:rPr>
                <w:rFonts w:ascii="Arial" w:cs="Arial" w:eastAsia="Arial" w:hAnsi="Arial"/>
                <w:sz w:val="16"/>
                <w:szCs w:val="16"/>
                <w:color w:val="auto"/>
              </w:rPr>
              <w:t>$9,011</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26"/>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($13,019)</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($13,019 *)</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($13,019 *)</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($10,295)</w:t>
            </w:r>
          </w:p>
        </w:tc>
        <w:tc>
          <w:tcPr>
            <w:tcW w:w="1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($4,008)</w:t>
            </w:r>
          </w:p>
        </w:tc>
        <w:tc>
          <w:tcPr>
            <w:tcW w:w="1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($12,775)</w:t>
            </w:r>
          </w:p>
        </w:tc>
        <w:tc>
          <w:tcPr>
            <w:tcW w:w="0" w:type="dxa"/>
            <w:vAlign w:val="bottom"/>
          </w:tcPr>
          <w:p>
            <w:pPr>
              <w:spacing w:after="0"/>
              <w:rPr>
                <w:sz w:val="1"/>
                <w:szCs w:val="1"/>
                <w:color w:val="auto"/>
              </w:rPr>
            </w:pPr>
          </w:p>
        </w:tc>
      </w:tr>
      <w:tr>
        <w:trPr>
          <w:trHeight w:val="278"/>
        </w:trPr>
        <w:tc>
          <w:tcPr>
            <w:tcW w:w="5380" w:type="dxa"/>
            <w:vAlign w:val="bottom"/>
          </w:tcPr>
          <w:p>
            <w:pPr>
              <w:spacing w:after="0"/>
              <w:rPr>
                <w:sz w:val="20"/>
                <w:szCs w:val="20"/>
                <w:color w:val="auto"/>
              </w:rPr>
            </w:pPr>
            <w:r>
              <w:rPr>
                <w:rFonts w:ascii="Arial" w:cs="Arial" w:eastAsia="Arial" w:hAnsi="Arial"/>
                <w:sz w:val="16"/>
                <w:szCs w:val="16"/>
                <w:color w:val="auto"/>
              </w:rPr>
              <w:t>*No variable debt drawn down during year ended December 31, 2020.</w:t>
            </w:r>
          </w:p>
        </w:tc>
        <w:tc>
          <w:tcPr>
            <w:tcW w:w="2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5380" w:type="dxa"/>
            <w:vAlign w:val="bottom"/>
          </w:tcPr>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 Description of Securities Other than Equity Securities.</w:t>
            </w:r>
          </w:p>
        </w:tc>
        <w:tc>
          <w:tcPr>
            <w:tcW w:w="2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ind w:left="180"/>
              <w:spacing w:after="0"/>
              <w:rPr>
                <w:sz w:val="20"/>
                <w:szCs w:val="20"/>
                <w:color w:val="auto"/>
              </w:rPr>
            </w:pPr>
            <w:r>
              <w:rPr>
                <w:rFonts w:ascii="Arial" w:cs="Arial" w:eastAsia="Arial" w:hAnsi="Arial"/>
                <w:sz w:val="16"/>
                <w:szCs w:val="16"/>
                <w:color w:val="auto"/>
              </w:rPr>
              <w:t>Not applicable.</w:t>
            </w:r>
          </w:p>
        </w:tc>
        <w:tc>
          <w:tcPr>
            <w:tcW w:w="2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2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6"/>
                <w:szCs w:val="16"/>
                <w:b w:val="1"/>
                <w:bCs w:val="1"/>
                <w:color w:val="auto"/>
              </w:rPr>
              <w:t>Item 13</w:t>
            </w:r>
            <w:r>
              <w:rPr>
                <w:rFonts w:ascii="Arial" w:cs="Arial" w:eastAsia="Arial" w:hAnsi="Arial"/>
                <w:sz w:val="16"/>
                <w:szCs w:val="16"/>
                <w:b w:val="1"/>
                <w:bCs w:val="1"/>
                <w:i w:val="1"/>
                <w:iCs w:val="1"/>
                <w:color w:val="auto"/>
              </w:rPr>
              <w:t>. Defaults, Dividend Arrearages and Delinquencies.</w:t>
            </w:r>
          </w:p>
        </w:tc>
        <w:tc>
          <w:tcPr>
            <w:tcW w:w="2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ind w:left="180"/>
              <w:spacing w:after="0"/>
              <w:rPr>
                <w:sz w:val="20"/>
                <w:szCs w:val="20"/>
                <w:color w:val="auto"/>
              </w:rPr>
            </w:pPr>
            <w:r>
              <w:rPr>
                <w:rFonts w:ascii="Arial" w:cs="Arial" w:eastAsia="Arial" w:hAnsi="Arial"/>
                <w:sz w:val="16"/>
                <w:szCs w:val="16"/>
                <w:color w:val="auto"/>
              </w:rPr>
              <w:t>None.</w:t>
            </w:r>
          </w:p>
        </w:tc>
        <w:tc>
          <w:tcPr>
            <w:tcW w:w="2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Material Modifications to the Rights of Security Holders and Use of Proceeds.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b w:val="1"/>
          <w:bCs w:val="1"/>
          <w:i w:val="1"/>
          <w:iCs w:val="1"/>
          <w:color w:val="auto"/>
        </w:rPr>
        <w:t>Controls and Procedures.</w:t>
      </w:r>
    </w:p>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Disclosure controls and procedures</w:t>
      </w:r>
    </w:p>
    <w:p>
      <w:pPr>
        <w:spacing w:after="0" w:line="268" w:lineRule="exact"/>
        <w:rPr>
          <w:sz w:val="20"/>
          <w:szCs w:val="20"/>
          <w:color w:val="auto"/>
        </w:rPr>
      </w:pPr>
    </w:p>
    <w:p>
      <w:pPr>
        <w:jc w:val="both"/>
        <w:ind w:firstLine="173"/>
        <w:spacing w:after="0" w:line="250"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2020.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21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Management's Annual Report on Internal Accounting Control over Financial Reporting</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Reference is made to page 92 of this Form 20-F.</w:t>
      </w:r>
    </w:p>
    <w:p>
      <w:pPr>
        <w:spacing w:after="0" w:line="22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Attestation Report of Independent Registered Public Accounting Firm</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Reference is made to page 93 of this Form 20-F.</w:t>
      </w:r>
    </w:p>
    <w:p>
      <w:pPr>
        <w:spacing w:after="0" w:line="22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Changes in Internal Controls over Financial Reporting</w:t>
      </w:r>
    </w:p>
    <w:p>
      <w:pPr>
        <w:spacing w:after="0" w:line="268" w:lineRule="exact"/>
        <w:rPr>
          <w:sz w:val="20"/>
          <w:szCs w:val="20"/>
          <w:color w:val="auto"/>
        </w:rPr>
      </w:pPr>
    </w:p>
    <w:p>
      <w:pPr>
        <w:jc w:val="both"/>
        <w:ind w:firstLine="220"/>
        <w:spacing w:after="0" w:line="260" w:lineRule="auto"/>
        <w:rPr>
          <w:sz w:val="20"/>
          <w:szCs w:val="20"/>
          <w:color w:val="auto"/>
        </w:rPr>
      </w:pPr>
      <w:r>
        <w:rPr>
          <w:rFonts w:ascii="Arial" w:cs="Arial" w:eastAsia="Arial" w:hAnsi="Arial"/>
          <w:sz w:val="16"/>
          <w:szCs w:val="16"/>
          <w:color w:val="auto"/>
        </w:rPr>
        <w:t>There were no changes in our internal controls over financial reporting during the period covered by this Form 20-F that have materially effected or are reasonably likely to materially affect our internal controls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Reserved.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68" w:lineRule="exact"/>
        <w:rPr>
          <w:sz w:val="20"/>
          <w:szCs w:val="20"/>
          <w:color w:val="auto"/>
        </w:rPr>
      </w:pPr>
    </w:p>
    <w:p>
      <w:pPr>
        <w:jc w:val="both"/>
        <w:ind w:firstLine="210"/>
        <w:spacing w:after="0" w:line="260" w:lineRule="auto"/>
        <w:rPr>
          <w:sz w:val="20"/>
          <w:szCs w:val="20"/>
          <w:color w:val="auto"/>
        </w:rPr>
      </w:pPr>
      <w:r>
        <w:rPr>
          <w:rFonts w:ascii="Arial" w:cs="Arial" w:eastAsia="Arial" w:hAnsi="Arial"/>
          <w:sz w:val="16"/>
          <w:szCs w:val="16"/>
          <w:color w:val="auto"/>
        </w:rPr>
        <w:t>Mr. Rónán Murphy acts as the Audit Committee financial expert serving on our Audit Committee and Board of Directors. The Board has determined that Mr. Murphy is independent.</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Item 16B. Code of Ethical Conduct</w:t>
      </w:r>
    </w:p>
    <w:p>
      <w:pPr>
        <w:spacing w:after="0" w:line="255" w:lineRule="exact"/>
        <w:rPr>
          <w:sz w:val="20"/>
          <w:szCs w:val="20"/>
          <w:color w:val="auto"/>
        </w:rPr>
      </w:pPr>
    </w:p>
    <w:p>
      <w:pPr>
        <w:ind w:right="580" w:firstLine="180"/>
        <w:spacing w:after="0" w:line="237" w:lineRule="auto"/>
        <w:rPr>
          <w:sz w:val="20"/>
          <w:szCs w:val="20"/>
          <w:color w:val="auto"/>
        </w:rPr>
      </w:pPr>
      <w:r>
        <w:rPr>
          <w:rFonts w:ascii="Arial" w:cs="Arial" w:eastAsia="Arial" w:hAnsi="Arial"/>
          <w:sz w:val="16"/>
          <w:szCs w:val="16"/>
          <w:color w:val="auto"/>
        </w:rPr>
        <w:t xml:space="preserve">Our Global Code of Ethical Conduct applies to all officers, directors, employees, consultants and agents globally of ICON plc, its subsidiaries and branches. There are no waivers from the provisions of the Code of Ethical Conduct that are required to be disclosed. This Code of Ethical Conduct is available on our website at: </w:t>
      </w:r>
      <w:r>
        <w:rPr>
          <w:rFonts w:ascii="Arial" w:cs="Arial" w:eastAsia="Arial" w:hAnsi="Arial"/>
          <w:sz w:val="16"/>
          <w:szCs w:val="16"/>
          <w:u w:val="single" w:color="auto"/>
          <w:color w:val="0000FF"/>
        </w:rPr>
        <w:t>https://investor.iconplc.com/corporate-governance/governance-documents</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-123825</wp:posOffset>
            </wp:positionV>
            <wp:extent cx="5969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12001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principal accountants for the years ended December 31, 2020 and December 31, 2019 were KPMG.</w:t>
      </w:r>
    </w:p>
    <w:p>
      <w:pPr>
        <w:spacing w:after="0" w:line="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table below summarizes the fees for professional services rendered by KPMG for the audit of our annual financial statements for the years ended December 31, 2020 and December 31, 2019 and fees billed for other services rendered by KPMG.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shd w:val="clear" w:color="auto" w:fill="CCEEFF"/>
          </w:tcPr>
          <w:p>
            <w:pPr>
              <w:spacing w:after="0"/>
              <w:rPr>
                <w:sz w:val="16"/>
                <w:szCs w:val="16"/>
                <w:color w:val="auto"/>
              </w:rPr>
            </w:pPr>
          </w:p>
        </w:tc>
        <w:tc>
          <w:tcPr>
            <w:tcW w:w="778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12 month period ended December 31, 12 month period ended December 31,</w:t>
            </w:r>
          </w:p>
        </w:tc>
      </w:tr>
      <w:tr>
        <w:trPr>
          <w:trHeight w:val="215"/>
        </w:trPr>
        <w:tc>
          <w:tcPr>
            <w:tcW w:w="346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2020 (in thousands)</w:t>
            </w:r>
          </w:p>
        </w:tc>
        <w:tc>
          <w:tcPr>
            <w:tcW w:w="9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 (in thousands)</w:t>
            </w:r>
          </w:p>
        </w:tc>
      </w:tr>
      <w:tr>
        <w:trPr>
          <w:trHeight w:val="207"/>
        </w:trPr>
        <w:tc>
          <w:tcPr>
            <w:tcW w:w="3460" w:type="dxa"/>
            <w:vAlign w:val="bottom"/>
          </w:tcPr>
          <w:p>
            <w:pPr>
              <w:ind w:left="20"/>
              <w:spacing w:after="0"/>
              <w:rPr>
                <w:sz w:val="20"/>
                <w:szCs w:val="20"/>
                <w:color w:val="auto"/>
              </w:rPr>
            </w:pPr>
            <w:r>
              <w:rPr>
                <w:rFonts w:ascii="Arial" w:cs="Arial" w:eastAsia="Arial" w:hAnsi="Arial"/>
                <w:sz w:val="16"/>
                <w:szCs w:val="16"/>
                <w:color w:val="auto"/>
              </w:rPr>
              <w:t>Audit fees (1)</w:t>
            </w:r>
          </w:p>
        </w:tc>
        <w:tc>
          <w:tcPr>
            <w:tcW w:w="3240" w:type="dxa"/>
            <w:vAlign w:val="bottom"/>
          </w:tcPr>
          <w:p>
            <w:pPr>
              <w:jc w:val="right"/>
              <w:spacing w:after="0"/>
              <w:rPr>
                <w:sz w:val="20"/>
                <w:szCs w:val="20"/>
                <w:color w:val="auto"/>
              </w:rPr>
            </w:pPr>
            <w:r>
              <w:rPr>
                <w:rFonts w:ascii="Arial" w:cs="Arial" w:eastAsia="Arial" w:hAnsi="Arial"/>
                <w:sz w:val="16"/>
                <w:szCs w:val="16"/>
                <w:color w:val="auto"/>
              </w:rPr>
              <w:t>$1,438</w:t>
            </w:r>
          </w:p>
        </w:tc>
        <w:tc>
          <w:tcPr>
            <w:tcW w:w="2000" w:type="dxa"/>
            <w:vAlign w:val="bottom"/>
          </w:tcPr>
          <w:p>
            <w:pPr>
              <w:jc w:val="right"/>
              <w:ind w:right="359"/>
              <w:spacing w:after="0"/>
              <w:rPr>
                <w:sz w:val="20"/>
                <w:szCs w:val="20"/>
                <w:color w:val="auto"/>
              </w:rPr>
            </w:pPr>
            <w:r>
              <w:rPr>
                <w:rFonts w:ascii="Arial" w:cs="Arial" w:eastAsia="Arial" w:hAnsi="Arial"/>
                <w:sz w:val="16"/>
                <w:szCs w:val="16"/>
                <w:color w:val="auto"/>
              </w:rPr>
              <w:t>60 %</w:t>
            </w:r>
          </w:p>
        </w:tc>
        <w:tc>
          <w:tcPr>
            <w:tcW w:w="960" w:type="dxa"/>
            <w:vAlign w:val="bottom"/>
          </w:tcPr>
          <w:p>
            <w:pPr>
              <w:jc w:val="right"/>
              <w:spacing w:after="0"/>
              <w:rPr>
                <w:sz w:val="20"/>
                <w:szCs w:val="20"/>
                <w:color w:val="auto"/>
              </w:rPr>
            </w:pPr>
            <w:r>
              <w:rPr>
                <w:rFonts w:ascii="Arial" w:cs="Arial" w:eastAsia="Arial" w:hAnsi="Arial"/>
                <w:sz w:val="16"/>
                <w:szCs w:val="16"/>
                <w:color w:val="auto"/>
              </w:rPr>
              <w:t>$1,478</w:t>
            </w:r>
          </w:p>
        </w:tc>
        <w:tc>
          <w:tcPr>
            <w:tcW w:w="158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related fees (2)</w:t>
            </w:r>
          </w:p>
        </w:tc>
        <w:tc>
          <w:tcPr>
            <w:tcW w:w="3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0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2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 (3)</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2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31 %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r>
      <w:tr>
        <w:trPr>
          <w:trHeight w:val="400"/>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$2,414</w:t>
            </w:r>
          </w:p>
        </w:tc>
        <w:tc>
          <w:tcPr>
            <w:tcW w:w="20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100 %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34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Audit fees include annual audit fees for the Company and its subsidiaries.</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Audit related fees principally consist of fees for financial due diligence services, fees for the audit of employee benefit plans and fees for pension reviews.</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Tax fees are fees for tax compliance and tax consultation services.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pre-approves all audit and non-audit services provided to the Company by its auditors.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1,235,218 ordinary shares were redeemed by the Company for a total consideration of $175.0 million All ordinary shares that are redeemed under the buyback program will be canceled in accordance with the constitutional documents of the Company and the nominal value of these shares transferred to an undenominated capital fund as required under Irish Company law.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shd w:val="clear" w:color="auto" w:fill="CCEEFF"/>
          </w:tcPr>
          <w:p>
            <w:pPr>
              <w:spacing w:after="0"/>
              <w:rPr>
                <w:sz w:val="16"/>
                <w:szCs w:val="16"/>
                <w:color w:val="auto"/>
              </w:rPr>
            </w:pPr>
          </w:p>
        </w:tc>
        <w:tc>
          <w:tcPr>
            <w:tcW w:w="2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Total Number</w:t>
            </w:r>
          </w:p>
        </w:tc>
        <w:tc>
          <w:tcPr>
            <w:tcW w:w="22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Average Price Paid per</w:t>
            </w:r>
          </w:p>
        </w:tc>
        <w:tc>
          <w:tcPr>
            <w:tcW w:w="272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Total Number</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 Price</w:t>
            </w:r>
          </w:p>
        </w:tc>
      </w:tr>
      <w:tr>
        <w:trPr>
          <w:trHeight w:val="215"/>
        </w:trPr>
        <w:tc>
          <w:tcPr>
            <w:tcW w:w="276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of Shares Purchased</w:t>
            </w:r>
          </w:p>
        </w:tc>
        <w:tc>
          <w:tcPr>
            <w:tcW w:w="2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Share</w:t>
            </w:r>
          </w:p>
        </w:tc>
        <w:tc>
          <w:tcPr>
            <w:tcW w:w="4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of Shares Purchased Paid for Shares Purchased</w:t>
            </w:r>
          </w:p>
        </w:tc>
      </w:tr>
      <w:tr>
        <w:trPr>
          <w:trHeight w:val="210"/>
        </w:trPr>
        <w:tc>
          <w:tcPr>
            <w:tcW w:w="2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9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(in thousands, except per share data)</w:t>
            </w:r>
          </w:p>
        </w:tc>
        <w:tc>
          <w:tcPr>
            <w:tcW w:w="1280" w:type="dxa"/>
            <w:vAlign w:val="bottom"/>
          </w:tcPr>
          <w:p>
            <w:pPr>
              <w:spacing w:after="0"/>
              <w:rPr>
                <w:sz w:val="18"/>
                <w:szCs w:val="18"/>
                <w:color w:val="auto"/>
              </w:rPr>
            </w:pP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02/1/20 – 02/29/20</w:t>
            </w:r>
          </w:p>
        </w:tc>
        <w:tc>
          <w:tcPr>
            <w:tcW w:w="22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91,944</w:t>
            </w:r>
          </w:p>
        </w:tc>
        <w:tc>
          <w:tcPr>
            <w:tcW w:w="2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$160.49</w:t>
            </w:r>
          </w:p>
        </w:tc>
        <w:tc>
          <w:tcPr>
            <w:tcW w:w="27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91,944</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$14,756</w:t>
            </w:r>
          </w:p>
        </w:tc>
      </w:tr>
      <w:tr>
        <w:trPr>
          <w:trHeight w:val="213"/>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March 03/1/20 – 03/31/20</w:t>
            </w:r>
          </w:p>
        </w:tc>
        <w:tc>
          <w:tcPr>
            <w:tcW w:w="2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1,143,274</w:t>
            </w:r>
          </w:p>
        </w:tc>
        <w:tc>
          <w:tcPr>
            <w:tcW w:w="2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$140.16</w:t>
            </w:r>
          </w:p>
        </w:tc>
        <w:tc>
          <w:tcPr>
            <w:tcW w:w="27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1,143,274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$160,244</w:t>
            </w:r>
          </w:p>
        </w:tc>
      </w:tr>
      <w:tr>
        <w:trPr>
          <w:trHeight w:val="235"/>
        </w:trPr>
        <w:tc>
          <w:tcPr>
            <w:tcW w:w="276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1,235,218</w:t>
            </w:r>
          </w:p>
        </w:tc>
        <w:tc>
          <w:tcPr>
            <w:tcW w:w="22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$141.68</w:t>
            </w:r>
          </w:p>
        </w:tc>
        <w:tc>
          <w:tcPr>
            <w:tcW w:w="27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1,235,218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$175,000</w:t>
            </w:r>
          </w:p>
        </w:tc>
      </w:tr>
      <w:tr>
        <w:trPr>
          <w:trHeight w:val="20"/>
        </w:trPr>
        <w:tc>
          <w:tcPr>
            <w:tcW w:w="27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On January 8, 2019, the Company commenced a share buyback program of up to 1.0 million shares which was completed during the year ended December 31, 2019. These shares were redeemed by the Company for a total consideration of $141.6 million.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shd w:val="clear" w:color="auto" w:fill="CCEEFF"/>
          </w:tcPr>
          <w:p>
            <w:pPr>
              <w:spacing w:after="0"/>
              <w:rPr>
                <w:sz w:val="16"/>
                <w:szCs w:val="16"/>
                <w:color w:val="auto"/>
              </w:rPr>
            </w:pPr>
          </w:p>
        </w:tc>
        <w:tc>
          <w:tcPr>
            <w:tcW w:w="24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Total Number</w:t>
            </w:r>
          </w:p>
        </w:tc>
        <w:tc>
          <w:tcPr>
            <w:tcW w:w="20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Average Price Paid per</w:t>
            </w:r>
          </w:p>
        </w:tc>
        <w:tc>
          <w:tcPr>
            <w:tcW w:w="246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Total Number</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 Price</w:t>
            </w:r>
          </w:p>
        </w:tc>
      </w:tr>
      <w:tr>
        <w:trPr>
          <w:trHeight w:val="162"/>
        </w:trPr>
        <w:tc>
          <w:tcPr>
            <w:tcW w:w="2640" w:type="dxa"/>
            <w:vAlign w:val="bottom"/>
            <w:shd w:val="clear" w:color="auto" w:fill="CCEEFF"/>
          </w:tcPr>
          <w:p>
            <w:pPr>
              <w:spacing w:after="0"/>
              <w:rPr>
                <w:sz w:val="14"/>
                <w:szCs w:val="14"/>
                <w:color w:val="auto"/>
              </w:rPr>
            </w:pPr>
          </w:p>
        </w:tc>
        <w:tc>
          <w:tcPr>
            <w:tcW w:w="240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of Shares Purchased</w:t>
            </w:r>
          </w:p>
        </w:tc>
        <w:tc>
          <w:tcPr>
            <w:tcW w:w="2080" w:type="dxa"/>
            <w:vAlign w:val="bottom"/>
            <w:shd w:val="clear" w:color="auto" w:fill="CCEEFF"/>
          </w:tcPr>
          <w:p>
            <w:pPr>
              <w:jc w:val="right"/>
              <w:ind w:right="59"/>
              <w:spacing w:after="0" w:line="162" w:lineRule="exact"/>
              <w:rPr>
                <w:sz w:val="20"/>
                <w:szCs w:val="20"/>
                <w:color w:val="auto"/>
              </w:rPr>
            </w:pPr>
            <w:r>
              <w:rPr>
                <w:rFonts w:ascii="Arial" w:cs="Arial" w:eastAsia="Arial" w:hAnsi="Arial"/>
                <w:sz w:val="16"/>
                <w:szCs w:val="16"/>
                <w:b w:val="1"/>
                <w:bCs w:val="1"/>
                <w:color w:val="auto"/>
              </w:rPr>
              <w:t>Share</w:t>
            </w:r>
          </w:p>
        </w:tc>
        <w:tc>
          <w:tcPr>
            <w:tcW w:w="4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of Shares Purchased as Paid for Shares Purchased</w:t>
            </w:r>
          </w:p>
        </w:tc>
      </w:tr>
      <w:tr>
        <w:trPr>
          <w:trHeight w:val="162"/>
        </w:trPr>
        <w:tc>
          <w:tcPr>
            <w:tcW w:w="2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6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Part of a</w:t>
            </w:r>
          </w:p>
        </w:tc>
        <w:tc>
          <w:tcPr>
            <w:tcW w:w="16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as</w:t>
            </w:r>
          </w:p>
        </w:tc>
      </w:tr>
      <w:tr>
        <w:trPr>
          <w:trHeight w:val="162"/>
        </w:trPr>
        <w:tc>
          <w:tcPr>
            <w:tcW w:w="2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6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Publicly Announced</w:t>
            </w:r>
          </w:p>
        </w:tc>
        <w:tc>
          <w:tcPr>
            <w:tcW w:w="16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Part of a</w:t>
            </w:r>
          </w:p>
        </w:tc>
      </w:tr>
      <w:tr>
        <w:trPr>
          <w:trHeight w:val="162"/>
        </w:trPr>
        <w:tc>
          <w:tcPr>
            <w:tcW w:w="2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46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Plan</w:t>
            </w:r>
          </w:p>
        </w:tc>
        <w:tc>
          <w:tcPr>
            <w:tcW w:w="16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Publicly Announced</w:t>
            </w:r>
          </w:p>
        </w:tc>
      </w:tr>
      <w:tr>
        <w:trPr>
          <w:trHeight w:val="215"/>
        </w:trPr>
        <w:tc>
          <w:tcPr>
            <w:tcW w:w="264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Plan</w:t>
            </w:r>
          </w:p>
        </w:tc>
      </w:tr>
      <w:tr>
        <w:trPr>
          <w:trHeight w:val="210"/>
        </w:trPr>
        <w:tc>
          <w:tcPr>
            <w:tcW w:w="2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54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 except per share data)</w:t>
            </w:r>
          </w:p>
        </w:tc>
        <w:tc>
          <w:tcPr>
            <w:tcW w:w="1660" w:type="dxa"/>
            <w:vAlign w:val="bottom"/>
          </w:tcPr>
          <w:p>
            <w:pPr>
              <w:spacing w:after="0"/>
              <w:rPr>
                <w:sz w:val="18"/>
                <w:szCs w:val="18"/>
                <w:color w:val="auto"/>
              </w:rPr>
            </w:pPr>
          </w:p>
        </w:tc>
      </w:tr>
      <w:tr>
        <w:trPr>
          <w:trHeight w:val="217"/>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1/1 /19– 1/31/19</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200,253</w:t>
            </w:r>
          </w:p>
        </w:tc>
        <w:tc>
          <w:tcPr>
            <w:tcW w:w="2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$124.84</w:t>
            </w:r>
          </w:p>
        </w:tc>
        <w:tc>
          <w:tcPr>
            <w:tcW w:w="24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200,253</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April 4/1/19 – 4/30/19</w:t>
            </w:r>
          </w:p>
        </w:tc>
        <w:tc>
          <w:tcPr>
            <w:tcW w:w="2400" w:type="dxa"/>
            <w:vAlign w:val="bottom"/>
          </w:tcPr>
          <w:p>
            <w:pPr>
              <w:jc w:val="right"/>
              <w:ind w:right="159"/>
              <w:spacing w:after="0"/>
              <w:rPr>
                <w:sz w:val="20"/>
                <w:szCs w:val="20"/>
                <w:color w:val="auto"/>
              </w:rPr>
            </w:pPr>
            <w:r>
              <w:rPr>
                <w:rFonts w:ascii="Arial" w:cs="Arial" w:eastAsia="Arial" w:hAnsi="Arial"/>
                <w:sz w:val="16"/>
                <w:szCs w:val="16"/>
                <w:color w:val="auto"/>
              </w:rPr>
              <w:t>58,630</w:t>
            </w:r>
          </w:p>
        </w:tc>
        <w:tc>
          <w:tcPr>
            <w:tcW w:w="2080" w:type="dxa"/>
            <w:vAlign w:val="bottom"/>
          </w:tcPr>
          <w:p>
            <w:pPr>
              <w:jc w:val="right"/>
              <w:ind w:right="119"/>
              <w:spacing w:after="0"/>
              <w:rPr>
                <w:sz w:val="20"/>
                <w:szCs w:val="20"/>
                <w:color w:val="auto"/>
              </w:rPr>
            </w:pPr>
            <w:r>
              <w:rPr>
                <w:rFonts w:ascii="Arial" w:cs="Arial" w:eastAsia="Arial" w:hAnsi="Arial"/>
                <w:sz w:val="16"/>
                <w:szCs w:val="16"/>
                <w:color w:val="auto"/>
              </w:rPr>
              <w:t>$129.91</w:t>
            </w:r>
          </w:p>
        </w:tc>
        <w:tc>
          <w:tcPr>
            <w:tcW w:w="2460" w:type="dxa"/>
            <w:vAlign w:val="bottom"/>
          </w:tcPr>
          <w:p>
            <w:pPr>
              <w:jc w:val="right"/>
              <w:ind w:right="459"/>
              <w:spacing w:after="0"/>
              <w:rPr>
                <w:sz w:val="20"/>
                <w:szCs w:val="20"/>
                <w:color w:val="auto"/>
              </w:rPr>
            </w:pPr>
            <w:r>
              <w:rPr>
                <w:rFonts w:ascii="Arial" w:cs="Arial" w:eastAsia="Arial" w:hAnsi="Arial"/>
                <w:sz w:val="16"/>
                <w:szCs w:val="16"/>
                <w:color w:val="auto"/>
              </w:rPr>
              <w:t>58,630</w:t>
            </w:r>
          </w:p>
        </w:tc>
        <w:tc>
          <w:tcPr>
            <w:tcW w:w="1660" w:type="dxa"/>
            <w:vAlign w:val="bottom"/>
          </w:tcPr>
          <w:p>
            <w:pPr>
              <w:jc w:val="right"/>
              <w:spacing w:after="0"/>
              <w:rPr>
                <w:sz w:val="20"/>
                <w:szCs w:val="20"/>
                <w:color w:val="auto"/>
              </w:rPr>
            </w:pPr>
            <w:r>
              <w:rPr>
                <w:rFonts w:ascii="Arial" w:cs="Arial" w:eastAsia="Arial" w:hAnsi="Arial"/>
                <w:sz w:val="16"/>
                <w:szCs w:val="16"/>
                <w:color w:val="auto"/>
              </w:rPr>
              <w:t>$7,617</w:t>
            </w:r>
          </w:p>
        </w:tc>
      </w:tr>
      <w:tr>
        <w:trPr>
          <w:trHeight w:val="219"/>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5/1/19 – 5/31/19</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237,352</w:t>
            </w:r>
          </w:p>
        </w:tc>
        <w:tc>
          <w:tcPr>
            <w:tcW w:w="2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$136.86</w:t>
            </w:r>
          </w:p>
        </w:tc>
        <w:tc>
          <w:tcPr>
            <w:tcW w:w="24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237,352</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$32,483</w:t>
            </w:r>
          </w:p>
        </w:tc>
      </w:tr>
      <w:tr>
        <w:trPr>
          <w:trHeight w:val="213"/>
        </w:trPr>
        <w:tc>
          <w:tcPr>
            <w:tcW w:w="2640" w:type="dxa"/>
            <w:vAlign w:val="bottom"/>
          </w:tcPr>
          <w:p>
            <w:pPr>
              <w:ind w:left="20"/>
              <w:spacing w:after="0"/>
              <w:rPr>
                <w:sz w:val="20"/>
                <w:szCs w:val="20"/>
                <w:color w:val="auto"/>
              </w:rPr>
            </w:pPr>
            <w:r>
              <w:rPr>
                <w:rFonts w:ascii="Arial" w:cs="Arial" w:eastAsia="Arial" w:hAnsi="Arial"/>
                <w:sz w:val="16"/>
                <w:szCs w:val="16"/>
                <w:color w:val="auto"/>
              </w:rPr>
              <w:t>August 8/1/19 – 8/31/19</w:t>
            </w:r>
          </w:p>
        </w:tc>
        <w:tc>
          <w:tcPr>
            <w:tcW w:w="2400" w:type="dxa"/>
            <w:vAlign w:val="bottom"/>
          </w:tcPr>
          <w:p>
            <w:pPr>
              <w:jc w:val="right"/>
              <w:ind w:right="159"/>
              <w:spacing w:after="0"/>
              <w:rPr>
                <w:sz w:val="20"/>
                <w:szCs w:val="20"/>
                <w:color w:val="auto"/>
              </w:rPr>
            </w:pPr>
            <w:r>
              <w:rPr>
                <w:rFonts w:ascii="Arial" w:cs="Arial" w:eastAsia="Arial" w:hAnsi="Arial"/>
                <w:sz w:val="16"/>
                <w:szCs w:val="16"/>
                <w:color w:val="auto"/>
              </w:rPr>
              <w:t>6,495</w:t>
            </w:r>
          </w:p>
        </w:tc>
        <w:tc>
          <w:tcPr>
            <w:tcW w:w="2080" w:type="dxa"/>
            <w:vAlign w:val="bottom"/>
          </w:tcPr>
          <w:p>
            <w:pPr>
              <w:jc w:val="right"/>
              <w:ind w:right="119"/>
              <w:spacing w:after="0"/>
              <w:rPr>
                <w:sz w:val="20"/>
                <w:szCs w:val="20"/>
                <w:color w:val="auto"/>
              </w:rPr>
            </w:pPr>
            <w:r>
              <w:rPr>
                <w:rFonts w:ascii="Arial" w:cs="Arial" w:eastAsia="Arial" w:hAnsi="Arial"/>
                <w:sz w:val="16"/>
                <w:szCs w:val="16"/>
                <w:color w:val="auto"/>
              </w:rPr>
              <w:t>$152.00</w:t>
            </w:r>
          </w:p>
        </w:tc>
        <w:tc>
          <w:tcPr>
            <w:tcW w:w="2460" w:type="dxa"/>
            <w:vAlign w:val="bottom"/>
          </w:tcPr>
          <w:p>
            <w:pPr>
              <w:jc w:val="right"/>
              <w:ind w:right="459"/>
              <w:spacing w:after="0"/>
              <w:rPr>
                <w:sz w:val="20"/>
                <w:szCs w:val="20"/>
                <w:color w:val="auto"/>
              </w:rPr>
            </w:pPr>
            <w:r>
              <w:rPr>
                <w:rFonts w:ascii="Arial" w:cs="Arial" w:eastAsia="Arial" w:hAnsi="Arial"/>
                <w:sz w:val="16"/>
                <w:szCs w:val="16"/>
                <w:color w:val="auto"/>
              </w:rPr>
              <w:t>6,495</w:t>
            </w:r>
          </w:p>
        </w:tc>
        <w:tc>
          <w:tcPr>
            <w:tcW w:w="166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16"/>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September 9/1/19 – 9/30/19</w:t>
            </w:r>
          </w:p>
        </w:tc>
        <w:tc>
          <w:tcPr>
            <w:tcW w:w="2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497,270</w:t>
            </w:r>
          </w:p>
        </w:tc>
        <w:tc>
          <w:tcPr>
            <w:tcW w:w="2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$151.80</w:t>
            </w:r>
          </w:p>
        </w:tc>
        <w:tc>
          <w:tcPr>
            <w:tcW w:w="24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497,270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$75,486</w:t>
            </w:r>
          </w:p>
        </w:tc>
      </w:tr>
      <w:tr>
        <w:trPr>
          <w:trHeight w:val="210"/>
        </w:trPr>
        <w:tc>
          <w:tcPr>
            <w:tcW w:w="26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1,000,000</w:t>
            </w:r>
          </w:p>
        </w:tc>
        <w:tc>
          <w:tcPr>
            <w:tcW w:w="2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$141.57</w:t>
            </w:r>
          </w:p>
        </w:tc>
        <w:tc>
          <w:tcPr>
            <w:tcW w:w="2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1,000,000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$141,573</w:t>
            </w:r>
          </w:p>
        </w:tc>
      </w:tr>
      <w:tr>
        <w:trPr>
          <w:trHeight w:val="24"/>
        </w:trPr>
        <w:tc>
          <w:tcPr>
            <w:tcW w:w="2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October 22, 2019, the Company commenced a further share buyback program. At December 31, 2019, 35,100 ordinary shares were redeemed for a total consideration of $5.3 million. All ordinary shares that were redeemed under the buyback programs were canceled in accordance with the Constitution of the Company and the nominal value of these shares transferred to other undenominated capital as required under Irish Company law.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shd w:val="clear" w:color="auto" w:fill="CCEEFF"/>
          </w:tcPr>
          <w:p>
            <w:pPr>
              <w:spacing w:after="0"/>
              <w:rPr>
                <w:sz w:val="16"/>
                <w:szCs w:val="16"/>
                <w:color w:val="auto"/>
              </w:rPr>
            </w:pPr>
          </w:p>
        </w:tc>
        <w:tc>
          <w:tcPr>
            <w:tcW w:w="24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Total Number</w:t>
            </w:r>
          </w:p>
        </w:tc>
        <w:tc>
          <w:tcPr>
            <w:tcW w:w="22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Average Price Paid per</w:t>
            </w:r>
          </w:p>
        </w:tc>
        <w:tc>
          <w:tcPr>
            <w:tcW w:w="272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Total Number</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 Price</w:t>
            </w:r>
          </w:p>
        </w:tc>
      </w:tr>
      <w:tr>
        <w:trPr>
          <w:trHeight w:val="215"/>
        </w:trPr>
        <w:tc>
          <w:tcPr>
            <w:tcW w:w="2620" w:type="dxa"/>
            <w:vAlign w:val="bottom"/>
            <w:tcBorders>
              <w:bottom w:val="single" w:sz="8" w:color="auto"/>
            </w:tcBorders>
            <w:shd w:val="clear" w:color="auto" w:fill="CCEEFF"/>
          </w:tcPr>
          <w:p>
            <w:pPr>
              <w:spacing w:after="0"/>
              <w:rPr>
                <w:sz w:val="18"/>
                <w:szCs w:val="18"/>
                <w:color w:val="auto"/>
              </w:rPr>
            </w:pPr>
          </w:p>
        </w:tc>
        <w:tc>
          <w:tcPr>
            <w:tcW w:w="2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of Shares Purchased</w:t>
            </w:r>
          </w:p>
        </w:tc>
        <w:tc>
          <w:tcPr>
            <w:tcW w:w="2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Share</w:t>
            </w:r>
          </w:p>
        </w:tc>
        <w:tc>
          <w:tcPr>
            <w:tcW w:w="4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of Shares Purchased Paid for Shares Purchased</w:t>
            </w:r>
          </w:p>
        </w:tc>
      </w:tr>
      <w:tr>
        <w:trPr>
          <w:trHeight w:val="210"/>
        </w:trPr>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9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(in thousands, except per share data)</w:t>
            </w:r>
          </w:p>
        </w:tc>
        <w:tc>
          <w:tcPr>
            <w:tcW w:w="1280" w:type="dxa"/>
            <w:vAlign w:val="bottom"/>
          </w:tcPr>
          <w:p>
            <w:pPr>
              <w:spacing w:after="0"/>
              <w:rPr>
                <w:sz w:val="18"/>
                <w:szCs w:val="18"/>
                <w:color w:val="auto"/>
              </w:rPr>
            </w:pPr>
          </w:p>
        </w:tc>
      </w:tr>
      <w:tr>
        <w:trPr>
          <w:trHeight w:val="214"/>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October 10/1/19 – 10/31/19</w:t>
            </w:r>
          </w:p>
        </w:tc>
        <w:tc>
          <w:tcPr>
            <w:tcW w:w="2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35,100</w:t>
            </w:r>
          </w:p>
        </w:tc>
        <w:tc>
          <w:tcPr>
            <w:tcW w:w="22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$152.66</w:t>
            </w:r>
          </w:p>
        </w:tc>
        <w:tc>
          <w:tcPr>
            <w:tcW w:w="27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35,100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$5,358</w:t>
            </w:r>
          </w:p>
        </w:tc>
      </w:tr>
      <w:tr>
        <w:trPr>
          <w:trHeight w:val="209"/>
        </w:trPr>
        <w:tc>
          <w:tcPr>
            <w:tcW w:w="26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35,100</w:t>
            </w:r>
          </w:p>
        </w:tc>
        <w:tc>
          <w:tcPr>
            <w:tcW w:w="2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$152.66</w:t>
            </w:r>
          </w:p>
        </w:tc>
        <w:tc>
          <w:tcPr>
            <w:tcW w:w="27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35,100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w:t>
            </w:r>
          </w:p>
        </w:tc>
      </w:tr>
      <w:tr>
        <w:trPr>
          <w:trHeight w:val="24"/>
        </w:trPr>
        <w:tc>
          <w:tcPr>
            <w:tcW w:w="26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0" w:name="page91"/>
    <w:bookmarkEnd w:id="90"/>
    <w:p>
      <w:pPr>
        <w:jc w:val="both"/>
        <w:ind w:firstLine="648"/>
        <w:spacing w:after="0" w:line="251" w:lineRule="auto"/>
        <w:rPr>
          <w:sz w:val="20"/>
          <w:szCs w:val="20"/>
          <w:color w:val="auto"/>
        </w:rPr>
      </w:pPr>
      <w:r>
        <w:rPr>
          <w:rFonts w:ascii="Arial" w:cs="Arial" w:eastAsia="Arial" w:hAnsi="Arial"/>
          <w:sz w:val="16"/>
          <w:szCs w:val="16"/>
          <w:color w:val="auto"/>
        </w:rPr>
        <w:t>On October 3, 2016 the Company commenced a previously announced share buyback program of up to $400 million. At December 31, 2018 a total of 4,026,576 shares were redeemed by the Company under this buyback program for a total consideration of $372.1 million. All ordinary shares that were redeemed under the buyback program were canceled in accordance with the Constitution of the Company and the nominal value of these shares transferred to other undenominated capital as required under Irish Company law.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shd w:val="clear" w:color="auto" w:fill="CCEEFF"/>
          </w:tcPr>
          <w:p>
            <w:pPr>
              <w:spacing w:after="0"/>
              <w:rPr>
                <w:sz w:val="16"/>
                <w:szCs w:val="16"/>
                <w:color w:val="auto"/>
              </w:rPr>
            </w:pPr>
          </w:p>
        </w:tc>
        <w:tc>
          <w:tcPr>
            <w:tcW w:w="2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Total Number</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 Price Paid</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Total Number</w:t>
            </w:r>
          </w:p>
        </w:tc>
        <w:tc>
          <w:tcPr>
            <w:tcW w:w="18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Total Price</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Maximum</w:t>
            </w:r>
          </w:p>
        </w:tc>
      </w:tr>
      <w:tr>
        <w:trPr>
          <w:trHeight w:val="162"/>
        </w:trPr>
        <w:tc>
          <w:tcPr>
            <w:tcW w:w="2480" w:type="dxa"/>
            <w:vAlign w:val="bottom"/>
            <w:shd w:val="clear" w:color="auto" w:fill="CCEEFF"/>
          </w:tcPr>
          <w:p>
            <w:pPr>
              <w:spacing w:after="0"/>
              <w:rPr>
                <w:sz w:val="14"/>
                <w:szCs w:val="14"/>
                <w:color w:val="auto"/>
              </w:rPr>
            </w:pPr>
          </w:p>
        </w:tc>
        <w:tc>
          <w:tcPr>
            <w:tcW w:w="204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b w:val="1"/>
                <w:bCs w:val="1"/>
                <w:color w:val="auto"/>
              </w:rPr>
              <w:t>of Shares Purchased</w:t>
            </w:r>
          </w:p>
        </w:tc>
        <w:tc>
          <w:tcPr>
            <w:tcW w:w="33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per Share of Shares Purchased</w:t>
            </w:r>
          </w:p>
        </w:tc>
        <w:tc>
          <w:tcPr>
            <w:tcW w:w="1800" w:type="dxa"/>
            <w:vAlign w:val="bottom"/>
            <w:shd w:val="clear" w:color="auto" w:fill="CCEEFF"/>
          </w:tcPr>
          <w:p>
            <w:pPr>
              <w:jc w:val="right"/>
              <w:ind w:right="79"/>
              <w:spacing w:after="0" w:line="162" w:lineRule="exact"/>
              <w:rPr>
                <w:sz w:val="20"/>
                <w:szCs w:val="20"/>
                <w:color w:val="auto"/>
              </w:rPr>
            </w:pPr>
            <w:r>
              <w:rPr>
                <w:rFonts w:ascii="Arial" w:cs="Arial" w:eastAsia="Arial" w:hAnsi="Arial"/>
                <w:sz w:val="16"/>
                <w:szCs w:val="16"/>
                <w:b w:val="1"/>
                <w:bCs w:val="1"/>
                <w:color w:val="auto"/>
              </w:rPr>
              <w:t>Paid for Shares</w:t>
            </w:r>
          </w:p>
        </w:tc>
        <w:tc>
          <w:tcPr>
            <w:tcW w:w="1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Approximate</w:t>
            </w:r>
          </w:p>
        </w:tc>
      </w:tr>
      <w:tr>
        <w:trPr>
          <w:trHeight w:val="162"/>
        </w:trPr>
        <w:tc>
          <w:tcPr>
            <w:tcW w:w="24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as</w:t>
            </w:r>
          </w:p>
        </w:tc>
        <w:tc>
          <w:tcPr>
            <w:tcW w:w="1800" w:type="dxa"/>
            <w:vAlign w:val="bottom"/>
            <w:shd w:val="clear" w:color="auto" w:fill="CCEEFF"/>
          </w:tcPr>
          <w:p>
            <w:pPr>
              <w:jc w:val="right"/>
              <w:ind w:right="79"/>
              <w:spacing w:after="0" w:line="162" w:lineRule="exact"/>
              <w:rPr>
                <w:sz w:val="20"/>
                <w:szCs w:val="20"/>
                <w:color w:val="auto"/>
              </w:rPr>
            </w:pPr>
            <w:r>
              <w:rPr>
                <w:rFonts w:ascii="Arial" w:cs="Arial" w:eastAsia="Arial" w:hAnsi="Arial"/>
                <w:sz w:val="16"/>
                <w:szCs w:val="16"/>
                <w:b w:val="1"/>
                <w:bCs w:val="1"/>
                <w:color w:val="auto"/>
              </w:rPr>
              <w:t>Purchased as</w:t>
            </w:r>
          </w:p>
        </w:tc>
        <w:tc>
          <w:tcPr>
            <w:tcW w:w="1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Value of Shares</w:t>
            </w:r>
          </w:p>
        </w:tc>
      </w:tr>
      <w:tr>
        <w:trPr>
          <w:trHeight w:val="162"/>
        </w:trPr>
        <w:tc>
          <w:tcPr>
            <w:tcW w:w="24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Part of a</w:t>
            </w:r>
          </w:p>
        </w:tc>
        <w:tc>
          <w:tcPr>
            <w:tcW w:w="1800" w:type="dxa"/>
            <w:vAlign w:val="bottom"/>
            <w:shd w:val="clear" w:color="auto" w:fill="CCEEFF"/>
          </w:tcPr>
          <w:p>
            <w:pPr>
              <w:jc w:val="right"/>
              <w:ind w:right="79"/>
              <w:spacing w:after="0" w:line="162" w:lineRule="exact"/>
              <w:rPr>
                <w:sz w:val="20"/>
                <w:szCs w:val="20"/>
                <w:color w:val="auto"/>
              </w:rPr>
            </w:pPr>
            <w:r>
              <w:rPr>
                <w:rFonts w:ascii="Arial" w:cs="Arial" w:eastAsia="Arial" w:hAnsi="Arial"/>
                <w:sz w:val="16"/>
                <w:szCs w:val="16"/>
                <w:b w:val="1"/>
                <w:bCs w:val="1"/>
                <w:color w:val="auto"/>
              </w:rPr>
              <w:t>Part of a</w:t>
            </w:r>
          </w:p>
        </w:tc>
        <w:tc>
          <w:tcPr>
            <w:tcW w:w="1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that may yet be</w:t>
            </w:r>
          </w:p>
        </w:tc>
      </w:tr>
      <w:tr>
        <w:trPr>
          <w:trHeight w:val="162"/>
        </w:trPr>
        <w:tc>
          <w:tcPr>
            <w:tcW w:w="24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Publicly Announced</w:t>
            </w:r>
          </w:p>
        </w:tc>
        <w:tc>
          <w:tcPr>
            <w:tcW w:w="1800" w:type="dxa"/>
            <w:vAlign w:val="bottom"/>
            <w:shd w:val="clear" w:color="auto" w:fill="CCEEFF"/>
          </w:tcPr>
          <w:p>
            <w:pPr>
              <w:jc w:val="right"/>
              <w:ind w:right="79"/>
              <w:spacing w:after="0" w:line="162" w:lineRule="exact"/>
              <w:rPr>
                <w:sz w:val="20"/>
                <w:szCs w:val="20"/>
                <w:color w:val="auto"/>
              </w:rPr>
            </w:pPr>
            <w:r>
              <w:rPr>
                <w:rFonts w:ascii="Arial" w:cs="Arial" w:eastAsia="Arial" w:hAnsi="Arial"/>
                <w:sz w:val="16"/>
                <w:szCs w:val="16"/>
                <w:b w:val="1"/>
                <w:bCs w:val="1"/>
                <w:color w:val="auto"/>
              </w:rPr>
              <w:t>Publicly Announced</w:t>
            </w:r>
          </w:p>
        </w:tc>
        <w:tc>
          <w:tcPr>
            <w:tcW w:w="1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purchased under</w:t>
            </w:r>
          </w:p>
        </w:tc>
      </w:tr>
      <w:tr>
        <w:trPr>
          <w:trHeight w:val="162"/>
        </w:trPr>
        <w:tc>
          <w:tcPr>
            <w:tcW w:w="24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Plan</w:t>
            </w:r>
          </w:p>
        </w:tc>
        <w:tc>
          <w:tcPr>
            <w:tcW w:w="1800" w:type="dxa"/>
            <w:vAlign w:val="bottom"/>
            <w:shd w:val="clear" w:color="auto" w:fill="CCEEFF"/>
          </w:tcPr>
          <w:p>
            <w:pPr>
              <w:jc w:val="right"/>
              <w:ind w:right="79"/>
              <w:spacing w:after="0" w:line="162" w:lineRule="exact"/>
              <w:rPr>
                <w:sz w:val="20"/>
                <w:szCs w:val="20"/>
                <w:color w:val="auto"/>
              </w:rPr>
            </w:pPr>
            <w:r>
              <w:rPr>
                <w:rFonts w:ascii="Arial" w:cs="Arial" w:eastAsia="Arial" w:hAnsi="Arial"/>
                <w:sz w:val="16"/>
                <w:szCs w:val="16"/>
                <w:b w:val="1"/>
                <w:bCs w:val="1"/>
                <w:color w:val="auto"/>
              </w:rPr>
              <w:t>Plan</w:t>
            </w:r>
          </w:p>
        </w:tc>
        <w:tc>
          <w:tcPr>
            <w:tcW w:w="1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the Publicly</w:t>
            </w:r>
          </w:p>
        </w:tc>
      </w:tr>
      <w:tr>
        <w:trPr>
          <w:trHeight w:val="215"/>
        </w:trPr>
        <w:tc>
          <w:tcPr>
            <w:tcW w:w="248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Announced Plan</w:t>
            </w:r>
          </w:p>
        </w:tc>
      </w:tr>
      <w:tr>
        <w:trPr>
          <w:trHeight w:val="210"/>
        </w:trPr>
        <w:tc>
          <w:tcPr>
            <w:tcW w:w="2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5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(in thousands, except per share data)</w:t>
            </w:r>
          </w:p>
        </w:tc>
        <w:tc>
          <w:tcPr>
            <w:tcW w:w="1560" w:type="dxa"/>
            <w:vAlign w:val="bottom"/>
          </w:tcPr>
          <w:p>
            <w:pPr>
              <w:spacing w:after="0"/>
              <w:rPr>
                <w:sz w:val="18"/>
                <w:szCs w:val="18"/>
                <w:color w:val="auto"/>
              </w:rPr>
            </w:pP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10/1/16– 10/31/16</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474,118</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$77.63</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474,118</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$36,804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$363,196</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November 11/1/16 – 11/30/16</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756,001</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$76.77</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756,001</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$58,039</w:t>
            </w:r>
          </w:p>
        </w:tc>
        <w:tc>
          <w:tcPr>
            <w:tcW w:w="1560" w:type="dxa"/>
            <w:vAlign w:val="bottom"/>
          </w:tcPr>
          <w:p>
            <w:pPr>
              <w:jc w:val="right"/>
              <w:spacing w:after="0"/>
              <w:rPr>
                <w:sz w:val="20"/>
                <w:szCs w:val="20"/>
                <w:color w:val="auto"/>
              </w:rPr>
            </w:pPr>
            <w:r>
              <w:rPr>
                <w:rFonts w:ascii="Arial" w:cs="Arial" w:eastAsia="Arial" w:hAnsi="Arial"/>
                <w:sz w:val="16"/>
                <w:szCs w:val="16"/>
                <w:color w:val="auto"/>
              </w:rPr>
              <w:t>$305,157</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12/1/16 – 12/31/16</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199,068</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$76.13</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199,068</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$15,157</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$290,000</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January 1/1 /17– 1/31/17</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152,601</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$77.96</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152,601</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$11,897</w:t>
            </w:r>
          </w:p>
        </w:tc>
        <w:tc>
          <w:tcPr>
            <w:tcW w:w="1560" w:type="dxa"/>
            <w:vAlign w:val="bottom"/>
          </w:tcPr>
          <w:p>
            <w:pPr>
              <w:jc w:val="right"/>
              <w:spacing w:after="0"/>
              <w:rPr>
                <w:sz w:val="20"/>
                <w:szCs w:val="20"/>
                <w:color w:val="auto"/>
              </w:rPr>
            </w:pPr>
            <w:r>
              <w:rPr>
                <w:rFonts w:ascii="Arial" w:cs="Arial" w:eastAsia="Arial" w:hAnsi="Arial"/>
                <w:sz w:val="16"/>
                <w:szCs w:val="16"/>
                <w:color w:val="auto"/>
              </w:rPr>
              <w:t>$278,103</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2/1/17 – 2/28/17</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$278,103</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March 3/1/17 – 3/31/17</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1,121,907</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$79.08</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1,121,907</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$88,726</w:t>
            </w:r>
          </w:p>
        </w:tc>
        <w:tc>
          <w:tcPr>
            <w:tcW w:w="1560" w:type="dxa"/>
            <w:vAlign w:val="bottom"/>
          </w:tcPr>
          <w:p>
            <w:pPr>
              <w:jc w:val="right"/>
              <w:spacing w:after="0"/>
              <w:rPr>
                <w:sz w:val="20"/>
                <w:szCs w:val="20"/>
                <w:color w:val="auto"/>
              </w:rPr>
            </w:pPr>
            <w:r>
              <w:rPr>
                <w:rFonts w:ascii="Arial" w:cs="Arial" w:eastAsia="Arial" w:hAnsi="Arial"/>
                <w:sz w:val="16"/>
                <w:szCs w:val="16"/>
                <w:color w:val="auto"/>
              </w:rPr>
              <w:t>$189,377</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4/1/17 – 4/30/17</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93,628</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$79.92</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93,628</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$7,483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$181,894</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May 5/1/17 – 5/31/17</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$181,894</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6/1/17 – 6/30/17</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$181,894</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July 7/1/17 – 7/31/17</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$181,894</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August 8/1/17 – 8/31/17</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$181,894</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September 9/1/17 – 9/30/17</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$181,894</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10/1/17 – 10/31/17</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$181,894</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November 11/1/17 – 11/30/17</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2,376</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$114.49</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2,376</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$272</w:t>
            </w:r>
          </w:p>
        </w:tc>
        <w:tc>
          <w:tcPr>
            <w:tcW w:w="1560" w:type="dxa"/>
            <w:vAlign w:val="bottom"/>
          </w:tcPr>
          <w:p>
            <w:pPr>
              <w:jc w:val="right"/>
              <w:spacing w:after="0"/>
              <w:rPr>
                <w:sz w:val="20"/>
                <w:szCs w:val="20"/>
                <w:color w:val="auto"/>
              </w:rPr>
            </w:pPr>
            <w:r>
              <w:rPr>
                <w:rFonts w:ascii="Arial" w:cs="Arial" w:eastAsia="Arial" w:hAnsi="Arial"/>
                <w:sz w:val="16"/>
                <w:szCs w:val="16"/>
                <w:color w:val="auto"/>
              </w:rPr>
              <w:t>$181,622</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12/1/17 – 12/31/17</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218,715</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$113.06</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218,715</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$24,728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$156,894</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January 1/1/18– 1/31/18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$156,894</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February 2/1/18 – 2/28/18</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196,591</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$108.20</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196,591</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$21,271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$135,623</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March 3/1/18 – 3/31/18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148,521</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$114.04</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148,521</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$16,937</w:t>
            </w:r>
          </w:p>
        </w:tc>
        <w:tc>
          <w:tcPr>
            <w:tcW w:w="1560" w:type="dxa"/>
            <w:vAlign w:val="bottom"/>
          </w:tcPr>
          <w:p>
            <w:pPr>
              <w:jc w:val="right"/>
              <w:spacing w:after="0"/>
              <w:rPr>
                <w:sz w:val="20"/>
                <w:szCs w:val="20"/>
                <w:color w:val="auto"/>
              </w:rPr>
            </w:pPr>
            <w:r>
              <w:rPr>
                <w:rFonts w:ascii="Arial" w:cs="Arial" w:eastAsia="Arial" w:hAnsi="Arial"/>
                <w:sz w:val="16"/>
                <w:szCs w:val="16"/>
                <w:color w:val="auto"/>
              </w:rPr>
              <w:t>$118,686</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4/1/18 – 4/30/18</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$118,686</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May 5/1/18 – 5/31/18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$118,686</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6/1/18 – 6/30/18</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118,943</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$134.22</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118,943</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$15,964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$102,722</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July 7/1/18 – 7/31/18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21,088</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$132.20</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21,088</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$2,788</w:t>
            </w:r>
          </w:p>
        </w:tc>
        <w:tc>
          <w:tcPr>
            <w:tcW w:w="1560" w:type="dxa"/>
            <w:vAlign w:val="bottom"/>
          </w:tcPr>
          <w:p>
            <w:pPr>
              <w:jc w:val="right"/>
              <w:spacing w:after="0"/>
              <w:rPr>
                <w:sz w:val="20"/>
                <w:szCs w:val="20"/>
                <w:color w:val="auto"/>
              </w:rPr>
            </w:pPr>
            <w:r>
              <w:rPr>
                <w:rFonts w:ascii="Arial" w:cs="Arial" w:eastAsia="Arial" w:hAnsi="Arial"/>
                <w:sz w:val="16"/>
                <w:szCs w:val="16"/>
                <w:color w:val="auto"/>
              </w:rPr>
              <w:t>$99,934</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August 8/1/18 – 8/31/18</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$99,934</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September 9/1/18 – 9/30/18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$99,934</w:t>
            </w:r>
          </w:p>
        </w:tc>
      </w:tr>
      <w:tr>
        <w:trPr>
          <w:trHeight w:val="219"/>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10/1/18 – 10/31/18</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357,303</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$139.94</w:t>
            </w:r>
          </w:p>
        </w:tc>
        <w:tc>
          <w:tcPr>
            <w:tcW w:w="1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357,303</w:t>
            </w:r>
          </w:p>
        </w:tc>
        <w:tc>
          <w:tcPr>
            <w:tcW w:w="18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$50,000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$49,934</w:t>
            </w:r>
          </w:p>
        </w:tc>
      </w:tr>
      <w:tr>
        <w:trPr>
          <w:trHeight w:val="213"/>
        </w:trPr>
        <w:tc>
          <w:tcPr>
            <w:tcW w:w="2480" w:type="dxa"/>
            <w:vAlign w:val="bottom"/>
          </w:tcPr>
          <w:p>
            <w:pPr>
              <w:ind w:left="20"/>
              <w:spacing w:after="0"/>
              <w:rPr>
                <w:sz w:val="20"/>
                <w:szCs w:val="20"/>
                <w:color w:val="auto"/>
              </w:rPr>
            </w:pPr>
            <w:r>
              <w:rPr>
                <w:rFonts w:ascii="Arial" w:cs="Arial" w:eastAsia="Arial" w:hAnsi="Arial"/>
                <w:sz w:val="16"/>
                <w:szCs w:val="16"/>
                <w:color w:val="auto"/>
              </w:rPr>
              <w:t>November 11/1/18 – 11/30/18</w:t>
            </w:r>
          </w:p>
        </w:tc>
        <w:tc>
          <w:tcPr>
            <w:tcW w:w="2040" w:type="dxa"/>
            <w:vAlign w:val="bottom"/>
          </w:tcPr>
          <w:p>
            <w:pPr>
              <w:jc w:val="right"/>
              <w:ind w:right="79"/>
              <w:spacing w:after="0"/>
              <w:rPr>
                <w:sz w:val="20"/>
                <w:szCs w:val="20"/>
                <w:color w:val="auto"/>
              </w:rPr>
            </w:pPr>
            <w:r>
              <w:rPr>
                <w:rFonts w:ascii="Arial" w:cs="Arial" w:eastAsia="Arial" w:hAnsi="Arial"/>
                <w:sz w:val="16"/>
                <w:szCs w:val="16"/>
                <w:color w:val="auto"/>
              </w:rPr>
              <w:t>165,716</w:t>
            </w: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$132.76</w:t>
            </w:r>
          </w:p>
        </w:tc>
        <w:tc>
          <w:tcPr>
            <w:tcW w:w="1700" w:type="dxa"/>
            <w:vAlign w:val="bottom"/>
          </w:tcPr>
          <w:p>
            <w:pPr>
              <w:jc w:val="right"/>
              <w:ind w:right="39"/>
              <w:spacing w:after="0"/>
              <w:rPr>
                <w:sz w:val="20"/>
                <w:szCs w:val="20"/>
                <w:color w:val="auto"/>
              </w:rPr>
            </w:pPr>
            <w:r>
              <w:rPr>
                <w:rFonts w:ascii="Arial" w:cs="Arial" w:eastAsia="Arial" w:hAnsi="Arial"/>
                <w:sz w:val="16"/>
                <w:szCs w:val="16"/>
                <w:color w:val="auto"/>
              </w:rPr>
              <w:t>165,716</w:t>
            </w:r>
          </w:p>
        </w:tc>
        <w:tc>
          <w:tcPr>
            <w:tcW w:w="1800" w:type="dxa"/>
            <w:vAlign w:val="bottom"/>
          </w:tcPr>
          <w:p>
            <w:pPr>
              <w:jc w:val="right"/>
              <w:ind w:right="139"/>
              <w:spacing w:after="0"/>
              <w:rPr>
                <w:sz w:val="20"/>
                <w:szCs w:val="20"/>
                <w:color w:val="auto"/>
              </w:rPr>
            </w:pPr>
            <w:r>
              <w:rPr>
                <w:rFonts w:ascii="Arial" w:cs="Arial" w:eastAsia="Arial" w:hAnsi="Arial"/>
                <w:sz w:val="16"/>
                <w:szCs w:val="16"/>
                <w:color w:val="auto"/>
              </w:rPr>
              <w:t>$22,000</w:t>
            </w:r>
          </w:p>
        </w:tc>
        <w:tc>
          <w:tcPr>
            <w:tcW w:w="1560" w:type="dxa"/>
            <w:vAlign w:val="bottom"/>
          </w:tcPr>
          <w:p>
            <w:pPr>
              <w:jc w:val="right"/>
              <w:spacing w:after="0"/>
              <w:rPr>
                <w:sz w:val="20"/>
                <w:szCs w:val="20"/>
                <w:color w:val="auto"/>
              </w:rPr>
            </w:pPr>
            <w:r>
              <w:rPr>
                <w:rFonts w:ascii="Arial" w:cs="Arial" w:eastAsia="Arial" w:hAnsi="Arial"/>
                <w:sz w:val="16"/>
                <w:szCs w:val="16"/>
                <w:color w:val="auto"/>
              </w:rPr>
              <w:t>$27,934</w:t>
            </w:r>
          </w:p>
        </w:tc>
      </w:tr>
      <w:tr>
        <w:trPr>
          <w:trHeight w:val="216"/>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December 12/1/18 – 12/31/18</w:t>
            </w:r>
          </w:p>
        </w:tc>
        <w:tc>
          <w:tcPr>
            <w:tcW w:w="2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$27,934</w:t>
            </w:r>
          </w:p>
        </w:tc>
      </w:tr>
      <w:tr>
        <w:trPr>
          <w:trHeight w:val="210"/>
        </w:trPr>
        <w:tc>
          <w:tcPr>
            <w:tcW w:w="2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4,026,576</w:t>
            </w: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$92.40</w:t>
            </w:r>
          </w:p>
        </w:tc>
        <w:tc>
          <w:tcPr>
            <w:tcW w:w="1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4,026,576</w:t>
            </w: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$372,066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$27,934</w:t>
            </w:r>
          </w:p>
        </w:tc>
      </w:tr>
      <w:tr>
        <w:trPr>
          <w:trHeight w:val="24"/>
        </w:trPr>
        <w:tc>
          <w:tcPr>
            <w:tcW w:w="24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72" w:lineRule="exact"/>
        <w:rPr>
          <w:sz w:val="20"/>
          <w:szCs w:val="20"/>
          <w:color w:val="auto"/>
        </w:rPr>
      </w:pPr>
    </w:p>
    <w:p>
      <w:pPr>
        <w:jc w:val="both"/>
        <w:ind w:firstLine="182"/>
        <w:spacing w:after="0" w:line="248" w:lineRule="auto"/>
        <w:rPr>
          <w:sz w:val="20"/>
          <w:szCs w:val="20"/>
          <w:color w:val="auto"/>
        </w:rPr>
      </w:pPr>
      <w:r>
        <w:rPr>
          <w:rFonts w:ascii="Arial" w:cs="Arial" w:eastAsia="Arial" w:hAnsi="Arial"/>
          <w:sz w:val="16"/>
          <w:szCs w:val="16"/>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Item 16F. Changes in Registrant's Certifying Accountant</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16G. Corporate Governance</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Item 10 "Exemptions from Corporate Governance Listing Requirements under the NASDAQ Marketplace Rules".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16H. Mine Safety Disclosure</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Not applicable.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17. </w:t>
      </w:r>
      <w:r>
        <w:rPr>
          <w:rFonts w:ascii="Arial" w:cs="Arial" w:eastAsia="Arial" w:hAnsi="Arial"/>
          <w:sz w:val="16"/>
          <w:szCs w:val="16"/>
          <w:b w:val="1"/>
          <w:bCs w:val="1"/>
          <w:i w:val="1"/>
          <w:iCs w:val="1"/>
          <w:color w:val="auto"/>
        </w:rPr>
        <w:t>Financial Statements.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See item 18.</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18</w:t>
      </w:r>
      <w:r>
        <w:rPr>
          <w:rFonts w:ascii="Arial" w:cs="Arial" w:eastAsia="Arial" w:hAnsi="Arial"/>
          <w:sz w:val="16"/>
          <w:szCs w:val="16"/>
          <w:b w:val="1"/>
          <w:bCs w:val="1"/>
          <w:i w:val="1"/>
          <w:iCs w:val="1"/>
          <w:color w:val="auto"/>
        </w:rPr>
        <w:t>. Financial Statements.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Reference is made to pages 92 to 149 of this Form 20-F.</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19. </w:t>
      </w:r>
      <w:r>
        <w:rPr>
          <w:rFonts w:ascii="Arial" w:cs="Arial" w:eastAsia="Arial" w:hAnsi="Arial"/>
          <w:sz w:val="16"/>
          <w:szCs w:val="16"/>
          <w:b w:val="1"/>
          <w:bCs w:val="1"/>
          <w:i w:val="1"/>
          <w:iCs w:val="1"/>
          <w:color w:val="auto"/>
        </w:rPr>
        <w:t>Exhibits.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Consolidated Financial Statements of ICON plc and subsidiaries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Exhibits of ICON plc and subsidiaries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Management's Report on Internal Control over Financial Reporting</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Reports of Independent Registered Public Accounting Firm</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Consolidated Balance Sheets as at December 31, 2020 and December 31, 2019</w:t>
      </w:r>
    </w:p>
    <w:p>
      <w:pPr>
        <w:spacing w:after="0" w:line="167" w:lineRule="exact"/>
        <w:rPr>
          <w:sz w:val="20"/>
          <w:szCs w:val="20"/>
          <w:color w:val="auto"/>
        </w:rPr>
      </w:pPr>
    </w:p>
    <w:p>
      <w:pPr>
        <w:ind w:left="660" w:right="640"/>
        <w:spacing w:after="0" w:line="457" w:lineRule="auto"/>
        <w:rPr>
          <w:sz w:val="20"/>
          <w:szCs w:val="20"/>
          <w:color w:val="auto"/>
        </w:rPr>
      </w:pPr>
      <w:r>
        <w:rPr>
          <w:rFonts w:ascii="Arial" w:cs="Arial" w:eastAsia="Arial" w:hAnsi="Arial"/>
          <w:sz w:val="16"/>
          <w:szCs w:val="16"/>
          <w:color w:val="auto"/>
        </w:rPr>
        <w:t>Consolidated Statements of Operations for the years ended December 31, 2020, December 31, 2019 and December 31, 2018 Consolidated Statements of Comprehensive Income for the years ended December 31, 2020, December 31, 2019 and December 31, 2018</w:t>
      </w:r>
    </w:p>
    <w:p>
      <w:pPr>
        <w:spacing w:after="0" w:line="1"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Consolidated Statements of Shareholders' Equity and Comprehensive Income for the years ended December 31, 2020, December 31, 2019 and December 31, 2018</w:t>
      </w:r>
    </w:p>
    <w:p>
      <w:pPr>
        <w:spacing w:after="0" w:line="141" w:lineRule="exact"/>
        <w:rPr>
          <w:sz w:val="20"/>
          <w:szCs w:val="20"/>
          <w:color w:val="auto"/>
        </w:rPr>
      </w:pPr>
    </w:p>
    <w:p>
      <w:pPr>
        <w:ind w:left="180" w:right="1500" w:firstLine="468"/>
        <w:spacing w:after="0" w:line="471" w:lineRule="auto"/>
        <w:rPr>
          <w:sz w:val="20"/>
          <w:szCs w:val="20"/>
          <w:color w:val="auto"/>
        </w:rPr>
      </w:pPr>
      <w:r>
        <w:rPr>
          <w:rFonts w:ascii="Arial" w:cs="Arial" w:eastAsia="Arial" w:hAnsi="Arial"/>
          <w:sz w:val="16"/>
          <w:szCs w:val="16"/>
          <w:color w:val="auto"/>
        </w:rPr>
        <w:t>Consolidated Statements of Cash Flows for the years ended December 31, 2020, December 31, 2019 and December 31, 2018 Notes to the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20"/>
        <w:spacing w:after="0"/>
        <w:tabs>
          <w:tab w:leader="none" w:pos="192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shd w:val="clear" w:color="auto" w:fill="CCEEFF"/>
          </w:tcPr>
          <w:p>
            <w:pPr>
              <w:ind w:left="20"/>
              <w:spacing w:after="0"/>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2.1</w:t>
              </w:r>
            </w:hyperlink>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Agreement and Plan of Merger, dated as of February 24, 2021, by and among ICON plc, ICON US Holdings Inc., Indigo Merger</w:t>
            </w:r>
          </w:p>
        </w:tc>
      </w:tr>
      <w:tr>
        <w:trPr>
          <w:trHeight w:val="162"/>
        </w:trPr>
        <w:tc>
          <w:tcPr>
            <w:tcW w:w="1580" w:type="dxa"/>
            <w:vAlign w:val="bottom"/>
            <w:shd w:val="clear" w:color="auto" w:fill="CCEEFF"/>
          </w:tcPr>
          <w:p>
            <w:pPr>
              <w:spacing w:after="0"/>
              <w:rPr>
                <w:sz w:val="14"/>
                <w:szCs w:val="14"/>
                <w:color w:val="auto"/>
              </w:rPr>
            </w:pPr>
          </w:p>
        </w:tc>
        <w:tc>
          <w:tcPr>
            <w:tcW w:w="964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rPr>
              <w:t>Sub, Inc and PRA Health Sciences, Inc. (incorporated by reference to exhibit 2.1 to the Form 6K (file No. 333-08704) filed on</w:t>
            </w:r>
          </w:p>
        </w:tc>
      </w:tr>
      <w:tr>
        <w:trPr>
          <w:trHeight w:val="201"/>
        </w:trPr>
        <w:tc>
          <w:tcPr>
            <w:tcW w:w="15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February 24, 2021.</w:t>
            </w:r>
          </w:p>
        </w:tc>
      </w:tr>
      <w:tr>
        <w:trPr>
          <w:trHeight w:val="270"/>
        </w:trPr>
        <w:tc>
          <w:tcPr>
            <w:tcW w:w="15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216"/>
        </w:trPr>
        <w:tc>
          <w:tcPr>
            <w:tcW w:w="1580" w:type="dxa"/>
            <w:vAlign w:val="bottom"/>
            <w:shd w:val="clear" w:color="auto" w:fill="CCEEFF"/>
          </w:tcPr>
          <w:p>
            <w:pPr>
              <w:ind w:left="20"/>
              <w:spacing w:after="0"/>
              <w:rPr>
                <w:rFonts w:ascii="Arial" w:cs="Arial" w:eastAsia="Arial" w:hAnsi="Arial"/>
                <w:sz w:val="16"/>
                <w:szCs w:val="16"/>
                <w:u w:val="single" w:color="auto"/>
                <w:color w:val="0000FF"/>
              </w:rPr>
            </w:pPr>
            <w:hyperlink w:anchor="page153">
              <w:r>
                <w:rPr>
                  <w:rFonts w:ascii="Arial" w:cs="Arial" w:eastAsia="Arial" w:hAnsi="Arial"/>
                  <w:sz w:val="16"/>
                  <w:szCs w:val="16"/>
                  <w:u w:val="single" w:color="auto"/>
                  <w:color w:val="0000FF"/>
                </w:rPr>
                <w:t>2.2*</w:t>
              </w:r>
            </w:hyperlink>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Description of Securities Registered Under Section 12 of the Exchange Act.</w:t>
            </w:r>
          </w:p>
        </w:tc>
      </w:tr>
      <w:tr>
        <w:trPr>
          <w:trHeight w:val="270"/>
        </w:trPr>
        <w:tc>
          <w:tcPr>
            <w:tcW w:w="15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177"/>
        </w:trPr>
        <w:tc>
          <w:tcPr>
            <w:tcW w:w="1580" w:type="dxa"/>
            <w:vAlign w:val="bottom"/>
            <w:shd w:val="clear" w:color="auto" w:fill="CCEEFF"/>
          </w:tcPr>
          <w:p>
            <w:pPr>
              <w:ind w:left="20"/>
              <w:spacing w:after="0" w:line="178" w:lineRule="exact"/>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3.1</w:t>
              </w:r>
            </w:hyperlink>
          </w:p>
        </w:tc>
        <w:tc>
          <w:tcPr>
            <w:tcW w:w="9640" w:type="dxa"/>
            <w:vAlign w:val="bottom"/>
            <w:shd w:val="clear" w:color="auto" w:fill="CCEEFF"/>
          </w:tcPr>
          <w:p>
            <w:pPr>
              <w:ind w:left="360"/>
              <w:spacing w:after="0" w:line="178" w:lineRule="exact"/>
              <w:rPr>
                <w:sz w:val="20"/>
                <w:szCs w:val="20"/>
                <w:color w:val="auto"/>
              </w:rPr>
            </w:pPr>
            <w:r>
              <w:rPr>
                <w:rFonts w:ascii="Arial" w:cs="Arial" w:eastAsia="Arial" w:hAnsi="Arial"/>
                <w:sz w:val="16"/>
                <w:szCs w:val="16"/>
                <w:color w:val="auto"/>
              </w:rPr>
              <w:t>Description of the Constitution of the Company (incorporated by reference to exhibit 99.2 to the Form 6K (File No. 333-08704)</w:t>
            </w:r>
          </w:p>
        </w:tc>
      </w:tr>
      <w:tr>
        <w:trPr>
          <w:trHeight w:val="201"/>
        </w:trPr>
        <w:tc>
          <w:tcPr>
            <w:tcW w:w="1580" w:type="dxa"/>
            <w:vAlign w:val="bottom"/>
            <w:shd w:val="clear" w:color="auto" w:fill="CCEEFF"/>
          </w:tcPr>
          <w:p>
            <w:pPr>
              <w:spacing w:after="0"/>
              <w:rPr>
                <w:sz w:val="17"/>
                <w:szCs w:val="17"/>
                <w:color w:val="auto"/>
              </w:rPr>
            </w:pP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filed on July 25, 2016).</w:t>
            </w:r>
          </w:p>
        </w:tc>
      </w:tr>
      <w:tr>
        <w:trPr>
          <w:trHeight w:val="270"/>
        </w:trPr>
        <w:tc>
          <w:tcPr>
            <w:tcW w:w="15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216"/>
        </w:trPr>
        <w:tc>
          <w:tcPr>
            <w:tcW w:w="1580" w:type="dxa"/>
            <w:vAlign w:val="bottom"/>
            <w:shd w:val="clear" w:color="auto" w:fill="CCEEFF"/>
          </w:tcPr>
          <w:p>
            <w:pPr>
              <w:ind w:left="20"/>
              <w:spacing w:after="0"/>
              <w:rPr>
                <w:rFonts w:ascii="Arial" w:cs="Arial" w:eastAsia="Arial" w:hAnsi="Arial"/>
                <w:sz w:val="16"/>
                <w:szCs w:val="16"/>
                <w:u w:val="single" w:color="auto"/>
                <w:color w:val="0000FF"/>
              </w:rPr>
            </w:pPr>
            <w:hyperlink w:anchor="page155">
              <w:r>
                <w:rPr>
                  <w:rFonts w:ascii="Arial" w:cs="Arial" w:eastAsia="Arial" w:hAnsi="Arial"/>
                  <w:sz w:val="16"/>
                  <w:szCs w:val="16"/>
                  <w:u w:val="single" w:color="auto"/>
                  <w:color w:val="0000FF"/>
                </w:rPr>
                <w:t>12.1*</w:t>
              </w:r>
            </w:hyperlink>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Section 302 certifications.</w:t>
            </w:r>
          </w:p>
        </w:tc>
      </w:tr>
      <w:tr>
        <w:trPr>
          <w:trHeight w:val="216"/>
        </w:trPr>
        <w:tc>
          <w:tcPr>
            <w:tcW w:w="1580" w:type="dxa"/>
            <w:vAlign w:val="bottom"/>
          </w:tcPr>
          <w:p>
            <w:pPr>
              <w:spacing w:after="0"/>
              <w:rPr>
                <w:sz w:val="18"/>
                <w:szCs w:val="18"/>
                <w:color w:val="auto"/>
              </w:rPr>
            </w:pPr>
          </w:p>
        </w:tc>
        <w:tc>
          <w:tcPr>
            <w:tcW w:w="9640" w:type="dxa"/>
            <w:vAlign w:val="bottom"/>
          </w:tcPr>
          <w:p>
            <w:pPr>
              <w:spacing w:after="0"/>
              <w:rPr>
                <w:sz w:val="18"/>
                <w:szCs w:val="18"/>
                <w:color w:val="auto"/>
              </w:rPr>
            </w:pPr>
          </w:p>
        </w:tc>
      </w:tr>
      <w:tr>
        <w:trPr>
          <w:trHeight w:val="216"/>
        </w:trPr>
        <w:tc>
          <w:tcPr>
            <w:tcW w:w="1580" w:type="dxa"/>
            <w:vAlign w:val="bottom"/>
            <w:shd w:val="clear" w:color="auto" w:fill="CCEEFF"/>
          </w:tcPr>
          <w:p>
            <w:pPr>
              <w:ind w:left="20"/>
              <w:spacing w:after="0"/>
              <w:rPr>
                <w:rFonts w:ascii="Arial" w:cs="Arial" w:eastAsia="Arial" w:hAnsi="Arial"/>
                <w:sz w:val="16"/>
                <w:szCs w:val="16"/>
                <w:u w:val="single" w:color="auto"/>
                <w:color w:val="0000FF"/>
              </w:rPr>
            </w:pPr>
            <w:hyperlink w:anchor="page157">
              <w:r>
                <w:rPr>
                  <w:rFonts w:ascii="Arial" w:cs="Arial" w:eastAsia="Arial" w:hAnsi="Arial"/>
                  <w:sz w:val="16"/>
                  <w:szCs w:val="16"/>
                  <w:u w:val="single" w:color="auto"/>
                  <w:color w:val="0000FF"/>
                </w:rPr>
                <w:t>12.2*</w:t>
              </w:r>
            </w:hyperlink>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Section 906 certifications.</w:t>
            </w:r>
          </w:p>
        </w:tc>
      </w:tr>
      <w:tr>
        <w:trPr>
          <w:trHeight w:val="216"/>
        </w:trPr>
        <w:tc>
          <w:tcPr>
            <w:tcW w:w="1580" w:type="dxa"/>
            <w:vAlign w:val="bottom"/>
          </w:tcPr>
          <w:p>
            <w:pPr>
              <w:spacing w:after="0"/>
              <w:rPr>
                <w:sz w:val="18"/>
                <w:szCs w:val="18"/>
                <w:color w:val="auto"/>
              </w:rPr>
            </w:pPr>
          </w:p>
        </w:tc>
        <w:tc>
          <w:tcPr>
            <w:tcW w:w="9640" w:type="dxa"/>
            <w:vAlign w:val="bottom"/>
          </w:tcPr>
          <w:p>
            <w:pPr>
              <w:spacing w:after="0"/>
              <w:rPr>
                <w:sz w:val="18"/>
                <w:szCs w:val="18"/>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21.1</w:t>
            </w: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List of Subsidiaries (incorporated by reference to Item 4 of Form 20-F filed herewith).</w:t>
            </w:r>
          </w:p>
        </w:tc>
      </w:tr>
      <w:tr>
        <w:trPr>
          <w:trHeight w:val="216"/>
        </w:trPr>
        <w:tc>
          <w:tcPr>
            <w:tcW w:w="1580" w:type="dxa"/>
            <w:vAlign w:val="bottom"/>
          </w:tcPr>
          <w:p>
            <w:pPr>
              <w:spacing w:after="0"/>
              <w:rPr>
                <w:sz w:val="18"/>
                <w:szCs w:val="18"/>
                <w:color w:val="auto"/>
              </w:rPr>
            </w:pPr>
          </w:p>
        </w:tc>
        <w:tc>
          <w:tcPr>
            <w:tcW w:w="9640" w:type="dxa"/>
            <w:vAlign w:val="bottom"/>
          </w:tcPr>
          <w:p>
            <w:pPr>
              <w:spacing w:after="0"/>
              <w:rPr>
                <w:sz w:val="18"/>
                <w:szCs w:val="18"/>
                <w:color w:val="auto"/>
              </w:rPr>
            </w:pPr>
          </w:p>
        </w:tc>
      </w:tr>
      <w:tr>
        <w:trPr>
          <w:trHeight w:val="216"/>
        </w:trPr>
        <w:tc>
          <w:tcPr>
            <w:tcW w:w="1580" w:type="dxa"/>
            <w:vAlign w:val="bottom"/>
            <w:shd w:val="clear" w:color="auto" w:fill="CCEEFF"/>
          </w:tcPr>
          <w:p>
            <w:pPr>
              <w:ind w:left="20"/>
              <w:spacing w:after="0"/>
              <w:rPr>
                <w:rFonts w:ascii="Arial" w:cs="Arial" w:eastAsia="Arial" w:hAnsi="Arial"/>
                <w:sz w:val="16"/>
                <w:szCs w:val="16"/>
                <w:u w:val="single" w:color="auto"/>
                <w:color w:val="0000FF"/>
              </w:rPr>
            </w:pPr>
            <w:hyperlink w:anchor="page159">
              <w:r>
                <w:rPr>
                  <w:rFonts w:ascii="Arial" w:cs="Arial" w:eastAsia="Arial" w:hAnsi="Arial"/>
                  <w:sz w:val="16"/>
                  <w:szCs w:val="16"/>
                  <w:u w:val="single" w:color="auto"/>
                  <w:color w:val="0000FF"/>
                </w:rPr>
                <w:t>23.1*</w:t>
              </w:r>
            </w:hyperlink>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Consent of KPMG, Independent Registered Public Accounting Firm.</w:t>
            </w:r>
          </w:p>
        </w:tc>
      </w:tr>
      <w:tr>
        <w:trPr>
          <w:trHeight w:val="270"/>
        </w:trPr>
        <w:tc>
          <w:tcPr>
            <w:tcW w:w="1580" w:type="dxa"/>
            <w:vAlign w:val="bottom"/>
          </w:tcPr>
          <w:p>
            <w:pPr>
              <w:spacing w:after="0"/>
              <w:rPr>
                <w:sz w:val="23"/>
                <w:szCs w:val="23"/>
                <w:color w:val="auto"/>
              </w:rPr>
            </w:pPr>
          </w:p>
        </w:tc>
        <w:tc>
          <w:tcPr>
            <w:tcW w:w="9640" w:type="dxa"/>
            <w:vAlign w:val="bottom"/>
          </w:tcPr>
          <w:p>
            <w:pPr>
              <w:spacing w:after="0"/>
              <w:rPr>
                <w:sz w:val="23"/>
                <w:szCs w:val="23"/>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101.1*</w:t>
            </w:r>
          </w:p>
        </w:tc>
        <w:tc>
          <w:tcPr>
            <w:tcW w:w="9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Interactive Data Files (XBRL – Related Documents).</w:t>
            </w:r>
          </w:p>
        </w:tc>
      </w:tr>
      <w:tr>
        <w:trPr>
          <w:trHeight w:val="521"/>
        </w:trPr>
        <w:tc>
          <w:tcPr>
            <w:tcW w:w="1580" w:type="dxa"/>
            <w:vAlign w:val="bottom"/>
          </w:tcPr>
          <w:p>
            <w:pPr>
              <w:spacing w:after="0"/>
              <w:rPr>
                <w:sz w:val="20"/>
                <w:szCs w:val="20"/>
                <w:color w:val="auto"/>
              </w:rPr>
            </w:pPr>
            <w:r>
              <w:rPr>
                <w:rFonts w:ascii="Arial" w:cs="Arial" w:eastAsia="Arial" w:hAnsi="Arial"/>
                <w:sz w:val="16"/>
                <w:szCs w:val="16"/>
                <w:color w:val="auto"/>
              </w:rPr>
              <w:t>*  Filed herewith</w:t>
            </w:r>
          </w:p>
        </w:tc>
        <w:tc>
          <w:tcPr>
            <w:tcW w:w="9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Securities Exchange Act of 1934.</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Management assessed the effectiveness of the Company's </w:t>
      </w:r>
      <w:r>
        <w:rPr>
          <w:rFonts w:ascii="Arial" w:cs="Arial" w:eastAsia="Arial" w:hAnsi="Arial"/>
          <w:sz w:val="16"/>
          <w:szCs w:val="16"/>
          <w:i w:val="1"/>
          <w:iCs w:val="1"/>
          <w:color w:val="auto"/>
        </w:rPr>
        <w:t>internal control over financial reporting</w:t>
      </w:r>
      <w:r>
        <w:rPr>
          <w:rFonts w:ascii="Arial" w:cs="Arial" w:eastAsia="Arial" w:hAnsi="Arial"/>
          <w:sz w:val="16"/>
          <w:szCs w:val="16"/>
          <w:color w:val="auto"/>
        </w:rPr>
        <w:t xml:space="preserve"> as of December 31, 2020.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2013</w:t>
      </w:r>
      <w:r>
        <w:rPr>
          <w:rFonts w:ascii="Arial" w:cs="Arial" w:eastAsia="Arial" w:hAnsi="Arial"/>
          <w:sz w:val="16"/>
          <w:szCs w:val="16"/>
          <w:color w:val="auto"/>
        </w:rPr>
        <w:t>. Based upon the assessment performed, we determined that, as of December 31, 2020 the Company's internal control over financial reporting was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There have been no changes in the Company's internal control over financial reporting during 2020 that have materially affected, or are reasonably likely to affect materially, the Group's internal control over financial reporting.</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KPMG, an independent registered public accounting firm, has audited the consolidated financial statements of ICON plc and subsidiaries as of and for the year ended December 31, 2020, included herein, and has issued an audit report on the effectiveness of our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4" w:name="page95"/>
    <w:bookmarkEnd w:id="94"/>
    <w:p>
      <w:pPr>
        <w:ind w:left="29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Consolidated Financial Statements</w:t>
      </w:r>
    </w:p>
    <w:p>
      <w:pPr>
        <w:spacing w:after="0" w:line="12" w:lineRule="exact"/>
        <w:rPr>
          <w:sz w:val="20"/>
          <w:szCs w:val="20"/>
          <w:color w:val="auto"/>
        </w:rPr>
      </w:pPr>
    </w:p>
    <w:p>
      <w:pPr>
        <w:jc w:val="both"/>
        <w:spacing w:after="0" w:line="179" w:lineRule="exact"/>
        <w:rPr>
          <w:sz w:val="20"/>
          <w:szCs w:val="20"/>
          <w:color w:val="auto"/>
        </w:rPr>
      </w:pPr>
      <w:r>
        <w:rPr>
          <w:rFonts w:ascii="Arial" w:cs="Arial" w:eastAsia="Arial" w:hAnsi="Arial"/>
          <w:sz w:val="16"/>
          <w:szCs w:val="16"/>
          <w:color w:val="auto"/>
        </w:rPr>
        <w:t>We have audited the accompanying consolidated balance sheets of ICON plc and subsidiaries (“the Company”) as of December 31, 2020 and 2019, the related consolidated statements of operations, comprehensive income, shareholders’ equity and comprehensive income,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224"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2020, based on criteria established in Internal Control – Integrated Framework (2013) issued by the Committee of Sponsoring Organizations of the Treadway Commission, and our report dated February 24, 2021 expressed an unqualified opinion on the effectiveness of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well as evaluating the overall presentation of the consolidated financial statements. We believe that our audits provide a reasonable basis for our opinion</w:t>
      </w:r>
      <w:r>
        <w:rPr>
          <w:rFonts w:ascii="Arial" w:cs="Arial" w:eastAsia="Arial" w:hAnsi="Arial"/>
          <w:sz w:val="17"/>
          <w:szCs w:val="17"/>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Revenue recognition for clinical trial service contracts</w:t>
      </w:r>
    </w:p>
    <w:p>
      <w:pPr>
        <w:spacing w:after="0" w:line="251" w:lineRule="exact"/>
        <w:rPr>
          <w:sz w:val="20"/>
          <w:szCs w:val="20"/>
          <w:color w:val="auto"/>
        </w:rPr>
      </w:pPr>
    </w:p>
    <w:p>
      <w:pPr>
        <w:jc w:val="both"/>
        <w:ind w:left="660"/>
        <w:spacing w:after="0" w:line="230" w:lineRule="auto"/>
        <w:rPr>
          <w:sz w:val="20"/>
          <w:szCs w:val="20"/>
          <w:color w:val="auto"/>
        </w:rPr>
      </w:pPr>
      <w:r>
        <w:rPr>
          <w:rFonts w:ascii="Arial" w:cs="Arial" w:eastAsia="Arial" w:hAnsi="Arial"/>
          <w:sz w:val="16"/>
          <w:szCs w:val="16"/>
          <w:color w:val="auto"/>
        </w:rPr>
        <w:t>As discussed in Note 16 to the consolidated financial statements, the Company recognized revenue of US$2,797.3 million for the year ended 31 December 2020, a significant portion of which relates to clinical trial service revenue. As discussed in Note 2 to the consolidated financial statements, clinical trial service revenue is recognized over time, using an input measure, being total project costs (inclusive of third party costs) incurred to date relative to total forecast project costs, to measure progress towards satisfying the Company’s performance obligation. The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 price is based on the contract or latest change order value, adjusted to reflect the estimated realizable contract value</w:t>
      </w:r>
      <w:r>
        <w:rPr>
          <w:rFonts w:ascii="Arial" w:cs="Arial" w:eastAsia="Arial" w:hAnsi="Arial"/>
          <w:sz w:val="21"/>
          <w:szCs w:val="21"/>
          <w:color w:val="auto"/>
        </w:rPr>
        <w:t>.</w:t>
      </w:r>
    </w:p>
    <w:p>
      <w:pPr>
        <w:spacing w:after="0" w:line="239" w:lineRule="exact"/>
        <w:rPr>
          <w:sz w:val="20"/>
          <w:szCs w:val="20"/>
          <w:color w:val="auto"/>
        </w:rPr>
      </w:pPr>
    </w:p>
    <w:p>
      <w:pPr>
        <w:jc w:val="both"/>
        <w:ind w:left="660"/>
        <w:spacing w:after="0" w:line="242" w:lineRule="auto"/>
        <w:rPr>
          <w:sz w:val="20"/>
          <w:szCs w:val="20"/>
          <w:color w:val="auto"/>
        </w:rPr>
      </w:pPr>
      <w:r>
        <w:rPr>
          <w:rFonts w:ascii="Arial" w:cs="Arial" w:eastAsia="Arial" w:hAnsi="Arial"/>
          <w:sz w:val="16"/>
          <w:szCs w:val="16"/>
          <w:color w:val="auto"/>
        </w:rPr>
        <w:t>We identified revenue recognition for clinical trial services contracts as a critical audit matter. Complex and subjective auditor judgment was required to evaluate the Company’s estimate of total forecast project costs and realizable contract values.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are the primary procedures we performed to address this critical audit matter:</w:t>
      </w:r>
    </w:p>
    <w:p>
      <w:pPr>
        <w:spacing w:after="0" w:line="235" w:lineRule="exact"/>
        <w:rPr>
          <w:sz w:val="20"/>
          <w:szCs w:val="20"/>
          <w:color w:val="auto"/>
        </w:rPr>
      </w:pPr>
    </w:p>
    <w:p>
      <w:pPr>
        <w:jc w:val="both"/>
        <w:ind w:left="660" w:right="20"/>
        <w:spacing w:after="0" w:line="242" w:lineRule="auto"/>
        <w:rPr>
          <w:sz w:val="20"/>
          <w:szCs w:val="20"/>
          <w:color w:val="auto"/>
        </w:rPr>
      </w:pPr>
      <w:r>
        <w:rPr>
          <w:rFonts w:ascii="Arial" w:cs="Arial" w:eastAsia="Arial" w:hAnsi="Arial"/>
          <w:sz w:val="16"/>
          <w:szCs w:val="16"/>
          <w:color w:val="auto"/>
        </w:rPr>
        <w:t>We evaluated the design and tested the operating effectiveness of certain internal controls related to the revenue process, including controls over total forecast project costs and estimated realizable contract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6"/>
          <w:szCs w:val="16"/>
          <w:b w:val="1"/>
          <w:bCs w:val="1"/>
          <w:color w:val="auto"/>
        </w:rPr>
        <w:t>Basis for Opinion (continued)</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Critical Audit Matter (continued)</w:t>
      </w: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tested the total forecast project costs and the realizable contract values for a sample of clinical trial service contracts, by evaluating:</w:t>
      </w:r>
    </w:p>
    <w:p>
      <w:pPr>
        <w:ind w:left="1300" w:right="20" w:hanging="324"/>
        <w:spacing w:after="0" w:line="228" w:lineRule="auto"/>
        <w:rPr>
          <w:sz w:val="20"/>
          <w:szCs w:val="20"/>
          <w:color w:val="auto"/>
        </w:rPr>
      </w:pPr>
      <w:r>
        <w:rPr>
          <w:rFonts w:ascii="Arial" w:cs="Arial" w:eastAsia="Arial" w:hAnsi="Arial"/>
          <w:sz w:val="16"/>
          <w:szCs w:val="16"/>
          <w:color w:val="auto"/>
        </w:rPr>
        <w:t>– Direct costs incurred, both during the year and cumulative over the life of the contracts. We tested the accuracy and completeness of the direct costs by agreeing to source data</w:t>
      </w:r>
    </w:p>
    <w:p>
      <w:pPr>
        <w:spacing w:after="0" w:line="1" w:lineRule="exact"/>
        <w:rPr>
          <w:sz w:val="20"/>
          <w:szCs w:val="20"/>
          <w:color w:val="auto"/>
        </w:rPr>
      </w:pPr>
    </w:p>
    <w:p>
      <w:pPr>
        <w:ind w:left="1300" w:hanging="324"/>
        <w:spacing w:after="0" w:line="228" w:lineRule="auto"/>
        <w:rPr>
          <w:sz w:val="20"/>
          <w:szCs w:val="20"/>
          <w:color w:val="auto"/>
        </w:rPr>
      </w:pPr>
      <w:r>
        <w:rPr>
          <w:rFonts w:ascii="Arial" w:cs="Arial" w:eastAsia="Arial" w:hAnsi="Arial"/>
          <w:sz w:val="16"/>
          <w:szCs w:val="16"/>
          <w:color w:val="auto"/>
        </w:rPr>
        <w:t>– Third-party costs incurred, both during the year and cumulative over the life of the contracts. We tested the accuracy and completeness of the third-party costs incurred by agreeing to invoices received</w:t>
      </w:r>
    </w:p>
    <w:p>
      <w:pPr>
        <w:spacing w:after="0" w:line="1" w:lineRule="exact"/>
        <w:rPr>
          <w:sz w:val="20"/>
          <w:szCs w:val="20"/>
          <w:color w:val="auto"/>
        </w:rPr>
      </w:pPr>
    </w:p>
    <w:p>
      <w:pPr>
        <w:ind w:left="1300" w:hanging="324"/>
        <w:spacing w:after="0" w:line="228" w:lineRule="auto"/>
        <w:rPr>
          <w:sz w:val="20"/>
          <w:szCs w:val="20"/>
          <w:color w:val="auto"/>
        </w:rPr>
      </w:pPr>
      <w:r>
        <w:rPr>
          <w:rFonts w:ascii="Arial" w:cs="Arial" w:eastAsia="Arial" w:hAnsi="Arial"/>
          <w:sz w:val="16"/>
          <w:szCs w:val="16"/>
          <w:color w:val="auto"/>
        </w:rPr>
        <w:t>– Findings from interviews with operational personnel of the Company to assess progress to date, the estimate of remaining costs to be incurred and factors impacting the amount of time and costs to complete the sampled contracts, including an understanding of the nature and complexity of the work to be performed</w:t>
      </w:r>
    </w:p>
    <w:p>
      <w:pPr>
        <w:spacing w:after="0" w:line="2" w:lineRule="exact"/>
        <w:rPr>
          <w:sz w:val="20"/>
          <w:szCs w:val="20"/>
          <w:color w:val="auto"/>
        </w:rPr>
      </w:pPr>
    </w:p>
    <w:p>
      <w:pPr>
        <w:ind w:left="1300" w:hanging="324"/>
        <w:spacing w:after="0" w:line="241" w:lineRule="auto"/>
        <w:rPr>
          <w:sz w:val="20"/>
          <w:szCs w:val="20"/>
          <w:color w:val="auto"/>
        </w:rPr>
      </w:pPr>
      <w:r>
        <w:rPr>
          <w:rFonts w:ascii="Arial" w:cs="Arial" w:eastAsia="Arial" w:hAnsi="Arial"/>
          <w:sz w:val="16"/>
          <w:szCs w:val="16"/>
          <w:color w:val="auto"/>
        </w:rPr>
        <w:t>– Correspondence of amendments to the scope or contract value, if any, between the Company and the customer for the sampled contracts as part of our evaluation of contract progress</w:t>
      </w:r>
    </w:p>
    <w:p>
      <w:pPr>
        <w:ind w:left="980"/>
        <w:spacing w:after="0" w:line="212" w:lineRule="auto"/>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Changes to estimated costs, including the amount and timing of the changes and</w:t>
      </w:r>
    </w:p>
    <w:p>
      <w:pPr>
        <w:ind w:left="1300" w:hanging="324"/>
        <w:spacing w:after="0" w:line="237" w:lineRule="auto"/>
        <w:rPr>
          <w:sz w:val="20"/>
          <w:szCs w:val="20"/>
          <w:color w:val="auto"/>
        </w:rPr>
      </w:pPr>
      <w:r>
        <w:rPr>
          <w:rFonts w:ascii="Arial" w:cs="Arial" w:eastAsia="Arial" w:hAnsi="Arial"/>
          <w:sz w:val="16"/>
          <w:szCs w:val="16"/>
          <w:color w:val="auto"/>
        </w:rPr>
        <w:t>– The reasonableness of the Company’s adjustments from total contract value to arrive at realizable contract value. We confirmed total contract value with customers and compared the assumptions used to derive the adjustments from total contract value to realizable contract value to underlying records.</w:t>
      </w:r>
    </w:p>
    <w:p>
      <w:pPr>
        <w:spacing w:after="0" w:line="224" w:lineRule="exact"/>
        <w:rPr>
          <w:sz w:val="20"/>
          <w:szCs w:val="20"/>
          <w:color w:val="auto"/>
        </w:rPr>
      </w:pPr>
    </w:p>
    <w:p>
      <w:pPr>
        <w:ind w:left="660"/>
        <w:spacing w:after="0" w:line="242" w:lineRule="auto"/>
        <w:rPr>
          <w:sz w:val="20"/>
          <w:szCs w:val="20"/>
          <w:color w:val="auto"/>
        </w:rPr>
      </w:pPr>
      <w:r>
        <w:rPr>
          <w:rFonts w:ascii="Arial" w:cs="Arial" w:eastAsia="Arial" w:hAnsi="Arial"/>
          <w:sz w:val="16"/>
          <w:szCs w:val="16"/>
          <w:color w:val="auto"/>
        </w:rPr>
        <w:t>We also evaluated the Company’s methods, assumptions and data used to accurately estimate total forecast project costs and realizable contract values, by comparing historical estimates developed at contract inception to actual results for certain contracts.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ectPr>
          <w:pgSz w:w="11900" w:h="16838" w:orient="portrait"/>
          <w:cols w:equalWidth="0" w:num="1">
            <w:col w:w="11240"/>
          </w:cols>
          <w:pgMar w:left="320" w:top="877" w:right="339" w:bottom="4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491" w:gutter="0" w:footer="0" w:header="0"/>
          <w:type w:val="continuous"/>
        </w:sectPr>
      </w:pPr>
    </w:p>
    <w:bookmarkStart w:id="96" w:name="page97"/>
    <w:bookmarkEnd w:id="96"/>
    <w:p>
      <w:pPr>
        <w:ind w:left="29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We have audited ICON plc and subsidiaries’ (“the Company”) internal control over financial reporting as of December 31, 2020, based on criteria established in Internal Control – Integrated Framework (2013) issued by the Committee of Sponsoring Organizations of the Treadway Commission. In our opinion, the</w:t>
      </w:r>
    </w:p>
    <w:p>
      <w:pPr>
        <w:spacing w:after="0" w:line="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Company maintained, in all material respects, effective internal control over financial reporting as of December 31, 2020, based on criteria established in Internal Control – Integrated Framework (2013) issued by the Committee of Sponsoring Organizations of the Treadway Commission.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w:t>
      </w:r>
    </w:p>
    <w:p>
      <w:pPr>
        <w:spacing w:after="0" w:line="19" w:lineRule="exact"/>
        <w:rPr>
          <w:sz w:val="20"/>
          <w:szCs w:val="20"/>
          <w:color w:val="auto"/>
        </w:rPr>
      </w:pPr>
    </w:p>
    <w:p>
      <w:pPr>
        <w:jc w:val="both"/>
        <w:spacing w:after="0"/>
        <w:rPr>
          <w:sz w:val="20"/>
          <w:szCs w:val="20"/>
          <w:color w:val="auto"/>
        </w:rPr>
      </w:pPr>
      <w:r>
        <w:rPr>
          <w:rFonts w:ascii="Arial" w:cs="Arial" w:eastAsia="Arial" w:hAnsi="Arial"/>
          <w:sz w:val="16"/>
          <w:szCs w:val="16"/>
          <w:color w:val="auto"/>
        </w:rPr>
        <w:t>balance sheets of the Company as of December 31, 2020 and 2019, the related consolidated statements of operations, comprehensive income, shareholders’ equity and comprehensive income, and cash flows for each of the years in the three-year period ended December 31, 2020, and the related notes (collectively, the “consolidated financial statements”), and our report dated February 24, 2021 expressed an unqualified opinion on those consolidated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9"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15"/>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980" w:type="dxa"/>
            <w:vAlign w:val="bottom"/>
          </w:tcPr>
          <w:p>
            <w:pPr>
              <w:spacing w:after="0"/>
              <w:rPr>
                <w:sz w:val="18"/>
                <w:szCs w:val="18"/>
                <w:color w:val="auto"/>
              </w:rPr>
            </w:pPr>
          </w:p>
        </w:tc>
        <w:tc>
          <w:tcPr>
            <w:tcW w:w="3640" w:type="dxa"/>
            <w:vAlign w:val="bottom"/>
            <w:gridSpan w:val="3"/>
          </w:tcPr>
          <w:p>
            <w:pPr>
              <w:jc w:val="right"/>
              <w:ind w:right="13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840,305</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520,309</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(Note 3a)</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49,628</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Accounts receivable, net (Note 17)</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715,271</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527,708</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 (Note 17)</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428,684</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422,769</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35,394</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39,290</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53,477</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41,517</w:t>
            </w:r>
          </w:p>
        </w:tc>
      </w:tr>
      <w:tr>
        <w:trPr>
          <w:trHeight w:val="22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taxes receivable (Note 13)</w:t>
            </w:r>
          </w:p>
        </w:tc>
        <w:tc>
          <w:tcPr>
            <w:tcW w:w="9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28,118</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23,759</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2,102,978</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1,624,980</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 (Note 6)</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174,343</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165,087</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Goodwill (Note 4)</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936,257</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883,170</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right-of-use assets (Note 22)</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84,561</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104,977</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Other non-current assets</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20,773</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17,439</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income taxes receivable (Note 13)</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17,230</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17,230</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Non-current deferred tax asset (Note 13)</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12,705</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16,682</w:t>
            </w:r>
          </w:p>
        </w:tc>
      </w:tr>
      <w:tr>
        <w:trPr>
          <w:trHeight w:val="233"/>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method investments (Note 3c)</w:t>
            </w:r>
          </w:p>
        </w:tc>
        <w:tc>
          <w:tcPr>
            <w:tcW w:w="9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Investments in equity-long term (Note 3b)</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15,765</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10,053</w:t>
            </w:r>
          </w:p>
        </w:tc>
      </w:tr>
      <w:tr>
        <w:trPr>
          <w:trHeight w:val="226"/>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Intangible assets (Note 5)</w:t>
            </w:r>
          </w:p>
        </w:tc>
        <w:tc>
          <w:tcPr>
            <w:tcW w:w="9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66,460</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67,894</w:t>
            </w:r>
          </w:p>
        </w:tc>
      </w:tr>
      <w:tr>
        <w:trPr>
          <w:trHeight w:val="21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2,907,512</w:t>
            </w: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3"/>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24,050</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Unearned revenue (Note 17)</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660,883</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366,988</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(Note 7)</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399,769</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378,543</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Income taxes payable (Note 13)</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12,178</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12,031</w:t>
            </w:r>
          </w:p>
        </w:tc>
      </w:tr>
      <w:tr>
        <w:trPr>
          <w:trHeight w:val="216"/>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bank credit lines and loan facilities (Note 23)</w:t>
            </w:r>
          </w:p>
        </w:tc>
        <w:tc>
          <w:tcPr>
            <w:tcW w:w="9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349,640</w:t>
            </w:r>
          </w:p>
        </w:tc>
      </w:tr>
      <w:tr>
        <w:trPr>
          <w:trHeight w:val="210"/>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1,123,943</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1,131,252</w:t>
            </w:r>
          </w:p>
        </w:tc>
      </w:tr>
      <w:tr>
        <w:trPr>
          <w:trHeight w:val="213"/>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Non-current bank credit lines and loan facilities (Note 23)</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348,477</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 (Note 22)</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60,801</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76,593</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Non-current other liabilities (Note 8)</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26,366</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17,512</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government grants (Note 11)</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Non-current income taxes payable (Note 13)</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14,539</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14,301</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liability (Note 13)</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9,476</w:t>
            </w:r>
          </w:p>
        </w:tc>
      </w:tr>
      <w:tr>
        <w:trPr>
          <w:trHeight w:val="22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Commitments and contingencies (Note 15)</w:t>
            </w:r>
          </w:p>
        </w:tc>
        <w:tc>
          <w:tcPr>
            <w:tcW w:w="9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9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1,585,370</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1,249,947</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80"/>
        </w:trPr>
        <w:tc>
          <w:tcPr>
            <w:tcW w:w="65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Ordinary shares par value 6 euro cents per share;</w:t>
            </w:r>
          </w:p>
        </w:tc>
        <w:tc>
          <w:tcPr>
            <w:tcW w:w="9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0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100,000,000 shares authorized, (Note 12)</w:t>
            </w:r>
          </w:p>
        </w:tc>
        <w:tc>
          <w:tcPr>
            <w:tcW w:w="9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77"/>
        </w:trPr>
        <w:tc>
          <w:tcPr>
            <w:tcW w:w="6580" w:type="dxa"/>
            <w:vAlign w:val="bottom"/>
          </w:tcPr>
          <w:p>
            <w:pPr>
              <w:ind w:left="20"/>
              <w:spacing w:after="0" w:line="178" w:lineRule="exact"/>
              <w:rPr>
                <w:sz w:val="20"/>
                <w:szCs w:val="20"/>
                <w:color w:val="auto"/>
              </w:rPr>
            </w:pPr>
            <w:r>
              <w:rPr>
                <w:rFonts w:ascii="Arial" w:cs="Arial" w:eastAsia="Arial" w:hAnsi="Arial"/>
                <w:sz w:val="16"/>
                <w:szCs w:val="16"/>
                <w:color w:val="auto"/>
              </w:rPr>
              <w:t>52,788,093 shares issued and outstanding at December 31, 2020 and</w:t>
            </w:r>
          </w:p>
        </w:tc>
        <w:tc>
          <w:tcPr>
            <w:tcW w:w="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8"/>
        </w:trPr>
        <w:tc>
          <w:tcPr>
            <w:tcW w:w="6580" w:type="dxa"/>
            <w:vAlign w:val="bottom"/>
          </w:tcPr>
          <w:p>
            <w:pPr>
              <w:ind w:left="20"/>
              <w:spacing w:after="0"/>
              <w:rPr>
                <w:sz w:val="20"/>
                <w:szCs w:val="20"/>
                <w:color w:val="auto"/>
              </w:rPr>
            </w:pPr>
            <w:r>
              <w:rPr>
                <w:rFonts w:ascii="Arial" w:cs="Arial" w:eastAsia="Arial" w:hAnsi="Arial"/>
                <w:sz w:val="16"/>
                <w:szCs w:val="16"/>
                <w:color w:val="auto"/>
              </w:rPr>
              <w:t>53,622,206 shares issued and outstanding at December 31, 2019.</w:t>
            </w:r>
          </w:p>
        </w:tc>
        <w:tc>
          <w:tcPr>
            <w:tcW w:w="9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4,580</w:t>
            </w: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4,635</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617,104</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577,961</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Other undenominated capital (Note 12 (a))</w:t>
            </w:r>
          </w:p>
        </w:tc>
        <w:tc>
          <w:tcPr>
            <w:tcW w:w="9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1,134</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1,052</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 (Note 21)</w:t>
            </w:r>
          </w:p>
        </w:tc>
        <w:tc>
          <w:tcPr>
            <w:tcW w:w="9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(35,477)</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(75,819)</w:t>
            </w:r>
          </w:p>
        </w:tc>
      </w:tr>
      <w:tr>
        <w:trPr>
          <w:trHeight w:val="21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Retained earnings</w:t>
            </w:r>
          </w:p>
        </w:tc>
        <w:tc>
          <w:tcPr>
            <w:tcW w:w="9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1,110,226</w:t>
            </w:r>
          </w:p>
        </w:tc>
      </w:tr>
      <w:tr>
        <w:trPr>
          <w:trHeight w:val="213"/>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Equity</w:t>
            </w: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1,850,236</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1,618,055</w:t>
            </w:r>
          </w:p>
        </w:tc>
      </w:tr>
      <w:tr>
        <w:trPr>
          <w:trHeight w:val="22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Redeemable noncontrolling interest</w:t>
            </w:r>
          </w:p>
        </w:tc>
        <w:tc>
          <w:tcPr>
            <w:tcW w:w="9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39,510</w:t>
            </w:r>
          </w:p>
        </w:tc>
      </w:tr>
      <w:tr>
        <w:trPr>
          <w:trHeight w:val="223"/>
        </w:trPr>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Shareholders' Equity and Redeemable Noncontrolling Interest</w:t>
            </w:r>
          </w:p>
        </w:tc>
        <w:tc>
          <w:tcPr>
            <w:tcW w:w="9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1,850,236</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1,657,565</w:t>
            </w:r>
          </w:p>
        </w:tc>
      </w:tr>
      <w:tr>
        <w:trPr>
          <w:trHeight w:val="22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Shareholders’ Equity and Redeemable Noncontrolling Interest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2,907,512</w:t>
            </w:r>
          </w:p>
        </w:tc>
      </w:tr>
    </w:tbl>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00"/>
          </w:cols>
          <w:pgMar w:left="320" w:top="1134" w:right="37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type w:val="continuous"/>
        </w:sectPr>
      </w:pPr>
    </w:p>
    <w:bookmarkStart w:id="98" w:name="page99"/>
    <w:bookmarkEnd w:id="98"/>
    <w:p>
      <w:pPr>
        <w:jc w:val="center"/>
        <w:ind w:right="-3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9"/>
              </w:rPr>
              <w:t>Year Ended</w:t>
            </w:r>
          </w:p>
        </w:tc>
        <w:tc>
          <w:tcPr>
            <w:tcW w:w="4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5"/>
        </w:trPr>
        <w:tc>
          <w:tcPr>
            <w:tcW w:w="60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9"/>
        </w:trPr>
        <w:tc>
          <w:tcPr>
            <w:tcW w:w="6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720" w:type="dxa"/>
            <w:vAlign w:val="bottom"/>
            <w:gridSpan w:val="5"/>
            <w:shd w:val="clear" w:color="auto" w:fill="CCEEFF"/>
          </w:tcPr>
          <w:p>
            <w:pPr>
              <w:jc w:val="center"/>
              <w:ind w:right="359"/>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2,797,288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2,805,839</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2,595,777</w:t>
            </w:r>
          </w:p>
        </w:tc>
      </w:tr>
      <w:tr>
        <w:trPr>
          <w:trHeight w:val="259"/>
        </w:trPr>
        <w:tc>
          <w:tcPr>
            <w:tcW w:w="60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375"/>
        </w:trPr>
        <w:tc>
          <w:tcPr>
            <w:tcW w:w="60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1,979,883</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1,974,135</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1,818,220</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341,690</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336,748</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325,794</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66,126</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61,550</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65,916</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(Note 14)</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18,089</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12,490</w:t>
            </w:r>
          </w:p>
        </w:tc>
      </w:tr>
      <w:tr>
        <w:trPr>
          <w:trHeight w:val="223"/>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costs and expenses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2,405,788</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2,372,433</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2,222,420</w:t>
            </w:r>
          </w:p>
        </w:tc>
      </w:tr>
      <w:tr>
        <w:trPr>
          <w:trHeight w:val="243"/>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391,500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433,406</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373,357</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2,724</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6,859</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4,759</w:t>
            </w: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(13,019)</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(13,276)</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(13,502)</w:t>
            </w:r>
          </w:p>
        </w:tc>
      </w:tr>
      <w:tr>
        <w:trPr>
          <w:trHeight w:val="243"/>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 expense</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381,205</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426,989</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364,614</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(Note 13)</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(47,875)</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(51,133)</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(41,958)</w:t>
            </w: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Income before share of earnings from equity method investments</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333,330</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375,856</w:t>
            </w: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322,656</w:t>
            </w:r>
          </w:p>
        </w:tc>
      </w:tr>
      <w:tr>
        <w:trPr>
          <w:trHeight w:val="22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of equity method investments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332,964</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375,856</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322,656</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332,331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373,986</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322,656</w:t>
            </w:r>
          </w:p>
        </w:tc>
      </w:tr>
      <w:tr>
        <w:trPr>
          <w:trHeight w:val="243"/>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 attributable to the Group (Note 26):</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6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7"/>
        </w:trPr>
        <w:tc>
          <w:tcPr>
            <w:tcW w:w="6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Weighted average number of ordinary shares outstanding:</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1"/>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Basic (Note 2 (w))</w:t>
            </w: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52,859,911</w:t>
            </w: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53,859,537</w:t>
            </w:r>
          </w:p>
        </w:tc>
        <w:tc>
          <w:tcPr>
            <w:tcW w:w="4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54,118,764</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(Note 2 (w))</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53,283,585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54,333,461</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54,790,663</w:t>
            </w:r>
          </w:p>
        </w:tc>
      </w:tr>
      <w:tr>
        <w:trPr>
          <w:trHeight w:val="23"/>
        </w:trPr>
        <w:tc>
          <w:tcPr>
            <w:tcW w:w="6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ind w:right="38"/>
              <w:spacing w:after="0"/>
              <w:rPr>
                <w:sz w:val="20"/>
                <w:szCs w:val="20"/>
                <w:color w:val="auto"/>
              </w:rPr>
            </w:pPr>
            <w:r>
              <w:rPr>
                <w:rFonts w:ascii="Arial" w:cs="Arial" w:eastAsia="Arial" w:hAnsi="Arial"/>
                <w:sz w:val="16"/>
                <w:szCs w:val="16"/>
                <w:b w:val="1"/>
                <w:bCs w:val="1"/>
                <w:color w:val="auto"/>
                <w:w w:val="99"/>
              </w:rPr>
              <w:t>Year Ended</w:t>
            </w:r>
          </w:p>
        </w:tc>
        <w:tc>
          <w:tcPr>
            <w:tcW w:w="4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15"/>
        </w:trPr>
        <w:tc>
          <w:tcPr>
            <w:tcW w:w="69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58"/>
              <w:spacing w:after="0"/>
              <w:rPr>
                <w:sz w:val="20"/>
                <w:szCs w:val="20"/>
                <w:color w:val="auto"/>
              </w:rPr>
            </w:pPr>
            <w:r>
              <w:rPr>
                <w:rFonts w:ascii="Arial" w:cs="Arial" w:eastAsia="Arial" w:hAnsi="Arial"/>
                <w:sz w:val="16"/>
                <w:szCs w:val="16"/>
                <w:b w:val="1"/>
                <w:bCs w:val="1"/>
                <w:color w:val="auto"/>
              </w:rPr>
              <w:t>December 31,</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r>
      <w:tr>
        <w:trPr>
          <w:trHeight w:val="210"/>
        </w:trPr>
        <w:tc>
          <w:tcPr>
            <w:tcW w:w="6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8"/>
              <w:spacing w:after="0"/>
              <w:rPr>
                <w:sz w:val="20"/>
                <w:szCs w:val="20"/>
                <w:color w:val="auto"/>
              </w:rPr>
            </w:pPr>
            <w:r>
              <w:rPr>
                <w:rFonts w:ascii="Arial" w:cs="Arial" w:eastAsia="Arial" w:hAnsi="Arial"/>
                <w:sz w:val="16"/>
                <w:szCs w:val="16"/>
                <w:b w:val="1"/>
                <w:bCs w:val="1"/>
                <w:color w:val="auto"/>
              </w:rPr>
              <w:t>(in thousands)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332,964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375,856</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322,656</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comprehensive income, net of tax</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48,129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(1,313)</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(26,522)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impact of long-term funding</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Unrealized capital (loss)/gain - investments</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681</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(loss)/gain on defined benefit pension plan</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Amortization of interest rate hedge</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(923)</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(923)</w:t>
            </w:r>
          </w:p>
        </w:tc>
      </w:tr>
      <w:tr>
        <w:trPr>
          <w:trHeight w:val="23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interest rate hedge</w:t>
            </w: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cash flow hedge</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373,306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369,365</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292,041</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comprehensive income attributable to redeemable noncontrolling interest</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attributable to the Group</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372,673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367,495</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292,041</w:t>
            </w: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rPr>
              <w:t>Group</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Accumulated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Redeemable</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160" w:type="dxa"/>
            <w:vAlign w:val="bottom"/>
            <w:shd w:val="clear" w:color="auto" w:fill="CCEEFF"/>
          </w:tcPr>
          <w:p>
            <w:pPr>
              <w:spacing w:after="0"/>
              <w:rPr>
                <w:sz w:val="14"/>
                <w:szCs w:val="14"/>
                <w:color w:val="auto"/>
              </w:rPr>
            </w:pPr>
          </w:p>
        </w:tc>
        <w:tc>
          <w:tcPr>
            <w:tcW w:w="324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1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Noncontrolling</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Income</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54,081,601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481,337</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742,800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Cumulative effect adjustment from</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adoption of ASC 606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(48,104)</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January 1, 2018</w:t>
            </w: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54,081,601</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4,664</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481,337</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(38,713)</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694,696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1,142,896</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322,656</w:t>
            </w:r>
          </w:p>
        </w:tc>
        <w:tc>
          <w:tcPr>
            <w:tcW w:w="920" w:type="dxa"/>
            <w:vAlign w:val="bottom"/>
          </w:tcPr>
          <w:p>
            <w:pPr>
              <w:jc w:val="right"/>
              <w:spacing w:after="0"/>
              <w:rPr>
                <w:sz w:val="20"/>
                <w:szCs w:val="20"/>
                <w:color w:val="auto"/>
              </w:rPr>
            </w:pPr>
            <w:r>
              <w:rPr>
                <w:rFonts w:ascii="Arial" w:cs="Arial" w:eastAsia="Arial" w:hAnsi="Arial"/>
                <w:sz w:val="16"/>
                <w:szCs w:val="16"/>
                <w:color w:val="auto"/>
              </w:rPr>
              <w:t>322,656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Currency impact of long-term funding</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(4,834)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(4,834)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capital loss - investments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040" w:type="dxa"/>
            <w:vAlign w:val="bottom"/>
          </w:tcPr>
          <w:p>
            <w:pPr>
              <w:ind w:left="20"/>
              <w:spacing w:after="0" w:line="178" w:lineRule="exact"/>
              <w:rPr>
                <w:sz w:val="20"/>
                <w:szCs w:val="20"/>
                <w:color w:val="auto"/>
              </w:rPr>
            </w:pPr>
            <w:r>
              <w:rPr>
                <w:rFonts w:ascii="Arial" w:cs="Arial" w:eastAsia="Arial" w:hAnsi="Arial"/>
                <w:sz w:val="16"/>
                <w:szCs w:val="16"/>
                <w:color w:val="auto"/>
              </w:rPr>
              <w:t>Actuarial gain on defined benefit pension</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rPr>
                <w:sz w:val="20"/>
                <w:szCs w:val="20"/>
                <w:color w:val="auto"/>
              </w:rPr>
            </w:pPr>
            <w:r>
              <w:rPr>
                <w:rFonts w:ascii="Arial" w:cs="Arial" w:eastAsia="Arial" w:hAnsi="Arial"/>
                <w:sz w:val="16"/>
                <w:szCs w:val="16"/>
                <w:color w:val="auto"/>
              </w:rPr>
              <w:t>plan</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2,855</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2,855</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Fair value of cash flow hedge</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292,041</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960" w:type="dxa"/>
            <w:vAlign w:val="bottom"/>
          </w:tcPr>
          <w:p>
            <w:pPr>
              <w:jc w:val="right"/>
              <w:spacing w:after="0"/>
              <w:rPr>
                <w:sz w:val="20"/>
                <w:szCs w:val="20"/>
                <w:color w:val="auto"/>
              </w:rPr>
            </w:pPr>
            <w:r>
              <w:rPr>
                <w:rFonts w:ascii="Arial" w:cs="Arial" w:eastAsia="Arial" w:hAnsi="Arial"/>
                <w:sz w:val="16"/>
                <w:szCs w:val="16"/>
                <w:color w:val="auto"/>
              </w:rPr>
              <w:t>408,699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16,777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16,806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Issue of restricted share units/</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share units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489,568</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Share based compensation expense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31,544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31,544</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issue costs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Repurchase of ordinary shares</w:t>
            </w:r>
          </w:p>
        </w:tc>
        <w:tc>
          <w:tcPr>
            <w:tcW w:w="960" w:type="dxa"/>
            <w:vAlign w:val="bottom"/>
          </w:tcPr>
          <w:p>
            <w:pPr>
              <w:ind w:left="100"/>
              <w:spacing w:after="0"/>
              <w:rPr>
                <w:sz w:val="20"/>
                <w:szCs w:val="20"/>
                <w:color w:val="auto"/>
              </w:rPr>
            </w:pPr>
            <w:r>
              <w:rPr>
                <w:rFonts w:ascii="Arial" w:cs="Arial" w:eastAsia="Arial" w:hAnsi="Arial"/>
                <w:sz w:val="16"/>
                <w:szCs w:val="16"/>
                <w:color w:val="auto"/>
              </w:rPr>
              <w:t>(1,008,162)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(128,960)</w:t>
            </w:r>
          </w:p>
        </w:tc>
        <w:tc>
          <w:tcPr>
            <w:tcW w:w="920" w:type="dxa"/>
            <w:vAlign w:val="bottom"/>
          </w:tcPr>
          <w:p>
            <w:pPr>
              <w:jc w:val="right"/>
              <w:spacing w:after="0"/>
              <w:rPr>
                <w:sz w:val="20"/>
                <w:szCs w:val="20"/>
                <w:color w:val="auto"/>
              </w:rPr>
            </w:pPr>
            <w:r>
              <w:rPr>
                <w:rFonts w:ascii="Arial" w:cs="Arial" w:eastAsia="Arial" w:hAnsi="Arial"/>
                <w:sz w:val="16"/>
                <w:szCs w:val="16"/>
                <w:color w:val="auto"/>
              </w:rPr>
              <w:t>(128,960)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53,971,706</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4,658</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529,642</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(69,328)</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888,326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1,354,281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(net of tax):</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373,986</w:t>
            </w:r>
          </w:p>
        </w:tc>
        <w:tc>
          <w:tcPr>
            <w:tcW w:w="920" w:type="dxa"/>
            <w:vAlign w:val="bottom"/>
          </w:tcPr>
          <w:p>
            <w:pPr>
              <w:jc w:val="right"/>
              <w:spacing w:after="0"/>
              <w:rPr>
                <w:sz w:val="20"/>
                <w:szCs w:val="20"/>
                <w:color w:val="auto"/>
              </w:rPr>
            </w:pPr>
            <w:r>
              <w:rPr>
                <w:rFonts w:ascii="Arial" w:cs="Arial" w:eastAsia="Arial" w:hAnsi="Arial"/>
                <w:sz w:val="16"/>
                <w:szCs w:val="16"/>
                <w:color w:val="auto"/>
              </w:rPr>
              <w:t>373,986</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1,870</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Currency impact of long-term funding</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(2,710)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capital gain - investments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040" w:type="dxa"/>
            <w:vAlign w:val="bottom"/>
          </w:tcPr>
          <w:p>
            <w:pPr>
              <w:ind w:left="20"/>
              <w:spacing w:after="0" w:line="178" w:lineRule="exact"/>
              <w:rPr>
                <w:sz w:val="20"/>
                <w:szCs w:val="20"/>
                <w:color w:val="auto"/>
              </w:rPr>
            </w:pPr>
            <w:r>
              <w:rPr>
                <w:rFonts w:ascii="Arial" w:cs="Arial" w:eastAsia="Arial" w:hAnsi="Arial"/>
                <w:sz w:val="16"/>
                <w:szCs w:val="16"/>
                <w:color w:val="auto"/>
              </w:rPr>
              <w:t>Actuarial loss on defined benefit pension</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rPr>
                <w:sz w:val="20"/>
                <w:szCs w:val="20"/>
                <w:color w:val="auto"/>
              </w:rPr>
            </w:pPr>
            <w:r>
              <w:rPr>
                <w:rFonts w:ascii="Arial" w:cs="Arial" w:eastAsia="Arial" w:hAnsi="Arial"/>
                <w:sz w:val="16"/>
                <w:szCs w:val="16"/>
                <w:color w:val="auto"/>
              </w:rPr>
              <w:t>plan</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(2,226)</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(2,226)</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04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367,495</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329,870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21,599</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040" w:type="dxa"/>
            <w:vAlign w:val="bottom"/>
          </w:tcPr>
          <w:p>
            <w:pPr>
              <w:ind w:left="20"/>
              <w:spacing w:after="0" w:line="178" w:lineRule="exact"/>
              <w:rPr>
                <w:sz w:val="20"/>
                <w:szCs w:val="20"/>
                <w:color w:val="auto"/>
              </w:rPr>
            </w:pPr>
            <w:r>
              <w:rPr>
                <w:rFonts w:ascii="Arial" w:cs="Arial" w:eastAsia="Arial" w:hAnsi="Arial"/>
                <w:sz w:val="16"/>
                <w:szCs w:val="16"/>
                <w:color w:val="auto"/>
              </w:rPr>
              <w:t>Issue of restricted share units /</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rPr>
                <w:sz w:val="20"/>
                <w:szCs w:val="20"/>
                <w:color w:val="auto"/>
              </w:rPr>
            </w:pPr>
            <w:r>
              <w:rPr>
                <w:rFonts w:ascii="Arial" w:cs="Arial" w:eastAsia="Arial" w:hAnsi="Arial"/>
                <w:sz w:val="16"/>
                <w:szCs w:val="16"/>
                <w:color w:val="auto"/>
              </w:rPr>
              <w:t>performance share units</w:t>
            </w:r>
          </w:p>
        </w:tc>
        <w:tc>
          <w:tcPr>
            <w:tcW w:w="960" w:type="dxa"/>
            <w:vAlign w:val="bottom"/>
          </w:tcPr>
          <w:p>
            <w:pPr>
              <w:jc w:val="right"/>
              <w:spacing w:after="0"/>
              <w:rPr>
                <w:sz w:val="20"/>
                <w:szCs w:val="20"/>
                <w:color w:val="auto"/>
              </w:rPr>
            </w:pPr>
            <w:r>
              <w:rPr>
                <w:rFonts w:ascii="Arial" w:cs="Arial" w:eastAsia="Arial" w:hAnsi="Arial"/>
                <w:sz w:val="16"/>
                <w:szCs w:val="16"/>
                <w:color w:val="auto"/>
              </w:rPr>
              <w:t>355,730</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26,733</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Share issue costs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ordinary shares</w:t>
            </w:r>
          </w:p>
        </w:tc>
        <w:tc>
          <w:tcPr>
            <w:tcW w:w="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(1,035,100)</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(146,931)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(146,931)</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Share repurchase costs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w:t>
            </w:r>
          </w:p>
        </w:tc>
        <w:tc>
          <w:tcPr>
            <w:tcW w:w="920" w:type="dxa"/>
            <w:vAlign w:val="bottom"/>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Acquisition of redeemable noncontrolling</w:t>
            </w: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32,592</w:t>
            </w:r>
          </w:p>
        </w:tc>
        <w:tc>
          <w:tcPr>
            <w:tcW w:w="0" w:type="dxa"/>
            <w:vAlign w:val="bottom"/>
          </w:tcPr>
          <w:p>
            <w:pPr>
              <w:spacing w:after="0"/>
              <w:rPr>
                <w:sz w:val="1"/>
                <w:szCs w:val="1"/>
                <w:color w:val="auto"/>
              </w:rPr>
            </w:pPr>
          </w:p>
        </w:tc>
      </w:tr>
      <w:tr>
        <w:trPr>
          <w:trHeight w:val="177"/>
        </w:trPr>
        <w:tc>
          <w:tcPr>
            <w:tcW w:w="3040" w:type="dxa"/>
            <w:vAlign w:val="bottom"/>
          </w:tcPr>
          <w:p>
            <w:pPr>
              <w:ind w:left="20"/>
              <w:spacing w:after="0" w:line="178" w:lineRule="exact"/>
              <w:rPr>
                <w:sz w:val="20"/>
                <w:szCs w:val="20"/>
                <w:color w:val="auto"/>
              </w:rPr>
            </w:pPr>
            <w:r>
              <w:rPr>
                <w:rFonts w:ascii="Arial" w:cs="Arial" w:eastAsia="Arial" w:hAnsi="Arial"/>
                <w:sz w:val="16"/>
                <w:szCs w:val="16"/>
                <w:color w:val="auto"/>
              </w:rPr>
              <w:t>Noncontrolling interest adjustment to</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redemption amount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0" w:type="dxa"/>
            <w:vAlign w:val="bottom"/>
          </w:tcPr>
          <w:p>
            <w:pPr>
              <w:spacing w:after="0"/>
              <w:rPr>
                <w:sz w:val="1"/>
                <w:szCs w:val="1"/>
                <w:color w:val="auto"/>
              </w:rPr>
            </w:pPr>
          </w:p>
        </w:tc>
      </w:tr>
      <w:tr>
        <w:trPr>
          <w:trHeight w:val="240"/>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53,622,206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577,961</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1,110,226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$1,618,055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01" w:name="page102"/>
    <w:bookmarkEnd w:id="101"/>
    <w:p>
      <w:pPr>
        <w:jc w:val="center"/>
        <w:ind w:right="899"/>
        <w:spacing w:after="0"/>
        <w:rPr>
          <w:sz w:val="20"/>
          <w:szCs w:val="20"/>
          <w:color w:val="auto"/>
        </w:rPr>
      </w:pPr>
      <w:r>
        <w:rPr>
          <w:rFonts w:ascii="Arial" w:cs="Arial" w:eastAsia="Arial" w:hAnsi="Arial"/>
          <w:sz w:val="16"/>
          <w:szCs w:val="16"/>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86359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863590" cy="137160"/>
                    </a:xfrm>
                    <a:prstGeom prst="rect">
                      <a:avLst/>
                    </a:prstGeom>
                    <a:noFill/>
                  </pic:spPr>
                </pic:pic>
              </a:graphicData>
            </a:graphic>
          </wp:anchor>
        </w:drawing>
      </w:r>
    </w:p>
    <w:p>
      <w:pPr>
        <w:spacing w:after="0" w:line="12" w:lineRule="exact"/>
        <w:rPr>
          <w:sz w:val="20"/>
          <w:szCs w:val="20"/>
          <w:color w:val="auto"/>
        </w:rPr>
      </w:pPr>
    </w:p>
    <w:p>
      <w:pPr>
        <w:jc w:val="center"/>
        <w:ind w:right="899"/>
        <w:spacing w:after="0"/>
        <w:rPr>
          <w:sz w:val="20"/>
          <w:szCs w:val="20"/>
          <w:color w:val="auto"/>
        </w:rPr>
      </w:pPr>
      <w:r>
        <w:rPr>
          <w:rFonts w:ascii="Arial" w:cs="Arial" w:eastAsia="Arial" w:hAnsi="Arial"/>
          <w:sz w:val="16"/>
          <w:szCs w:val="16"/>
          <w:b w:val="1"/>
          <w:bCs w:val="1"/>
          <w:color w:val="auto"/>
        </w:rPr>
        <w:t>CONSOLIDATED STATEMENT OF SHAREHOLDERS' EQUITY AND COMPREHENSIVE INCOME</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86359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863590" cy="137160"/>
                    </a:xfrm>
                    <a:prstGeom prst="rect">
                      <a:avLst/>
                    </a:prstGeom>
                    <a:noFill/>
                  </pic:spPr>
                </pic:pic>
              </a:graphicData>
            </a:graphic>
          </wp:anchor>
        </w:drawing>
      </w:r>
    </w:p>
    <w:p>
      <w:pPr>
        <w:spacing w:after="0" w:line="12"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4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Accumulated</w:t>
            </w:r>
          </w:p>
        </w:tc>
        <w:tc>
          <w:tcPr>
            <w:tcW w:w="9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Redeemable</w:t>
            </w: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shd w:val="clear" w:color="auto" w:fill="CCEEFF"/>
          </w:tcPr>
          <w:p>
            <w:pPr>
              <w:spacing w:after="0"/>
              <w:rPr>
                <w:sz w:val="14"/>
                <w:szCs w:val="14"/>
                <w:color w:val="auto"/>
              </w:rPr>
            </w:pPr>
          </w:p>
        </w:tc>
        <w:tc>
          <w:tcPr>
            <w:tcW w:w="3320" w:type="dxa"/>
            <w:vAlign w:val="bottom"/>
            <w:gridSpan w:val="5"/>
            <w:shd w:val="clear" w:color="auto" w:fill="CCEEFF"/>
          </w:tcPr>
          <w:p>
            <w:pPr>
              <w:ind w:left="260"/>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900" w:type="dxa"/>
            <w:vAlign w:val="bottom"/>
            <w:vMerge w:val="continue"/>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11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Noncontrolling</w:t>
            </w: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Interest</w:t>
            </w: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Balance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December 31,</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53,622,206</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4,635</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577,961</w:t>
            </w:r>
          </w:p>
        </w:tc>
        <w:tc>
          <w:tcPr>
            <w:tcW w:w="400" w:type="dxa"/>
            <w:vAlign w:val="bottom"/>
          </w:tcPr>
          <w:p>
            <w:pPr>
              <w:jc w:val="right"/>
              <w:ind w:right="219"/>
              <w:spacing w:after="0" w:line="162"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1,052</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(75,819)</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$1,110,226</w:t>
            </w: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$1,618,055</w:t>
            </w:r>
          </w:p>
        </w:tc>
        <w:tc>
          <w:tcPr>
            <w:tcW w:w="160" w:type="dxa"/>
            <w:vAlign w:val="bottom"/>
          </w:tcPr>
          <w:p>
            <w:pPr>
              <w:ind w:left="20"/>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39,510</w:t>
            </w:r>
          </w:p>
        </w:tc>
        <w:tc>
          <w:tcPr>
            <w:tcW w:w="0" w:type="dxa"/>
            <w:vAlign w:val="bottom"/>
          </w:tcPr>
          <w:p>
            <w:pPr>
              <w:spacing w:after="0"/>
              <w:rPr>
                <w:sz w:val="1"/>
                <w:szCs w:val="1"/>
                <w:color w:val="auto"/>
              </w:rPr>
            </w:pPr>
          </w:p>
        </w:tc>
      </w:tr>
      <w:tr>
        <w:trPr>
          <w:trHeight w:val="223"/>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Comprehensive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income (net of</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332,331</w:t>
            </w:r>
          </w:p>
        </w:tc>
        <w:tc>
          <w:tcPr>
            <w:tcW w:w="920" w:type="dxa"/>
            <w:vAlign w:val="bottom"/>
          </w:tcPr>
          <w:p>
            <w:pPr>
              <w:jc w:val="right"/>
              <w:spacing w:after="0"/>
              <w:rPr>
                <w:sz w:val="20"/>
                <w:szCs w:val="20"/>
                <w:color w:val="auto"/>
              </w:rPr>
            </w:pPr>
            <w:r>
              <w:rPr>
                <w:rFonts w:ascii="Arial" w:cs="Arial" w:eastAsia="Arial" w:hAnsi="Arial"/>
                <w:sz w:val="16"/>
                <w:szCs w:val="16"/>
                <w:color w:val="auto"/>
              </w:rPr>
              <w:t>332,331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Currency</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translation</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48,129</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line="178" w:lineRule="exact"/>
              <w:rPr>
                <w:sz w:val="20"/>
                <w:szCs w:val="20"/>
                <w:color w:val="auto"/>
              </w:rPr>
            </w:pPr>
            <w:r>
              <w:rPr>
                <w:rFonts w:ascii="Arial" w:cs="Arial" w:eastAsia="Arial" w:hAnsi="Arial"/>
                <w:sz w:val="16"/>
                <w:szCs w:val="16"/>
                <w:color w:val="auto"/>
              </w:rPr>
              <w:t>Currency</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impact of long-</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80" w:type="dxa"/>
            <w:vAlign w:val="bottom"/>
          </w:tcPr>
          <w:p>
            <w:pPr>
              <w:ind w:left="20"/>
              <w:spacing w:after="0"/>
              <w:rPr>
                <w:sz w:val="20"/>
                <w:szCs w:val="20"/>
                <w:color w:val="auto"/>
              </w:rPr>
            </w:pPr>
            <w:r>
              <w:rPr>
                <w:rFonts w:ascii="Arial" w:cs="Arial" w:eastAsia="Arial" w:hAnsi="Arial"/>
                <w:sz w:val="16"/>
                <w:szCs w:val="16"/>
                <w:color w:val="auto"/>
              </w:rPr>
              <w:t>term funding</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(1,603)</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Unrealized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capital loss -</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line="178" w:lineRule="exact"/>
              <w:rPr>
                <w:sz w:val="20"/>
                <w:szCs w:val="20"/>
                <w:color w:val="auto"/>
              </w:rPr>
            </w:pPr>
            <w:r>
              <w:rPr>
                <w:rFonts w:ascii="Arial" w:cs="Arial" w:eastAsia="Arial" w:hAnsi="Arial"/>
                <w:sz w:val="16"/>
                <w:szCs w:val="16"/>
                <w:color w:val="auto"/>
              </w:rPr>
              <w:t>Actuarial loss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on defined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benefit pension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80" w:type="dxa"/>
            <w:vAlign w:val="bottom"/>
          </w:tcPr>
          <w:p>
            <w:pPr>
              <w:ind w:left="20"/>
              <w:spacing w:after="0"/>
              <w:rPr>
                <w:sz w:val="20"/>
                <w:szCs w:val="20"/>
                <w:color w:val="auto"/>
              </w:rPr>
            </w:pPr>
            <w:r>
              <w:rPr>
                <w:rFonts w:ascii="Arial" w:cs="Arial" w:eastAsia="Arial" w:hAnsi="Arial"/>
                <w:sz w:val="16"/>
                <w:szCs w:val="16"/>
                <w:color w:val="auto"/>
              </w:rPr>
              <w:t>plan</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(4,138)</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(4,138)</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Amortization of</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interest rate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hedge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line="178" w:lineRule="exact"/>
              <w:rPr>
                <w:sz w:val="20"/>
                <w:szCs w:val="20"/>
                <w:color w:val="auto"/>
              </w:rPr>
            </w:pPr>
            <w:r>
              <w:rPr>
                <w:rFonts w:ascii="Arial" w:cs="Arial" w:eastAsia="Arial" w:hAnsi="Arial"/>
                <w:sz w:val="16"/>
                <w:szCs w:val="16"/>
                <w:color w:val="auto"/>
              </w:rPr>
              <w:t>Loss on</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interest rate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hedge</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(905)</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11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comprehensive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372,673</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line="178" w:lineRule="exact"/>
              <w:rPr>
                <w:sz w:val="20"/>
                <w:szCs w:val="20"/>
                <w:color w:val="auto"/>
              </w:rPr>
            </w:pPr>
            <w:r>
              <w:rPr>
                <w:rFonts w:ascii="Arial" w:cs="Arial" w:eastAsia="Arial" w:hAnsi="Arial"/>
                <w:sz w:val="16"/>
                <w:szCs w:val="16"/>
                <w:color w:val="auto"/>
              </w:rPr>
              <w:t>Exercise of</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180" w:type="dxa"/>
            <w:vAlign w:val="bottom"/>
          </w:tcPr>
          <w:p>
            <w:pPr>
              <w:ind w:left="20"/>
              <w:spacing w:after="0"/>
              <w:rPr>
                <w:sz w:val="20"/>
                <w:szCs w:val="20"/>
                <w:color w:val="auto"/>
              </w:rPr>
            </w:pPr>
            <w:r>
              <w:rPr>
                <w:rFonts w:ascii="Arial" w:cs="Arial" w:eastAsia="Arial" w:hAnsi="Arial"/>
                <w:sz w:val="16"/>
                <w:szCs w:val="16"/>
                <w:color w:val="auto"/>
              </w:rPr>
              <w:t>share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193,417</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13,176</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13,189</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Issue of</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restricted share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units /</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performance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207,688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line="178" w:lineRule="exact"/>
              <w:rPr>
                <w:sz w:val="20"/>
                <w:szCs w:val="20"/>
                <w:color w:val="auto"/>
              </w:rPr>
            </w:pPr>
            <w:r>
              <w:rPr>
                <w:rFonts w:ascii="Arial" w:cs="Arial" w:eastAsia="Arial" w:hAnsi="Arial"/>
                <w:sz w:val="16"/>
                <w:szCs w:val="16"/>
                <w:color w:val="auto"/>
              </w:rPr>
              <w:t>Share based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compensation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80" w:type="dxa"/>
            <w:vAlign w:val="bottom"/>
          </w:tcPr>
          <w:p>
            <w:pPr>
              <w:ind w:left="20"/>
              <w:spacing w:after="0"/>
              <w:rPr>
                <w:sz w:val="20"/>
                <w:szCs w:val="20"/>
                <w:color w:val="auto"/>
              </w:rPr>
            </w:pPr>
            <w:r>
              <w:rPr>
                <w:rFonts w:ascii="Arial" w:cs="Arial" w:eastAsia="Arial" w:hAnsi="Arial"/>
                <w:sz w:val="16"/>
                <w:szCs w:val="16"/>
                <w:color w:val="auto"/>
              </w:rPr>
              <w:t>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25,981</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25,981</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Share issue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line="178" w:lineRule="exact"/>
              <w:rPr>
                <w:sz w:val="20"/>
                <w:szCs w:val="20"/>
                <w:color w:val="auto"/>
              </w:rPr>
            </w:pPr>
            <w:r>
              <w:rPr>
                <w:rFonts w:ascii="Arial" w:cs="Arial" w:eastAsia="Arial" w:hAnsi="Arial"/>
                <w:sz w:val="16"/>
                <w:szCs w:val="16"/>
                <w:color w:val="auto"/>
              </w:rPr>
              <w:t>Repurchase of</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80" w:type="dxa"/>
            <w:vAlign w:val="bottom"/>
            <w:gridSpan w:val="2"/>
          </w:tcPr>
          <w:p>
            <w:pPr>
              <w:ind w:left="20"/>
              <w:spacing w:after="0"/>
              <w:rPr>
                <w:sz w:val="20"/>
                <w:szCs w:val="20"/>
                <w:color w:val="auto"/>
              </w:rPr>
            </w:pPr>
            <w:r>
              <w:rPr>
                <w:rFonts w:ascii="Arial" w:cs="Arial" w:eastAsia="Arial" w:hAnsi="Arial"/>
                <w:sz w:val="16"/>
                <w:szCs w:val="16"/>
                <w:color w:val="auto"/>
              </w:rPr>
              <w:t>ordinary shares (1,235,218)</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(175,000)</w:t>
            </w:r>
          </w:p>
        </w:tc>
        <w:tc>
          <w:tcPr>
            <w:tcW w:w="920" w:type="dxa"/>
            <w:vAlign w:val="bottom"/>
          </w:tcPr>
          <w:p>
            <w:pPr>
              <w:jc w:val="right"/>
              <w:spacing w:after="0"/>
              <w:rPr>
                <w:sz w:val="20"/>
                <w:szCs w:val="20"/>
                <w:color w:val="auto"/>
              </w:rPr>
            </w:pPr>
            <w:r>
              <w:rPr>
                <w:rFonts w:ascii="Arial" w:cs="Arial" w:eastAsia="Arial" w:hAnsi="Arial"/>
                <w:sz w:val="16"/>
                <w:szCs w:val="16"/>
                <w:color w:val="auto"/>
              </w:rPr>
              <w:t>(175,000)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Share</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repurchase</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line="178" w:lineRule="exact"/>
              <w:rPr>
                <w:sz w:val="20"/>
                <w:szCs w:val="20"/>
                <w:color w:val="auto"/>
              </w:rPr>
            </w:pPr>
            <w:r>
              <w:rPr>
                <w:rFonts w:ascii="Arial" w:cs="Arial" w:eastAsia="Arial" w:hAnsi="Arial"/>
                <w:sz w:val="16"/>
                <w:szCs w:val="16"/>
                <w:color w:val="auto"/>
              </w:rPr>
              <w:t>Noncontrolling</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interest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adjustment to</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color w:val="auto"/>
              </w:rPr>
              <w:t>redemption</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80" w:type="dxa"/>
            <w:vAlign w:val="bottom"/>
          </w:tcPr>
          <w:p>
            <w:pPr>
              <w:ind w:left="20"/>
              <w:spacing w:after="0"/>
              <w:rPr>
                <w:sz w:val="20"/>
                <w:szCs w:val="20"/>
                <w:color w:val="auto"/>
              </w:rPr>
            </w:pPr>
            <w:r>
              <w:rPr>
                <w:rFonts w:ascii="Arial" w:cs="Arial" w:eastAsia="Arial" w:hAnsi="Arial"/>
                <w:sz w:val="16"/>
                <w:szCs w:val="16"/>
                <w:color w:val="auto"/>
              </w:rPr>
              <w:t>amount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(4,522)</w:t>
            </w:r>
          </w:p>
        </w:tc>
        <w:tc>
          <w:tcPr>
            <w:tcW w:w="920" w:type="dxa"/>
            <w:vAlign w:val="bottom"/>
          </w:tcPr>
          <w:p>
            <w:pPr>
              <w:jc w:val="right"/>
              <w:spacing w:after="0"/>
              <w:rPr>
                <w:sz w:val="20"/>
                <w:szCs w:val="20"/>
                <w:color w:val="auto"/>
              </w:rPr>
            </w:pPr>
            <w:r>
              <w:rPr>
                <w:rFonts w:ascii="Arial" w:cs="Arial" w:eastAsia="Arial" w:hAnsi="Arial"/>
                <w:sz w:val="16"/>
                <w:szCs w:val="16"/>
                <w:color w:val="auto"/>
              </w:rPr>
              <w:t>(4,522)</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180"/>
        </w:trPr>
        <w:tc>
          <w:tcPr>
            <w:tcW w:w="11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Exercise of call</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option on</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noncontrolling</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shares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(44,665)</w:t>
            </w: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Balance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December 31,</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52,788,093</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line="162" w:lineRule="exact"/>
              <w:rPr>
                <w:sz w:val="20"/>
                <w:szCs w:val="20"/>
                <w:color w:val="auto"/>
              </w:rPr>
            </w:pPr>
            <w:r>
              <w:rPr>
                <w:rFonts w:ascii="Arial" w:cs="Arial" w:eastAsia="Arial" w:hAnsi="Arial"/>
                <w:sz w:val="16"/>
                <w:szCs w:val="16"/>
                <w:color w:val="auto"/>
              </w:rPr>
              <w:t>4,580</w:t>
            </w:r>
          </w:p>
        </w:tc>
        <w:tc>
          <w:tcPr>
            <w:tcW w:w="100" w:type="dxa"/>
            <w:vAlign w:val="bottom"/>
          </w:tcPr>
          <w:p>
            <w:pPr>
              <w:jc w:val="right"/>
              <w:spacing w:after="0" w:line="162"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62" w:lineRule="exact"/>
              <w:rPr>
                <w:sz w:val="20"/>
                <w:szCs w:val="20"/>
                <w:color w:val="auto"/>
              </w:rPr>
            </w:pPr>
            <w:r>
              <w:rPr>
                <w:rFonts w:ascii="Arial" w:cs="Arial" w:eastAsia="Arial" w:hAnsi="Arial"/>
                <w:sz w:val="16"/>
                <w:szCs w:val="16"/>
                <w:color w:val="auto"/>
              </w:rPr>
              <w:t>617,104</w:t>
            </w:r>
          </w:p>
        </w:tc>
        <w:tc>
          <w:tcPr>
            <w:tcW w:w="400" w:type="dxa"/>
            <w:vAlign w:val="bottom"/>
          </w:tcPr>
          <w:p>
            <w:pPr>
              <w:jc w:val="right"/>
              <w:ind w:right="219"/>
              <w:spacing w:after="0" w:line="162"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1,134</w:t>
            </w:r>
          </w:p>
        </w:tc>
        <w:tc>
          <w:tcPr>
            <w:tcW w:w="16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2" w:lineRule="exact"/>
              <w:rPr>
                <w:sz w:val="20"/>
                <w:szCs w:val="20"/>
                <w:color w:val="auto"/>
              </w:rPr>
            </w:pPr>
            <w:r>
              <w:rPr>
                <w:rFonts w:ascii="Arial" w:cs="Arial" w:eastAsia="Arial" w:hAnsi="Arial"/>
                <w:sz w:val="16"/>
                <w:szCs w:val="16"/>
                <w:color w:val="auto"/>
              </w:rPr>
              <w:t>(35,477)</w:t>
            </w: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$1,262,895</w:t>
            </w:r>
          </w:p>
        </w:tc>
        <w:tc>
          <w:tcPr>
            <w:tcW w:w="920" w:type="dxa"/>
            <w:vAlign w:val="bottom"/>
          </w:tcPr>
          <w:p>
            <w:pPr>
              <w:jc w:val="right"/>
              <w:spacing w:after="0" w:line="162" w:lineRule="exact"/>
              <w:rPr>
                <w:sz w:val="20"/>
                <w:szCs w:val="20"/>
                <w:color w:val="auto"/>
              </w:rPr>
            </w:pPr>
            <w:r>
              <w:rPr>
                <w:rFonts w:ascii="Arial" w:cs="Arial" w:eastAsia="Arial" w:hAnsi="Arial"/>
                <w:sz w:val="16"/>
                <w:szCs w:val="16"/>
                <w:color w:val="auto"/>
              </w:rPr>
              <w:t>$1,850,236</w:t>
            </w:r>
          </w:p>
        </w:tc>
        <w:tc>
          <w:tcPr>
            <w:tcW w:w="160" w:type="dxa"/>
            <w:vAlign w:val="bottom"/>
          </w:tcPr>
          <w:p>
            <w:pPr>
              <w:ind w:left="20"/>
              <w:spacing w:after="0" w:line="16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0139"/>
          </w:cols>
          <w:pgMar w:left="32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4"/>
          <w:szCs w:val="14"/>
          <w:b w:val="1"/>
          <w:bCs w:val="1"/>
          <w:color w:val="auto"/>
        </w:rPr>
        <w:t>ICON plc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7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83"/>
        </w:trPr>
        <w:tc>
          <w:tcPr>
            <w:tcW w:w="7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r>
      <w:tr>
        <w:trPr>
          <w:trHeight w:val="18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(in thousands)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332,964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375,856</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322,656</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Loss on disposal of property, plant and equipment</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46,892</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45,603</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50,565</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Impairment of right-of-use assets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5,411</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Reduction in carrying value of operating right-of-use assets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28,480</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30,372</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Amortization of intangibles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19,234</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15,947</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15,351</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government grants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Interest on short term investments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(1,065)</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(1,329)</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Realized gain on sale of short term investments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Interest on operating lease liability</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1,668</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2,626</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(Gain)/loss on re-measurement of financial assets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Loss on equity method investments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gain on interest rate hedge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Amortization of financing costs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523</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540</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812</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26,271</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26,819</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31,594</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Deferred tax expense / (benefit)</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927</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(1,537)</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1,652</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Increase in accounts receivable</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(175,040)</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(101,545)</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(37,557)</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in unbilled revenue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(5,748)</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(55,790)</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(98,510)</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Decrease in other receivables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3,041</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2,513</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3,107</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 in prepayments and other current assets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(11,468)</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(3,583)</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(Increase)/decrease in other non-current assets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(3,225)</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(2,912)</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856</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Increase/(decrease) in unearned revenue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291,844</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86,567</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(6,253)</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Increase in other current liabilities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14,968</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19,864</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2,009</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operating lease liabilities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(30,504)</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(33,437)</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Increase/(decrease) in other non-current liabilities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1,405</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(1,034)</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(Decrease)/increase in income taxes payable</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(5,220)</w:t>
            </w:r>
          </w:p>
        </w:tc>
      </w:tr>
      <w:tr>
        <w:trPr>
          <w:trHeight w:val="19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Increase/(decrease) in accounts payable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26,488</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3,440</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(5,067)</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568,035</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412,541</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268,639</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plant and equipment</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(51,055)</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(50,645)</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(48,397)</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Purchase of subsidiary undertakings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(47,931)</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(131,272)</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(1,645)</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equity method investments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Cash acquired from subsidiary undertakings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10,170</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11,697</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available for sale investments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47,902</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21,686</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99,865</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Purchase of available for sale investments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(9,603)</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(80,956)</w:t>
            </w:r>
          </w:p>
        </w:tc>
      </w:tr>
      <w:tr>
        <w:trPr>
          <w:trHeight w:val="19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Purchase of investments in equity - long term</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(3,212)</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(3,890)</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(6,163)</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(46,576)</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(162,027)</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(37,296)</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Financing costs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(1,554)</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(823)</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Drawdown of credit lines and facilities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350,000</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Repayment of credit lines and facilities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(350,000)</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(43,923)</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Proceeds from the exercise of equity compensation</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13,203</w:t>
            </w:r>
          </w:p>
        </w:tc>
        <w:tc>
          <w:tcPr>
            <w:tcW w:w="14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21,645</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16,842</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issue costs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Repurchase of ordinary shares</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(175,000)</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(146,931)</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(128,960)</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repurchase costs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19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Loss on settlement of interest rate hedge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(208,333)</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(125,406)</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(113,023)</w:t>
            </w:r>
          </w:p>
        </w:tc>
      </w:tr>
      <w:tr>
        <w:trPr>
          <w:trHeight w:val="19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 of exchange rate movements on cash</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6,870</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(5,328)</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319,996</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124,458</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112,992</w:t>
            </w:r>
          </w:p>
        </w:tc>
      </w:tr>
      <w:tr>
        <w:trPr>
          <w:trHeight w:val="196"/>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520,309</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395,851</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282,859</w:t>
            </w:r>
          </w:p>
        </w:tc>
      </w:tr>
      <w:tr>
        <w:trPr>
          <w:trHeight w:val="214"/>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year</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840,305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520,309</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395,851</w:t>
            </w: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268" w:lineRule="exact"/>
        <w:rPr>
          <w:sz w:val="20"/>
          <w:szCs w:val="20"/>
          <w:color w:val="auto"/>
        </w:rPr>
      </w:pPr>
    </w:p>
    <w:p>
      <w:pPr>
        <w:jc w:val="both"/>
        <w:ind w:firstLine="239"/>
        <w:spacing w:after="0" w:line="251" w:lineRule="auto"/>
        <w:rPr>
          <w:sz w:val="20"/>
          <w:szCs w:val="20"/>
          <w:color w:val="auto"/>
        </w:rPr>
      </w:pPr>
      <w:r>
        <w:rPr>
          <w:rFonts w:ascii="Arial" w:cs="Arial" w:eastAsia="Arial" w:hAnsi="Arial"/>
          <w:sz w:val="16"/>
          <w:szCs w:val="16"/>
          <w:color w:val="auto"/>
        </w:rPr>
        <w:t>ICON plc and its subsidiaries ("the Company" or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vision is to be the global CRO partner of choice in drug development by delivering best in class information, solutions and performance in clinical and outcomes research.</w:t>
      </w:r>
    </w:p>
    <w:p>
      <w:pPr>
        <w:spacing w:after="0" w:line="229" w:lineRule="exact"/>
        <w:rPr>
          <w:sz w:val="20"/>
          <w:szCs w:val="20"/>
          <w:color w:val="auto"/>
        </w:rPr>
      </w:pPr>
    </w:p>
    <w:p>
      <w:pPr>
        <w:jc w:val="both"/>
        <w:ind w:firstLine="23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"full-service" solution. At December 31, 2020 we had approximately 15,730 employees, in 93 locations in 41 countries. During the year ended December 31, 2020, we derived approximately 33.1%, 57.1% and 9.8% of our revenue in the United States, Europe and Rest of World, respectively.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ICON’s ordinary shares are traded on the NASDAQ Global Select Market under the symbol “ICLR”.</w:t>
      </w:r>
    </w:p>
    <w:p>
      <w:pPr>
        <w:spacing w:after="0" w:line="248" w:lineRule="exact"/>
        <w:rPr>
          <w:sz w:val="20"/>
          <w:szCs w:val="20"/>
          <w:color w:val="auto"/>
        </w:rPr>
      </w:pPr>
    </w:p>
    <w:p>
      <w:pPr>
        <w:jc w:val="both"/>
        <w:ind w:firstLine="193"/>
        <w:spacing w:after="0" w:line="253" w:lineRule="auto"/>
        <w:rPr>
          <w:sz w:val="20"/>
          <w:szCs w:val="20"/>
          <w:color w:val="auto"/>
        </w:rPr>
      </w:pPr>
      <w:r>
        <w:rPr>
          <w:rFonts w:ascii="Arial" w:cs="Arial" w:eastAsia="Arial" w:hAnsi="Arial"/>
          <w:sz w:val="16"/>
          <w:szCs w:val="16"/>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68" w:lineRule="exact"/>
        <w:rPr>
          <w:sz w:val="20"/>
          <w:szCs w:val="20"/>
          <w:color w:val="auto"/>
        </w:rPr>
      </w:pPr>
    </w:p>
    <w:p>
      <w:pPr>
        <w:jc w:val="both"/>
        <w:ind w:firstLine="187"/>
        <w:spacing w:after="0" w:line="260" w:lineRule="auto"/>
        <w:rPr>
          <w:sz w:val="20"/>
          <w:szCs w:val="20"/>
          <w:color w:val="auto"/>
        </w:rPr>
      </w:pPr>
      <w:r>
        <w:rPr>
          <w:rFonts w:ascii="Arial" w:cs="Arial" w:eastAsia="Arial" w:hAnsi="Arial"/>
          <w:sz w:val="16"/>
          <w:szCs w:val="16"/>
          <w:color w:val="auto"/>
        </w:rPr>
        <w:t>The accounting policies noted below were applied in the preparation of the accompanying financial statements of the Company and are in conformity with accounting principles generally accepted in the United States.</w:t>
      </w: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Basis of consolidation</w:t>
      </w:r>
    </w:p>
    <w:p>
      <w:pPr>
        <w:spacing w:after="0" w:line="248"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6"/>
          <w:szCs w:val="16"/>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w:t>
        <w:tab/>
        <w:t>Use of estimates</w:t>
      </w:r>
    </w:p>
    <w:p>
      <w:pPr>
        <w:spacing w:after="0" w:line="248" w:lineRule="exact"/>
        <w:rPr>
          <w:sz w:val="20"/>
          <w:szCs w:val="20"/>
          <w:color w:val="auto"/>
        </w:rPr>
      </w:pPr>
    </w:p>
    <w:p>
      <w:pPr>
        <w:jc w:val="both"/>
        <w:ind w:firstLine="226"/>
        <w:spacing w:after="0" w:line="251"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principal management estimates and judgments used in preparing the financial statements relate to revenue recognition and taxation.</w:t>
      </w:r>
    </w:p>
    <w:p>
      <w:pPr>
        <w:spacing w:after="0" w:line="17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(c)</w:t>
        <w:tab/>
        <w:t>Revenue recognition</w:t>
      </w:r>
    </w:p>
    <w:p>
      <w:pPr>
        <w:spacing w:after="0" w:line="248" w:lineRule="exact"/>
        <w:rPr>
          <w:sz w:val="20"/>
          <w:szCs w:val="20"/>
          <w:color w:val="auto"/>
        </w:rPr>
      </w:pPr>
    </w:p>
    <w:p>
      <w:pPr>
        <w:jc w:val="both"/>
        <w:ind w:firstLine="214"/>
        <w:spacing w:after="0" w:line="253" w:lineRule="auto"/>
        <w:rPr>
          <w:sz w:val="20"/>
          <w:szCs w:val="20"/>
          <w:color w:val="auto"/>
        </w:rPr>
      </w:pPr>
      <w:r>
        <w:rPr>
          <w:rFonts w:ascii="Arial" w:cs="Arial" w:eastAsia="Arial" w:hAnsi="Arial"/>
          <w:sz w:val="16"/>
          <w:szCs w:val="16"/>
          <w:color w:val="auto"/>
        </w:rPr>
        <w:t>The Company primarily earns revenues by providing a number of different services to its customers. These services, which are integral elements of the clinical development process, include clinical trials management, consulting, contract staffing, and laboratory services. Contracts range in duration from a number of months to several years.</w:t>
      </w:r>
    </w:p>
    <w:p>
      <w:pPr>
        <w:spacing w:after="0" w:line="228" w:lineRule="exact"/>
        <w:rPr>
          <w:sz w:val="20"/>
          <w:szCs w:val="20"/>
          <w:color w:val="auto"/>
        </w:rPr>
      </w:pPr>
    </w:p>
    <w:p>
      <w:pPr>
        <w:jc w:val="both"/>
        <w:ind w:firstLine="173"/>
        <w:spacing w:after="0" w:line="253"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based on an input measure being total project costs incurred (inclusive of third party costs) at each reporting period as a percentage of forecasted total project costs.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i w:val="1"/>
          <w:iCs w:val="1"/>
          <w:color w:val="auto"/>
        </w:rPr>
        <w:t>Contracting services revenue</w:t>
      </w:r>
    </w:p>
    <w:p>
      <w:pPr>
        <w:spacing w:after="0" w:line="21" w:lineRule="exact"/>
        <w:rPr>
          <w:sz w:val="20"/>
          <w:szCs w:val="20"/>
          <w:color w:val="auto"/>
        </w:rPr>
      </w:pPr>
    </w:p>
    <w:p>
      <w:pPr>
        <w:jc w:val="both"/>
        <w:ind w:firstLine="275"/>
        <w:spacing w:after="0" w:line="253"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Consulting services revenue</w:t>
      </w:r>
    </w:p>
    <w:p>
      <w:pPr>
        <w:spacing w:after="0" w:line="21" w:lineRule="exact"/>
        <w:rPr>
          <w:sz w:val="20"/>
          <w:szCs w:val="20"/>
          <w:color w:val="auto"/>
        </w:rPr>
      </w:pPr>
    </w:p>
    <w:p>
      <w:pPr>
        <w:jc w:val="both"/>
        <w:ind w:firstLine="314"/>
        <w:spacing w:after="0" w:line="252" w:lineRule="auto"/>
        <w:rPr>
          <w:sz w:val="20"/>
          <w:szCs w:val="20"/>
          <w:color w:val="auto"/>
        </w:rPr>
      </w:pPr>
      <w:r>
        <w:rPr>
          <w:rFonts w:ascii="Arial" w:cs="Arial" w:eastAsia="Arial" w:hAnsi="Arial"/>
          <w:sz w:val="16"/>
          <w:szCs w:val="16"/>
          <w:color w:val="auto"/>
        </w:rPr>
        <w:t>We have concluded that our consulting services contracts represent a single performance obligation satisfied over time. The transaction price is determined by reference to contract or change order value. Revenue is recognized as the performance obligation is satisfied. The progress towards completion for consulting contracts is measured based on total project inputs (time) at each reporting period as a percentage of forecasted total project inputs.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Laboratory services revenue</w:t>
      </w:r>
    </w:p>
    <w:p>
      <w:pPr>
        <w:spacing w:after="0" w:line="21" w:lineRule="exact"/>
        <w:rPr>
          <w:sz w:val="20"/>
          <w:szCs w:val="20"/>
          <w:color w:val="auto"/>
        </w:rPr>
      </w:pPr>
    </w:p>
    <w:p>
      <w:pPr>
        <w:jc w:val="both"/>
        <w:ind w:firstLine="238"/>
        <w:spacing w:after="0" w:line="248"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amounts corresponds to the value of the Company's performance and the transfer of value to the customer.</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21"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tab/>
        <w:t>Third party costs (Reimbursable expenses)</w:t>
      </w:r>
    </w:p>
    <w:p>
      <w:pPr>
        <w:spacing w:after="0" w:line="248" w:lineRule="exact"/>
        <w:rPr>
          <w:sz w:val="20"/>
          <w:szCs w:val="20"/>
          <w:color w:val="auto"/>
        </w:rPr>
      </w:pPr>
    </w:p>
    <w:p>
      <w:pPr>
        <w:jc w:val="both"/>
        <w:ind w:right="20" w:firstLine="198"/>
        <w:spacing w:after="0" w:line="260" w:lineRule="auto"/>
        <w:rPr>
          <w:sz w:val="20"/>
          <w:szCs w:val="20"/>
          <w:color w:val="auto"/>
        </w:rPr>
      </w:pPr>
      <w:r>
        <w:rPr>
          <w:rFonts w:ascii="Arial" w:cs="Arial" w:eastAsia="Arial" w:hAnsi="Arial"/>
          <w:sz w:val="16"/>
          <w:szCs w:val="16"/>
          <w:color w:val="auto"/>
        </w:rPr>
        <w:t xml:space="preserve">Reimbursable expenses comprise investigator payments and certain other costs which are reimbursed by clients under terms specific to each contract to the investigators. See </w:t>
      </w:r>
      <w:r>
        <w:rPr>
          <w:rFonts w:ascii="Arial" w:cs="Arial" w:eastAsia="Arial" w:hAnsi="Arial"/>
          <w:sz w:val="16"/>
          <w:szCs w:val="16"/>
          <w:i w:val="1"/>
          <w:iCs w:val="1"/>
          <w:color w:val="auto"/>
        </w:rPr>
        <w:t>note 2 (e) Direct costs</w:t>
      </w:r>
      <w:r>
        <w:rPr>
          <w:rFonts w:ascii="Arial" w:cs="Arial" w:eastAsia="Arial" w:hAnsi="Arial"/>
          <w:sz w:val="16"/>
          <w:szCs w:val="16"/>
          <w:color w:val="auto"/>
        </w:rPr>
        <w:t xml:space="preserve"> below.</w:t>
      </w: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(e)</w:t>
        <w:tab/>
        <w:t>Direct costs</w:t>
      </w:r>
    </w:p>
    <w:p>
      <w:pPr>
        <w:spacing w:after="0" w:line="248" w:lineRule="exact"/>
        <w:rPr>
          <w:sz w:val="20"/>
          <w:szCs w:val="20"/>
          <w:color w:val="auto"/>
        </w:rPr>
      </w:pPr>
    </w:p>
    <w:p>
      <w:pPr>
        <w:jc w:val="both"/>
        <w:ind w:firstLine="234"/>
        <w:spacing w:after="0" w:line="260" w:lineRule="auto"/>
        <w:rPr>
          <w:sz w:val="20"/>
          <w:szCs w:val="20"/>
          <w:color w:val="auto"/>
        </w:rPr>
      </w:pPr>
      <w:r>
        <w:rPr>
          <w:rFonts w:ascii="Arial" w:cs="Arial" w:eastAsia="Arial" w:hAnsi="Arial"/>
          <w:sz w:val="16"/>
          <w:szCs w:val="16"/>
          <w:color w:val="auto"/>
        </w:rPr>
        <w:t>Direct costs consist of compensation, associated employee benefits and share-based payments for project-related employees and other direct project-related costs.</w:t>
      </w:r>
    </w:p>
    <w:p>
      <w:pPr>
        <w:spacing w:after="0" w:line="222" w:lineRule="exact"/>
        <w:rPr>
          <w:sz w:val="20"/>
          <w:szCs w:val="20"/>
          <w:color w:val="auto"/>
        </w:rPr>
      </w:pPr>
    </w:p>
    <w:p>
      <w:pPr>
        <w:jc w:val="both"/>
        <w:ind w:firstLine="197"/>
        <w:spacing w:after="0" w:line="251" w:lineRule="auto"/>
        <w:rPr>
          <w:sz w:val="20"/>
          <w:szCs w:val="20"/>
          <w:color w:val="auto"/>
        </w:rPr>
      </w:pPr>
      <w:r>
        <w:rPr>
          <w:rFonts w:ascii="Arial" w:cs="Arial" w:eastAsia="Arial" w:hAnsi="Arial"/>
          <w:sz w:val="16"/>
          <w:szCs w:val="16"/>
          <w:color w:val="auto"/>
        </w:rPr>
        <w:t>Reimbursable expenses are presented within direct costs. This presentation is to align the presentation of costs with our assessment that our clinical trial service is a single performance obligation satisfied over time i.e. the full-service obligation is in respect of a clinical trial (including those services performed by investigators and other parties) is considered a single performance obligation. Reimbursable expenses are recorded once the activity which forms the basis for the cost has occurred.</w:t>
      </w:r>
    </w:p>
    <w:p>
      <w:pPr>
        <w:spacing w:after="0" w:line="229" w:lineRule="exact"/>
        <w:rPr>
          <w:sz w:val="20"/>
          <w:szCs w:val="20"/>
          <w:color w:val="auto"/>
        </w:rPr>
      </w:pPr>
    </w:p>
    <w:p>
      <w:pPr>
        <w:jc w:val="both"/>
        <w:ind w:right="20" w:firstLine="180"/>
        <w:spacing w:after="0" w:line="260" w:lineRule="auto"/>
        <w:rPr>
          <w:sz w:val="20"/>
          <w:szCs w:val="20"/>
          <w:color w:val="auto"/>
        </w:rPr>
      </w:pPr>
      <w:r>
        <w:rPr>
          <w:rFonts w:ascii="Arial" w:cs="Arial" w:eastAsia="Arial" w:hAnsi="Arial"/>
          <w:sz w:val="16"/>
          <w:szCs w:val="16"/>
          <w:color w:val="auto"/>
        </w:rPr>
        <w:t>Investigator payment costs are recorded and reported reflecting investigator activity over the life of the contract. Investigator payments are made based on predetermined contractual arrangements. Payments may differ from the recording and reporting of the expense which is based on activity.</w:t>
      </w:r>
    </w:p>
    <w:p>
      <w:pPr>
        <w:spacing w:after="0" w:line="22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(f)</w:t>
        <w:tab/>
        <w:t>Advertising costs</w:t>
      </w:r>
    </w:p>
    <w:p>
      <w:pPr>
        <w:spacing w:after="0" w:line="248" w:lineRule="exact"/>
        <w:rPr>
          <w:sz w:val="20"/>
          <w:szCs w:val="20"/>
          <w:color w:val="auto"/>
        </w:rPr>
      </w:pPr>
    </w:p>
    <w:p>
      <w:pPr>
        <w:jc w:val="both"/>
        <w:ind w:firstLine="232"/>
        <w:spacing w:after="0" w:line="260" w:lineRule="auto"/>
        <w:rPr>
          <w:sz w:val="20"/>
          <w:szCs w:val="20"/>
          <w:color w:val="auto"/>
        </w:rPr>
      </w:pPr>
      <w:r>
        <w:rPr>
          <w:rFonts w:ascii="Arial" w:cs="Arial" w:eastAsia="Arial" w:hAnsi="Arial"/>
          <w:sz w:val="16"/>
          <w:szCs w:val="16"/>
          <w:color w:val="auto"/>
        </w:rPr>
        <w:t>All costs associated with advertising and promotion are expensed as incurred. The advertising and promotion costs were $7,020,328, $8,088,451 and $6,516,637 for the years ended December 31, 2020, December 31, 2019 and December 31,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5" w:name="page106"/>
    <w:bookmarkEnd w:id="105"/>
    <w:p>
      <w:pPr>
        <w:spacing w:after="0"/>
        <w:tabs>
          <w:tab w:leader="none" w:pos="320" w:val="left"/>
        </w:tabs>
        <w:rPr>
          <w:sz w:val="20"/>
          <w:szCs w:val="20"/>
          <w:color w:val="auto"/>
        </w:rPr>
      </w:pPr>
      <w:r>
        <w:rPr>
          <w:rFonts w:ascii="Arial" w:cs="Arial" w:eastAsia="Arial" w:hAnsi="Arial"/>
          <w:sz w:val="16"/>
          <w:szCs w:val="16"/>
          <w:color w:val="auto"/>
        </w:rPr>
        <w:t>(g)</w:t>
        <w:tab/>
        <w:t>Foreign currencies and translation of subsidiaries</w:t>
      </w:r>
    </w:p>
    <w:p>
      <w:pPr>
        <w:spacing w:after="0" w:line="248" w:lineRule="exact"/>
        <w:rPr>
          <w:sz w:val="20"/>
          <w:szCs w:val="20"/>
          <w:color w:val="auto"/>
        </w:rPr>
      </w:pPr>
    </w:p>
    <w:p>
      <w:pPr>
        <w:jc w:val="both"/>
        <w:ind w:firstLine="268"/>
        <w:spacing w:after="0" w:line="250" w:lineRule="auto"/>
        <w:rPr>
          <w:sz w:val="20"/>
          <w:szCs w:val="20"/>
          <w:color w:val="auto"/>
        </w:rPr>
      </w:pPr>
      <w:r>
        <w:rPr>
          <w:rFonts w:ascii="Arial" w:cs="Arial" w:eastAsia="Arial" w:hAnsi="Arial"/>
          <w:sz w:val="16"/>
          <w:szCs w:val="16"/>
          <w:color w:val="auto"/>
        </w:rPr>
        <w:t>ICON plc's financial statements are prepared in United States dollars. Transactions in currencies other than the functional currency of the individual entities within the ICON Group are recorded at the rate ruling at the date of the transaction. Monetary assets and liabilities denominated in currencies other than the functional currency of the individual entities within the ICON Group are translated into the functional currency of that entity at exchange rates prevailing at the Balance Sheet date. Adjustments resulting from these translations are charged or credited to income. Amounts charged or credited to the Consolidated Statements of Operations for the years ended December 31, 2020, December 31, 2019 and December 31, 2018 were as follows:</w:t>
      </w:r>
    </w:p>
    <w:p>
      <w:pPr>
        <w:spacing w:after="0" w:line="343" w:lineRule="exact"/>
        <w:rPr>
          <w:sz w:val="20"/>
          <w:szCs w:val="20"/>
          <w:color w:val="auto"/>
        </w:rPr>
      </w:pPr>
    </w:p>
    <w:p>
      <w:pPr>
        <w:jc w:val="center"/>
        <w:ind w:left="688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jc w:val="center"/>
        <w:ind w:left="68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10795</wp:posOffset>
            </wp:positionV>
            <wp:extent cx="27514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6" w:lineRule="exact"/>
        <w:rPr>
          <w:sz w:val="20"/>
          <w:szCs w:val="20"/>
          <w:color w:val="auto"/>
        </w:rPr>
      </w:pPr>
    </w:p>
    <w:p>
      <w:pPr>
        <w:ind w:left="7980"/>
        <w:spacing w:after="0"/>
        <w:tabs>
          <w:tab w:leader="none" w:pos="9400" w:val="left"/>
          <w:tab w:leader="none" w:pos="108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(in thousands)</w:t>
      </w:r>
    </w:p>
    <w:p>
      <w:pPr>
        <w:spacing w:after="0" w:line="214" w:lineRule="exact"/>
        <w:rPr>
          <w:sz w:val="20"/>
          <w:szCs w:val="20"/>
          <w:color w:val="auto"/>
        </w:rPr>
      </w:pPr>
    </w:p>
    <w:p>
      <w:pPr>
        <w:ind w:left="20"/>
        <w:spacing w:after="0"/>
        <w:tabs>
          <w:tab w:leader="none" w:pos="6900" w:val="left"/>
          <w:tab w:leader="none" w:pos="7860" w:val="left"/>
          <w:tab w:leader="none" w:pos="9440" w:val="left"/>
          <w:tab w:leader="none" w:pos="10680" w:val="left"/>
        </w:tabs>
        <w:rPr>
          <w:sz w:val="20"/>
          <w:szCs w:val="20"/>
          <w:color w:val="auto"/>
        </w:rPr>
      </w:pPr>
      <w:r>
        <w:rPr>
          <w:rFonts w:ascii="Arial" w:cs="Arial" w:eastAsia="Arial" w:hAnsi="Arial"/>
          <w:sz w:val="16"/>
          <w:szCs w:val="16"/>
          <w:color w:val="auto"/>
        </w:rPr>
        <w:t>Amounts charged/(credited)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5,979 $</w:t>
      </w:r>
      <w:r>
        <w:rPr>
          <w:sz w:val="20"/>
          <w:szCs w:val="20"/>
          <w:color w:val="auto"/>
        </w:rPr>
        <w:tab/>
      </w:r>
      <w:r>
        <w:rPr>
          <w:rFonts w:ascii="Arial" w:cs="Arial" w:eastAsia="Arial" w:hAnsi="Arial"/>
          <w:sz w:val="16"/>
          <w:szCs w:val="16"/>
          <w:color w:val="auto"/>
        </w:rPr>
        <w:t>590 $</w:t>
      </w:r>
      <w:r>
        <w:rPr>
          <w:sz w:val="20"/>
          <w:szCs w:val="20"/>
          <w:color w:val="auto"/>
        </w:rPr>
        <w:tab/>
      </w:r>
      <w:r>
        <w:rPr>
          <w:rFonts w:ascii="Arial" w:cs="Arial" w:eastAsia="Arial" w:hAnsi="Arial"/>
          <w:sz w:val="16"/>
          <w:szCs w:val="16"/>
          <w:color w:val="auto"/>
        </w:rPr>
        <w:t>(3,876)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both"/>
        <w:ind w:firstLine="263"/>
        <w:spacing w:after="0" w:line="251" w:lineRule="auto"/>
        <w:rPr>
          <w:sz w:val="20"/>
          <w:szCs w:val="20"/>
          <w:color w:val="auto"/>
        </w:rPr>
      </w:pPr>
      <w:r>
        <w:rPr>
          <w:rFonts w:ascii="Arial" w:cs="Arial" w:eastAsia="Arial" w:hAnsi="Arial"/>
          <w:sz w:val="16"/>
          <w:szCs w:val="16"/>
          <w:color w:val="auto"/>
        </w:rPr>
        <w:t>The financial statements of subsidiaries with other functional currencies are translated at period end rates for the Consolidated Balance Sheets and average rates for the Consolidated Statements of Operations. Translation gains and losses arising are reported as a movement on accumulated other comprehensive income. Foreign currency transaction gains and losses are reported in other comprehensive income rather than through income where the foreign currency transaction is 'long-term investment' in nature i.e. settlement is not planned or anticipated in the foreseeable future.</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(h)</w:t>
        <w:tab/>
        <w:t>Disclosure of fair value of financial instruments</w:t>
      </w:r>
    </w:p>
    <w:p>
      <w:pPr>
        <w:spacing w:after="0" w:line="248" w:lineRule="exact"/>
        <w:rPr>
          <w:sz w:val="20"/>
          <w:szCs w:val="20"/>
          <w:color w:val="auto"/>
        </w:rPr>
      </w:pPr>
    </w:p>
    <w:p>
      <w:pPr>
        <w:jc w:val="both"/>
        <w:ind w:firstLine="261"/>
        <w:spacing w:after="0" w:line="253" w:lineRule="auto"/>
        <w:rPr>
          <w:sz w:val="20"/>
          <w:szCs w:val="20"/>
          <w:color w:val="auto"/>
        </w:rPr>
      </w:pPr>
      <w:r>
        <w:rPr>
          <w:rFonts w:ascii="Arial" w:cs="Arial" w:eastAsia="Arial" w:hAnsi="Arial"/>
          <w:sz w:val="16"/>
          <w:szCs w:val="16"/>
          <w:color w:val="auto"/>
        </w:rPr>
        <w:t>Cash, cash equivalents, other receivables, available for sale investments, accounts receivable, accounts payable, investigator payments and income taxes payable have carrying amounts that approximate fair value due to the short term maturities of these instruments. Other liabilities' carrying amounts approximate fair value based on net present value of estimated future cash flows. Debt is measured at historical cost.</w:t>
      </w:r>
    </w:p>
    <w:p>
      <w:pPr>
        <w:spacing w:after="0" w:line="174" w:lineRule="exact"/>
        <w:rPr>
          <w:sz w:val="20"/>
          <w:szCs w:val="20"/>
          <w:color w:val="auto"/>
        </w:rPr>
      </w:pPr>
    </w:p>
    <w:p>
      <w:pPr>
        <w:jc w:val="both"/>
        <w:ind w:firstLine="184"/>
        <w:spacing w:after="0" w:line="250" w:lineRule="auto"/>
        <w:rPr>
          <w:sz w:val="20"/>
          <w:szCs w:val="20"/>
          <w:color w:val="auto"/>
        </w:rPr>
      </w:pPr>
      <w:r>
        <w:rPr>
          <w:rFonts w:ascii="Arial" w:cs="Arial" w:eastAsia="Arial" w:hAnsi="Arial"/>
          <w:sz w:val="16"/>
          <w:szCs w:val="16"/>
          <w:color w:val="auto"/>
        </w:rPr>
        <w:t>Financial instruments are measured in the Consolidated Balance Sheets at amortized cost or fair value using a fair value hierarchy of valuation inputs. For financial instruments measured at amortized cost, the fair value of these financial instruments closely approximates their fair value. The fair value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ectPr>
          <w:pgSz w:w="11900" w:h="16838" w:orient="portrait"/>
          <w:cols w:equalWidth="0" w:num="1">
            <w:col w:w="11240"/>
          </w:cols>
          <w:pgMar w:left="320" w:top="911" w:right="339" w:bottom="1440" w:gutter="0" w:footer="0" w:header="0"/>
        </w:sect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Level 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Level 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Inputs are based upon unadjusted quoted prices for identical instruments traded in active markets.</w:t>
      </w:r>
    </w:p>
    <w:p>
      <w:pPr>
        <w:spacing w:after="0" w:line="262"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55"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Inputs are generally unobservable and typically reflect management’s estimates of assumptions that market participants would use in pricing the asset or liability.</w:t>
      </w:r>
    </w:p>
    <w:p>
      <w:pPr>
        <w:spacing w:after="0" w:line="200" w:lineRule="exact"/>
        <w:rPr>
          <w:sz w:val="20"/>
          <w:szCs w:val="20"/>
          <w:color w:val="auto"/>
        </w:rPr>
      </w:pPr>
    </w:p>
    <w:p>
      <w:pPr>
        <w:sectPr>
          <w:pgSz w:w="11900" w:h="16838" w:orient="portrait"/>
          <w:cols w:equalWidth="0" w:num="2">
            <w:col w:w="760" w:space="520"/>
            <w:col w:w="9960"/>
          </w:cols>
          <w:pgMar w:left="320" w:top="911" w:right="339" w:bottom="1440" w:gutter="0" w:footer="0" w:header="0"/>
          <w:type w:val="continuous"/>
        </w:sectPr>
      </w:pPr>
    </w:p>
    <w:p>
      <w:pPr>
        <w:spacing w:after="0" w:line="144" w:lineRule="exact"/>
        <w:rPr>
          <w:sz w:val="20"/>
          <w:szCs w:val="20"/>
          <w:color w:val="auto"/>
        </w:rPr>
      </w:pPr>
    </w:p>
    <w:p>
      <w:pPr>
        <w:jc w:val="both"/>
        <w:ind w:firstLine="237"/>
        <w:spacing w:after="0" w:line="260" w:lineRule="auto"/>
        <w:rPr>
          <w:sz w:val="20"/>
          <w:szCs w:val="20"/>
          <w:color w:val="auto"/>
        </w:rPr>
      </w:pPr>
      <w:r>
        <w:rPr>
          <w:rFonts w:ascii="Arial" w:cs="Arial" w:eastAsia="Arial" w:hAnsi="Arial"/>
          <w:sz w:val="16"/>
          <w:szCs w:val="16"/>
          <w:color w:val="auto"/>
        </w:rPr>
        <w:t>The Group's Senior notes (private placement debt) are carried at $350.0 million (prior to related financing costs). The carrying value at December 31, 2020, closely approximates fair value as the Group's Senior notes were entered into close to the end of the reporting period.</w:t>
      </w:r>
    </w:p>
    <w:p>
      <w:pPr>
        <w:spacing w:after="0" w:line="222" w:lineRule="exact"/>
        <w:rPr>
          <w:sz w:val="20"/>
          <w:szCs w:val="20"/>
          <w:color w:val="auto"/>
        </w:rPr>
      </w:pPr>
    </w:p>
    <w:p>
      <w:pPr>
        <w:jc w:val="both"/>
        <w:ind w:firstLine="179"/>
        <w:spacing w:after="0" w:line="250" w:lineRule="auto"/>
        <w:rPr>
          <w:sz w:val="20"/>
          <w:szCs w:val="20"/>
          <w:color w:val="auto"/>
        </w:rPr>
      </w:pPr>
      <w:r>
        <w:rPr>
          <w:rFonts w:ascii="Arial" w:cs="Arial" w:eastAsia="Arial" w:hAnsi="Arial"/>
          <w:sz w:val="16"/>
          <w:szCs w:val="16"/>
          <w:color w:val="auto"/>
        </w:rPr>
        <w:t>The Company classifies its investments in short term debt or equity investments as available for sale, as it does not actively trade such securities nor does it intend to hold them to maturity. The fair value of short term investments are represented by level 1 fair value measurements – quoted prices in active markets for identical assets. The unrealized movements in fair value are recognized in equity until disposal or sale, at which time, those unrealized movements from prior periods are recognized in the Consolidated Statement of Operations. Losses other than temporary, which reduce the carrying amount below cost are recognized in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06" w:name="page107"/>
    <w:bookmarkEnd w:id="106"/>
    <w:p>
      <w:pPr>
        <w:spacing w:after="0"/>
        <w:tabs>
          <w:tab w:leader="none" w:pos="260" w:val="left"/>
        </w:tabs>
        <w:rPr>
          <w:sz w:val="20"/>
          <w:szCs w:val="20"/>
          <w:color w:val="auto"/>
        </w:rPr>
      </w:pPr>
      <w:r>
        <w:rPr>
          <w:rFonts w:ascii="Arial" w:cs="Arial" w:eastAsia="Arial" w:hAnsi="Arial"/>
          <w:sz w:val="16"/>
          <w:szCs w:val="16"/>
          <w:color w:val="auto"/>
        </w:rPr>
        <w:t>(i)</w:t>
        <w:tab/>
        <w:t>Business combinations</w:t>
      </w:r>
    </w:p>
    <w:p>
      <w:pPr>
        <w:spacing w:after="0" w:line="248" w:lineRule="exact"/>
        <w:rPr>
          <w:sz w:val="20"/>
          <w:szCs w:val="20"/>
          <w:color w:val="auto"/>
        </w:rPr>
      </w:pPr>
    </w:p>
    <w:p>
      <w:pPr>
        <w:jc w:val="both"/>
        <w:ind w:firstLine="177"/>
        <w:spacing w:after="0" w:line="248" w:lineRule="auto"/>
        <w:rPr>
          <w:sz w:val="20"/>
          <w:szCs w:val="20"/>
          <w:color w:val="auto"/>
        </w:rPr>
      </w:pPr>
      <w:r>
        <w:rPr>
          <w:rFonts w:ascii="Arial" w:cs="Arial" w:eastAsia="Arial" w:hAnsi="Arial"/>
          <w:sz w:val="16"/>
          <w:szCs w:val="16"/>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235" w:lineRule="exact"/>
        <w:rPr>
          <w:sz w:val="20"/>
          <w:szCs w:val="20"/>
          <w:color w:val="auto"/>
        </w:rPr>
      </w:pPr>
    </w:p>
    <w:p>
      <w:pPr>
        <w:jc w:val="both"/>
        <w:ind w:firstLine="183"/>
        <w:spacing w:after="0" w:line="250"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allocates a share of net income to the noncontrolling interest holders based on percentage ownership.</w:t>
      </w:r>
    </w:p>
    <w:p>
      <w:pPr>
        <w:spacing w:after="0" w:line="19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(j)</w:t>
        <w:tab/>
        <w:t>Goodwill and Impairment</w:t>
      </w:r>
    </w:p>
    <w:p>
      <w:pPr>
        <w:spacing w:after="0" w:line="167" w:lineRule="exact"/>
        <w:rPr>
          <w:sz w:val="20"/>
          <w:szCs w:val="20"/>
          <w:color w:val="auto"/>
        </w:rPr>
      </w:pPr>
    </w:p>
    <w:p>
      <w:pPr>
        <w:jc w:val="both"/>
        <w:ind w:firstLine="275"/>
        <w:spacing w:after="0" w:line="248" w:lineRule="auto"/>
        <w:rPr>
          <w:sz w:val="20"/>
          <w:szCs w:val="20"/>
          <w:color w:val="auto"/>
        </w:rPr>
      </w:pPr>
      <w:r>
        <w:rPr>
          <w:rFonts w:ascii="Arial" w:cs="Arial" w:eastAsia="Arial" w:hAnsi="Arial"/>
          <w:sz w:val="16"/>
          <w:szCs w:val="16"/>
          <w:color w:val="auto"/>
        </w:rPr>
        <w:t xml:space="preserve">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Company applied the provisions of ASU 2017-04 </w:t>
      </w:r>
      <w:r>
        <w:rPr>
          <w:rFonts w:ascii="Arial" w:cs="Arial" w:eastAsia="Arial" w:hAnsi="Arial"/>
          <w:sz w:val="16"/>
          <w:szCs w:val="16"/>
          <w:i w:val="1"/>
          <w:iCs w:val="1"/>
          <w:color w:val="auto"/>
        </w:rPr>
        <w:t>'Intangibles - Goodwill and Other: Simplifying the test for goodwill impairment'</w:t>
      </w:r>
      <w:r>
        <w:rPr>
          <w:rFonts w:ascii="Arial" w:cs="Arial" w:eastAsia="Arial" w:hAnsi="Arial"/>
          <w:sz w:val="16"/>
          <w:szCs w:val="16"/>
          <w:color w:val="auto"/>
        </w:rPr>
        <w:t xml:space="preserve"> with effect from January 1, 2018. Under the amendment, the Company was required to perform its annual goodwill impairment test by comparing the fair value of a reporting unit with its carrying amount. An impairment charge would be recognized for any amount by which the carrying amount exceeds the reporting unit's fair value up to the amount of existing goodwill. The amendment allows an entity to perform a qualitative assessment for a reporting unit to determine if the quantitative impairment test is necessary. No impairment was recognized as a result of the impairment testing carried out for the years ended December 31, 2020, December 31, 2019 and December 31, 2018.</w:t>
      </w:r>
    </w:p>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(k)</w:t>
      </w:r>
      <w:r>
        <w:rPr>
          <w:sz w:val="20"/>
          <w:szCs w:val="20"/>
          <w:color w:val="auto"/>
        </w:rPr>
        <w:tab/>
      </w:r>
      <w:r>
        <w:rPr>
          <w:rFonts w:ascii="Arial" w:cs="Arial" w:eastAsia="Arial" w:hAnsi="Arial"/>
          <w:sz w:val="15"/>
          <w:szCs w:val="15"/>
          <w:color w:val="auto"/>
        </w:rPr>
        <w:t>Intangible assets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Intangible assets are amortized on a straight line basis over their estimated useful life.</w:t>
      </w:r>
    </w:p>
    <w:p>
      <w:pPr>
        <w:spacing w:after="0" w:line="16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(l)</w:t>
        <w:tab/>
        <w:t>Cash and cash equivalents</w:t>
      </w:r>
    </w:p>
    <w:p>
      <w:pPr>
        <w:spacing w:after="0" w:line="167" w:lineRule="exact"/>
        <w:rPr>
          <w:sz w:val="20"/>
          <w:szCs w:val="20"/>
          <w:color w:val="auto"/>
        </w:rPr>
      </w:pPr>
    </w:p>
    <w:p>
      <w:pPr>
        <w:jc w:val="both"/>
        <w:ind w:firstLine="290"/>
        <w:spacing w:after="0" w:line="260" w:lineRule="auto"/>
        <w:rPr>
          <w:sz w:val="20"/>
          <w:szCs w:val="20"/>
          <w:color w:val="auto"/>
        </w:rPr>
      </w:pPr>
      <w:r>
        <w:rPr>
          <w:rFonts w:ascii="Arial" w:cs="Arial" w:eastAsia="Arial" w:hAnsi="Arial"/>
          <w:sz w:val="16"/>
          <w:szCs w:val="16"/>
          <w:color w:val="auto"/>
        </w:rPr>
        <w:t>Cash and cash equivalents include cash and highly liquid investments with initial maturities of three months or less and are stated at cost, which approximates market value.</w:t>
      </w:r>
    </w:p>
    <w:p>
      <w:pPr>
        <w:spacing w:after="0" w:line="22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(m)</w:t>
        <w:tab/>
        <w:t>Investments in debt, equity and other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 for sale investments</w:t>
      </w:r>
    </w:p>
    <w:p>
      <w:pPr>
        <w:spacing w:after="0" w:line="248" w:lineRule="exact"/>
        <w:rPr>
          <w:sz w:val="20"/>
          <w:szCs w:val="20"/>
          <w:color w:val="auto"/>
        </w:rPr>
      </w:pPr>
    </w:p>
    <w:p>
      <w:pPr>
        <w:jc w:val="both"/>
        <w:ind w:firstLine="193"/>
        <w:spacing w:after="0" w:line="258" w:lineRule="auto"/>
        <w:rPr>
          <w:sz w:val="20"/>
          <w:szCs w:val="20"/>
          <w:color w:val="auto"/>
        </w:rPr>
      </w:pPr>
      <w:r>
        <w:rPr>
          <w:rFonts w:ascii="Arial" w:cs="Arial" w:eastAsia="Arial" w:hAnsi="Arial"/>
          <w:sz w:val="16"/>
          <w:szCs w:val="16"/>
          <w:color w:val="auto"/>
        </w:rPr>
        <w:t xml:space="preserve">The Company classifies short-term investments as available for sale in accordance with the terms of ASC 320 </w:t>
      </w:r>
      <w:r>
        <w:rPr>
          <w:rFonts w:ascii="Arial" w:cs="Arial" w:eastAsia="Arial" w:hAnsi="Arial"/>
          <w:sz w:val="16"/>
          <w:szCs w:val="16"/>
          <w:i w:val="1"/>
          <w:iCs w:val="1"/>
          <w:color w:val="auto"/>
        </w:rPr>
        <w:t>'Investments - Debt and Equity Securities'</w:t>
      </w:r>
      <w:r>
        <w:rPr>
          <w:rFonts w:ascii="Arial" w:cs="Arial" w:eastAsia="Arial" w:hAnsi="Arial"/>
          <w:sz w:val="16"/>
          <w:szCs w:val="16"/>
          <w:color w:val="auto"/>
        </w:rPr>
        <w:t>. Realized gains and losses are determined using specific identification. The investments are reported at fair value, with unrealized gains or losses reported in a separate component of shareholders' equity. Any differences between the cost and fair value of the investments are represented by accrued interest and unrealized gains/losses.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 term investments</w:t>
      </w:r>
    </w:p>
    <w:p>
      <w:pPr>
        <w:spacing w:after="0" w:line="264" w:lineRule="exact"/>
        <w:rPr>
          <w:sz w:val="20"/>
          <w:szCs w:val="20"/>
          <w:color w:val="auto"/>
        </w:rPr>
      </w:pPr>
    </w:p>
    <w:p>
      <w:pPr>
        <w:jc w:val="both"/>
        <w:ind w:right="20" w:firstLine="187"/>
        <w:spacing w:after="0" w:line="250" w:lineRule="auto"/>
        <w:rPr>
          <w:sz w:val="20"/>
          <w:szCs w:val="20"/>
          <w:color w:val="auto"/>
        </w:rPr>
      </w:pPr>
      <w:r>
        <w:rPr>
          <w:rFonts w:ascii="Arial" w:cs="Arial" w:eastAsia="Arial" w:hAnsi="Arial"/>
          <w:sz w:val="16"/>
          <w:szCs w:val="16"/>
          <w:color w:val="auto"/>
        </w:rPr>
        <w:t>The Company classifies its interests in funds having considered the nature of its investment, the extent of influence over operating and financial decisions and the availability of readily determinable fair values. The Company determined that the interests in funds at December 31, 2020 meet the definition of equity securities without readily determinable fair values. Effective from January 1, 2018, the Company concluded that the interests held at December 31, 2019 and December 31, 2020 qualify for the NAV practical expedient in ASC 820 '</w:t>
      </w:r>
      <w:r>
        <w:rPr>
          <w:rFonts w:ascii="Arial" w:cs="Arial" w:eastAsia="Arial" w:hAnsi="Arial"/>
          <w:sz w:val="16"/>
          <w:szCs w:val="16"/>
          <w:i w:val="1"/>
          <w:iCs w:val="1"/>
          <w:color w:val="auto"/>
        </w:rPr>
        <w:t>Fair value measurements and disclosure</w:t>
      </w:r>
      <w:r>
        <w:rPr>
          <w:rFonts w:ascii="Arial" w:cs="Arial" w:eastAsia="Arial" w:hAnsi="Arial"/>
          <w:sz w:val="16"/>
          <w:szCs w:val="16"/>
          <w:color w:val="auto"/>
        </w:rPr>
        <w:t>s'. Any increases or decreases in fair value are recognized in net income in the period. These are therefore measured at Level 3 of the fair value hierarchy.</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i w:val="1"/>
          <w:iCs w:val="1"/>
          <w:color w:val="auto"/>
        </w:rPr>
        <w:t>Equity method investments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investments that are not consolidated are accounted for under the equity method if the Company exercises significant influence that is considered to be greater than minor. These investments are classified as equity method investments on the accompanying Consolidated Balance Sheet. The Company records its pro rata share of the earnings/losses of these investments in Share of equity method investments in the Consolidated Statement of Operations. The Company reviews these for impairment whenever events or changes in circumstances indicate that the carrying amounts may not be recoverable.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 Accounts receivable, net and unbilled revenue</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Accounts receivable and unbilled revenue are recorded at fair value less an estimate of the credit losses expected to be incurred on the Company's accounts receivable portfolio. The Company's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Company's receivables and unbilled services are predominantly due from large and mid-tier pharmaceutical and biotechnology companies that share similar risk characteristics. The Company monitors their portfolio of receivables and unbilled services for any deterioration in current or expected credit quality (for example, expected delinquency level), and adjusts the allowance for credit losses as required.</w:t>
      </w:r>
    </w:p>
    <w:p>
      <w:pPr>
        <w:spacing w:after="0" w:line="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Consolidated Statement of Operations. Losses are charged against the allowance when management believes the uncollectibility of a previously provisioned amount is confirmed.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factoring</w:t>
      </w:r>
    </w:p>
    <w:p>
      <w:pPr>
        <w:spacing w:after="0" w:line="264" w:lineRule="exact"/>
        <w:rPr>
          <w:sz w:val="20"/>
          <w:szCs w:val="20"/>
          <w:color w:val="auto"/>
        </w:rPr>
      </w:pPr>
    </w:p>
    <w:p>
      <w:pPr>
        <w:jc w:val="both"/>
        <w:ind w:firstLine="212"/>
        <w:spacing w:after="0" w:line="251" w:lineRule="auto"/>
        <w:rPr>
          <w:sz w:val="20"/>
          <w:szCs w:val="20"/>
          <w:color w:val="auto"/>
        </w:rPr>
      </w:pPr>
      <w:r>
        <w:rPr>
          <w:rFonts w:ascii="Arial" w:cs="Arial" w:eastAsia="Arial" w:hAnsi="Arial"/>
          <w:sz w:val="16"/>
          <w:szCs w:val="16"/>
          <w:color w:val="auto"/>
        </w:rPr>
        <w:t xml:space="preserve">Where the Company enters into an agreement to sell certain portfolios of its accounts receivable balances, the sale is accounted for in accordance with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Agreements which result in true sales of the transferred receivables, as defined in ASC 860, which occur when receivables are transferred without recourse to ICON, are excluded from amounts reported in the Consolidated Balance Sheet. Cash proceeds received from such sales are included in operating cash flows. The associated finance costs are presented as interest expense.</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(o)</w:t>
        <w:tab/>
        <w:t>Inventory</w:t>
      </w:r>
    </w:p>
    <w:p>
      <w:pPr>
        <w:spacing w:after="0" w:line="248" w:lineRule="exact"/>
        <w:rPr>
          <w:sz w:val="20"/>
          <w:szCs w:val="20"/>
          <w:color w:val="auto"/>
        </w:rPr>
      </w:pPr>
    </w:p>
    <w:p>
      <w:pPr>
        <w:jc w:val="both"/>
        <w:ind w:firstLine="228"/>
        <w:spacing w:after="0" w:line="253" w:lineRule="auto"/>
        <w:rPr>
          <w:sz w:val="20"/>
          <w:szCs w:val="20"/>
          <w:color w:val="auto"/>
        </w:rPr>
      </w:pPr>
      <w:r>
        <w:rPr>
          <w:rFonts w:ascii="Arial" w:cs="Arial" w:eastAsia="Arial" w:hAnsi="Arial"/>
          <w:sz w:val="16"/>
          <w:szCs w:val="16"/>
          <w:color w:val="auto"/>
        </w:rPr>
        <w:t>Inventory is valued at the lower of cost and net realizable value and after provisions for obsolescence. The cost of inventories comprises the purchase price and attributable costs, less trade discounts. At December 31, 2020 the carrying value of inventory, included within prepayments and other current assets on the Consolidated Balance Sheet, was $4.8 million (2019: $3.2 million).</w:t>
      </w:r>
    </w:p>
    <w:p>
      <w:pPr>
        <w:spacing w:after="0" w:line="14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(p)</w:t>
        <w:tab/>
        <w:t>Property, plant and equipment</w:t>
      </w:r>
    </w:p>
    <w:p>
      <w:pPr>
        <w:spacing w:after="0" w:line="167" w:lineRule="exact"/>
        <w:rPr>
          <w:sz w:val="20"/>
          <w:szCs w:val="20"/>
          <w:color w:val="auto"/>
        </w:rPr>
      </w:pPr>
    </w:p>
    <w:p>
      <w:pPr>
        <w:jc w:val="both"/>
        <w:ind w:right="20" w:firstLine="263"/>
        <w:spacing w:after="0" w:line="260" w:lineRule="auto"/>
        <w:rPr>
          <w:sz w:val="20"/>
          <w:szCs w:val="20"/>
          <w:color w:val="auto"/>
        </w:rPr>
      </w:pPr>
      <w:r>
        <w:rPr>
          <w:rFonts w:ascii="Arial" w:cs="Arial" w:eastAsia="Arial" w:hAnsi="Arial"/>
          <w:sz w:val="16"/>
          <w:szCs w:val="16"/>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Years</w:t>
            </w:r>
          </w:p>
        </w:tc>
      </w:tr>
      <w:tr>
        <w:trPr>
          <w:trHeight w:val="207"/>
        </w:trPr>
        <w:tc>
          <w:tcPr>
            <w:tcW w:w="9180" w:type="dxa"/>
            <w:vAlign w:val="bottom"/>
          </w:tcPr>
          <w:p>
            <w:pPr>
              <w:ind w:left="480"/>
              <w:spacing w:after="0"/>
              <w:rPr>
                <w:sz w:val="20"/>
                <w:szCs w:val="20"/>
                <w:color w:val="auto"/>
              </w:rPr>
            </w:pPr>
            <w:r>
              <w:rPr>
                <w:rFonts w:ascii="Arial" w:cs="Arial" w:eastAsia="Arial" w:hAnsi="Arial"/>
                <w:sz w:val="16"/>
                <w:szCs w:val="16"/>
                <w:color w:val="auto"/>
              </w:rPr>
              <w:t>Building</w:t>
            </w:r>
          </w:p>
        </w:tc>
        <w:tc>
          <w:tcPr>
            <w:tcW w:w="400" w:type="dxa"/>
            <w:vAlign w:val="bottom"/>
          </w:tcPr>
          <w:p>
            <w:pPr>
              <w:spacing w:after="0"/>
              <w:rPr>
                <w:sz w:val="20"/>
                <w:szCs w:val="20"/>
                <w:color w:val="auto"/>
              </w:rPr>
            </w:pPr>
            <w:r>
              <w:rPr>
                <w:rFonts w:ascii="Arial" w:cs="Arial" w:eastAsia="Arial" w:hAnsi="Arial"/>
                <w:sz w:val="16"/>
                <w:szCs w:val="16"/>
                <w:color w:val="auto"/>
              </w:rPr>
              <w:t>40</w:t>
            </w:r>
          </w:p>
        </w:tc>
        <w:tc>
          <w:tcPr>
            <w:tcW w:w="1640" w:type="dxa"/>
            <w:vAlign w:val="bottom"/>
          </w:tcPr>
          <w:p>
            <w:pPr>
              <w:spacing w:after="0"/>
              <w:rPr>
                <w:sz w:val="17"/>
                <w:szCs w:val="17"/>
                <w:color w:val="auto"/>
              </w:rPr>
            </w:pPr>
          </w:p>
        </w:tc>
      </w:tr>
      <w:tr>
        <w:trPr>
          <w:trHeight w:val="219"/>
        </w:trPr>
        <w:tc>
          <w:tcPr>
            <w:tcW w:w="9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Computer equipment and software</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2-8</w:t>
            </w:r>
          </w:p>
        </w:tc>
        <w:tc>
          <w:tcPr>
            <w:tcW w:w="1640" w:type="dxa"/>
            <w:vAlign w:val="bottom"/>
            <w:shd w:val="clear" w:color="auto" w:fill="CCEEFF"/>
          </w:tcPr>
          <w:p>
            <w:pPr>
              <w:spacing w:after="0"/>
              <w:rPr>
                <w:sz w:val="19"/>
                <w:szCs w:val="19"/>
                <w:color w:val="auto"/>
              </w:rPr>
            </w:pPr>
          </w:p>
        </w:tc>
      </w:tr>
      <w:tr>
        <w:trPr>
          <w:trHeight w:val="213"/>
        </w:trPr>
        <w:tc>
          <w:tcPr>
            <w:tcW w:w="9180" w:type="dxa"/>
            <w:vAlign w:val="bottom"/>
          </w:tcPr>
          <w:p>
            <w:pPr>
              <w:ind w:left="480"/>
              <w:spacing w:after="0"/>
              <w:rPr>
                <w:sz w:val="20"/>
                <w:szCs w:val="20"/>
                <w:color w:val="auto"/>
              </w:rPr>
            </w:pPr>
            <w:r>
              <w:rPr>
                <w:rFonts w:ascii="Arial" w:cs="Arial" w:eastAsia="Arial" w:hAnsi="Arial"/>
                <w:sz w:val="16"/>
                <w:szCs w:val="16"/>
                <w:color w:val="auto"/>
              </w:rPr>
              <w:t>Office furniture and fixtures</w:t>
            </w:r>
          </w:p>
        </w:tc>
        <w:tc>
          <w:tcPr>
            <w:tcW w:w="400" w:type="dxa"/>
            <w:vAlign w:val="bottom"/>
          </w:tcPr>
          <w:p>
            <w:pPr>
              <w:spacing w:after="0"/>
              <w:rPr>
                <w:sz w:val="20"/>
                <w:szCs w:val="20"/>
                <w:color w:val="auto"/>
              </w:rPr>
            </w:pPr>
            <w:r>
              <w:rPr>
                <w:rFonts w:ascii="Arial" w:cs="Arial" w:eastAsia="Arial" w:hAnsi="Arial"/>
                <w:sz w:val="16"/>
                <w:szCs w:val="16"/>
                <w:color w:val="auto"/>
              </w:rPr>
              <w:t>8</w:t>
            </w:r>
          </w:p>
        </w:tc>
        <w:tc>
          <w:tcPr>
            <w:tcW w:w="1640" w:type="dxa"/>
            <w:vAlign w:val="bottom"/>
          </w:tcPr>
          <w:p>
            <w:pPr>
              <w:spacing w:after="0"/>
              <w:rPr>
                <w:sz w:val="18"/>
                <w:szCs w:val="18"/>
                <w:color w:val="auto"/>
              </w:rPr>
            </w:pPr>
          </w:p>
        </w:tc>
      </w:tr>
      <w:tr>
        <w:trPr>
          <w:trHeight w:val="219"/>
        </w:trPr>
        <w:tc>
          <w:tcPr>
            <w:tcW w:w="9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Laboratory equipment</w:t>
            </w: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1640" w:type="dxa"/>
            <w:vAlign w:val="bottom"/>
            <w:shd w:val="clear" w:color="auto" w:fill="CCEEFF"/>
          </w:tcPr>
          <w:p>
            <w:pPr>
              <w:spacing w:after="0"/>
              <w:rPr>
                <w:sz w:val="19"/>
                <w:szCs w:val="19"/>
                <w:color w:val="auto"/>
              </w:rPr>
            </w:pPr>
          </w:p>
        </w:tc>
      </w:tr>
      <w:tr>
        <w:trPr>
          <w:trHeight w:val="210"/>
        </w:trPr>
        <w:tc>
          <w:tcPr>
            <w:tcW w:w="9180" w:type="dxa"/>
            <w:vAlign w:val="bottom"/>
          </w:tcPr>
          <w:p>
            <w:pPr>
              <w:ind w:left="480"/>
              <w:spacing w:after="0"/>
              <w:rPr>
                <w:sz w:val="20"/>
                <w:szCs w:val="20"/>
                <w:color w:val="auto"/>
              </w:rPr>
            </w:pPr>
            <w:r>
              <w:rPr>
                <w:rFonts w:ascii="Arial" w:cs="Arial" w:eastAsia="Arial" w:hAnsi="Arial"/>
                <w:sz w:val="16"/>
                <w:szCs w:val="16"/>
                <w:color w:val="auto"/>
              </w:rPr>
              <w:t>Motor vehicles</w:t>
            </w:r>
          </w:p>
        </w:tc>
        <w:tc>
          <w:tcPr>
            <w:tcW w:w="400" w:type="dxa"/>
            <w:vAlign w:val="bottom"/>
          </w:tcPr>
          <w:p>
            <w:pPr>
              <w:spacing w:after="0"/>
              <w:rPr>
                <w:sz w:val="20"/>
                <w:szCs w:val="20"/>
                <w:color w:val="auto"/>
              </w:rPr>
            </w:pPr>
            <w:r>
              <w:rPr>
                <w:rFonts w:ascii="Arial" w:cs="Arial" w:eastAsia="Arial" w:hAnsi="Arial"/>
                <w:sz w:val="16"/>
                <w:szCs w:val="16"/>
                <w:color w:val="auto"/>
              </w:rPr>
              <w:t>5</w:t>
            </w:r>
          </w:p>
        </w:tc>
        <w:tc>
          <w:tcPr>
            <w:tcW w:w="1640" w:type="dxa"/>
            <w:vAlign w:val="bottom"/>
          </w:tcPr>
          <w:p>
            <w:pPr>
              <w:spacing w:after="0"/>
              <w:rPr>
                <w:sz w:val="18"/>
                <w:szCs w:val="18"/>
                <w:color w:val="auto"/>
              </w:rPr>
            </w:pPr>
          </w:p>
        </w:tc>
      </w:tr>
    </w:tbl>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Leasehold improvements are amortized using the straight line method over the estimated useful life of the asset or the lease term, whichever is shorter.</w:t>
      </w:r>
    </w:p>
    <w:p>
      <w:pPr>
        <w:spacing w:after="0" w:line="200" w:lineRule="exact"/>
        <w:rPr>
          <w:sz w:val="20"/>
          <w:szCs w:val="20"/>
          <w:color w:val="auto"/>
        </w:rPr>
      </w:pPr>
    </w:p>
    <w:p>
      <w:pPr>
        <w:spacing w:after="0" w:line="21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(q)</w:t>
        <w:tab/>
        <w:t>Leases</w:t>
      </w:r>
    </w:p>
    <w:p>
      <w:pPr>
        <w:spacing w:after="0" w:line="151" w:lineRule="exact"/>
        <w:rPr>
          <w:sz w:val="20"/>
          <w:szCs w:val="20"/>
          <w:color w:val="auto"/>
        </w:rPr>
      </w:pPr>
    </w:p>
    <w:p>
      <w:pPr>
        <w:jc w:val="both"/>
        <w:ind w:firstLine="291"/>
        <w:spacing w:after="0" w:line="252" w:lineRule="auto"/>
        <w:rPr>
          <w:sz w:val="20"/>
          <w:szCs w:val="20"/>
          <w:color w:val="auto"/>
        </w:rPr>
      </w:pPr>
      <w:r>
        <w:rPr>
          <w:rFonts w:ascii="Arial" w:cs="Arial" w:eastAsia="Arial" w:hAnsi="Arial"/>
          <w:sz w:val="16"/>
          <w:szCs w:val="16"/>
          <w:color w:val="auto"/>
        </w:rPr>
        <w:t xml:space="preserve">The Company adopted ASC 842 </w:t>
      </w:r>
      <w:r>
        <w:rPr>
          <w:rFonts w:ascii="Arial" w:cs="Arial" w:eastAsia="Arial" w:hAnsi="Arial"/>
          <w:sz w:val="16"/>
          <w:szCs w:val="16"/>
          <w:i w:val="1"/>
          <w:iCs w:val="1"/>
          <w:color w:val="auto"/>
        </w:rPr>
        <w:t>'Leases' (</w:t>
      </w:r>
      <w:r>
        <w:rPr>
          <w:rFonts w:ascii="Arial" w:cs="Arial" w:eastAsia="Arial" w:hAnsi="Arial"/>
          <w:sz w:val="16"/>
          <w:szCs w:val="16"/>
          <w:color w:val="auto"/>
        </w:rPr>
        <w:t xml:space="preserve">ASC 842), with a date of initial application of January 1, 2019. The lease accounting policy applied in preparation of the results for the year ended December 31, 2019 and December 31, 2020 therefore reflect application of ASC 842. The Company adopted the standard using the cumulative-effect adjustment approach. Under this transition method, the Company applied the ASC 842 as at the date of initial application (i.e. January 1, 2019), without restatement of comparative period amounts. The cumulative effect of applying the standard is recorded as an adjustment to the opening consolidated balance sheet as at the date of initial application (see </w:t>
      </w:r>
      <w:r>
        <w:rPr>
          <w:rFonts w:ascii="Arial" w:cs="Arial" w:eastAsia="Arial" w:hAnsi="Arial"/>
          <w:sz w:val="16"/>
          <w:szCs w:val="16"/>
          <w:i w:val="1"/>
          <w:iCs w:val="1"/>
          <w:color w:val="auto"/>
        </w:rPr>
        <w:t>note 24 - Impact of new accounting pronouncements</w:t>
      </w:r>
      <w:r>
        <w:rPr>
          <w:rFonts w:ascii="Arial" w:cs="Arial" w:eastAsia="Arial" w:hAnsi="Arial"/>
          <w:sz w:val="16"/>
          <w:szCs w:val="16"/>
          <w:color w:val="auto"/>
        </w:rPr>
        <w:t xml:space="preserve"> for further details). The comparative information for the year ended December 31, 2018 has not been adjusted and therefore continues to be reported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8" w:name="page109"/>
    <w:bookmarkEnd w:id="108"/>
    <w:p>
      <w:pPr>
        <w:jc w:val="both"/>
        <w:ind w:firstLine="236"/>
        <w:spacing w:after="0" w:line="260" w:lineRule="auto"/>
        <w:rPr>
          <w:sz w:val="20"/>
          <w:szCs w:val="20"/>
          <w:color w:val="auto"/>
        </w:rPr>
      </w:pPr>
      <w:r>
        <w:rPr>
          <w:rFonts w:ascii="Arial" w:cs="Arial" w:eastAsia="Arial" w:hAnsi="Arial"/>
          <w:sz w:val="16"/>
          <w:szCs w:val="16"/>
          <w:color w:val="auto"/>
        </w:rPr>
        <w:t>ASC 842 requires lessees to recognize the rights and obligations resulting from virtually all leases on the Consolidated Balance Sheet as right-of-use (ROU) assets with corresponding lease liabilities.</w:t>
      </w:r>
    </w:p>
    <w:p>
      <w:pPr>
        <w:spacing w:after="0" w:line="141" w:lineRule="exact"/>
        <w:rPr>
          <w:sz w:val="20"/>
          <w:szCs w:val="20"/>
          <w:color w:val="auto"/>
        </w:rPr>
      </w:pPr>
    </w:p>
    <w:p>
      <w:pPr>
        <w:jc w:val="both"/>
        <w:ind w:firstLine="241"/>
        <w:spacing w:after="0" w:line="253" w:lineRule="auto"/>
        <w:rPr>
          <w:sz w:val="20"/>
          <w:szCs w:val="20"/>
          <w:color w:val="auto"/>
        </w:rPr>
      </w:pPr>
      <w:r>
        <w:rPr>
          <w:rFonts w:ascii="Arial" w:cs="Arial" w:eastAsia="Arial" w:hAnsi="Arial"/>
          <w:sz w:val="16"/>
          <w:szCs w:val="16"/>
          <w:color w:val="auto"/>
        </w:rPr>
        <w:t>The most significant impact of application of the standard for the Company related to the recognition of right-of-use assets and lease liabilities on the Consolidated Balance Sheet for operating leases for certain property, vehicles and equipment. Prior to application of ASC 842, costs in respect of operating leases were charged to the Consolidated Statements of Operations on a straight-line basis over the lease term.</w:t>
      </w:r>
    </w:p>
    <w:p>
      <w:pPr>
        <w:spacing w:after="0" w:line="147" w:lineRule="exact"/>
        <w:rPr>
          <w:sz w:val="20"/>
          <w:szCs w:val="20"/>
          <w:color w:val="auto"/>
        </w:rPr>
      </w:pPr>
    </w:p>
    <w:p>
      <w:pPr>
        <w:jc w:val="both"/>
        <w:ind w:firstLine="203"/>
        <w:spacing w:after="0" w:line="253" w:lineRule="auto"/>
        <w:rPr>
          <w:sz w:val="20"/>
          <w:szCs w:val="20"/>
          <w:color w:val="auto"/>
        </w:rPr>
      </w:pPr>
      <w:r>
        <w:rPr>
          <w:rFonts w:ascii="Arial" w:cs="Arial" w:eastAsia="Arial" w:hAnsi="Arial"/>
          <w:sz w:val="16"/>
          <w:szCs w:val="16"/>
          <w:color w:val="auto"/>
        </w:rPr>
        <w:t>Pursuant to certain practical expedients available as part of adopting ASC 842, ICON did not reassess whether existing or expired supplier contracts are or contain leases, the classification of existing or expired leases, or whether unamortized initial direct costs meet the new definition of initial direct costs under ASC 842. Additionally, the Company elected to use hindsight in determining the lease term and in assessing impairment of ROU assets, if any.</w:t>
      </w:r>
    </w:p>
    <w:p>
      <w:pPr>
        <w:spacing w:after="0" w:line="147" w:lineRule="exact"/>
        <w:rPr>
          <w:sz w:val="20"/>
          <w:szCs w:val="20"/>
          <w:color w:val="auto"/>
        </w:rPr>
      </w:pPr>
    </w:p>
    <w:p>
      <w:pPr>
        <w:jc w:val="both"/>
        <w:ind w:firstLine="241"/>
        <w:spacing w:after="0" w:line="260" w:lineRule="auto"/>
        <w:rPr>
          <w:sz w:val="20"/>
          <w:szCs w:val="20"/>
          <w:color w:val="auto"/>
        </w:rPr>
      </w:pPr>
      <w:r>
        <w:rPr>
          <w:rFonts w:ascii="Arial" w:cs="Arial" w:eastAsia="Arial" w:hAnsi="Arial"/>
          <w:sz w:val="16"/>
          <w:szCs w:val="16"/>
          <w:color w:val="auto"/>
        </w:rPr>
        <w:t>The Company determines if an arrangement is a lease at inception. Finance leases, if any, are depreciated on the same basis as property, plant and equipment. At December 31, 2020 and December 31, 2019, the Company did not account for any leases as finance leases.</w:t>
      </w:r>
    </w:p>
    <w:p>
      <w:pPr>
        <w:spacing w:after="0" w:line="141" w:lineRule="exact"/>
        <w:rPr>
          <w:sz w:val="20"/>
          <w:szCs w:val="20"/>
          <w:color w:val="auto"/>
        </w:rPr>
      </w:pPr>
    </w:p>
    <w:p>
      <w:pPr>
        <w:jc w:val="both"/>
        <w:ind w:firstLine="249"/>
        <w:spacing w:after="0" w:line="248" w:lineRule="auto"/>
        <w:rPr>
          <w:sz w:val="20"/>
          <w:szCs w:val="20"/>
          <w:color w:val="auto"/>
        </w:rPr>
      </w:pPr>
      <w:r>
        <w:rPr>
          <w:rFonts w:ascii="Arial" w:cs="Arial" w:eastAsia="Arial" w:hAnsi="Arial"/>
          <w:sz w:val="16"/>
          <w:szCs w:val="16"/>
          <w:color w:val="auto"/>
        </w:rPr>
        <w:t>Operating leases are included in operating right-of-use assets, other liabilities and non-current operating lease liabilities on our Consolidated Balance Sheet with the lease charge recognized on a straight-line basis over the lease term. ROU assets and lease liabilities are recognized based on the present value of future minimum lease payments over the lease term at commencement date or date of transition. Our lease terms may also include options to extend or terminate. The Company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the Company's leases do not provide an implicit rate, the discount rate used is based on the rate of traded corporate bonds available at the commencement date adjusted for country risk, liquidity and lease term.</w:t>
      </w:r>
    </w:p>
    <w:p>
      <w:pPr>
        <w:spacing w:after="0" w:line="154"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cannot be reasonably estimated at the lease commencement date. These costs are expensed as incurred on the Consolidated Statements of Operations.</w:t>
      </w:r>
    </w:p>
    <w:p>
      <w:pPr>
        <w:spacing w:after="0" w:line="201" w:lineRule="exact"/>
        <w:rPr>
          <w:sz w:val="20"/>
          <w:szCs w:val="20"/>
          <w:color w:val="auto"/>
        </w:rPr>
      </w:pPr>
    </w:p>
    <w:p>
      <w:pPr>
        <w:jc w:val="both"/>
        <w:ind w:firstLine="177"/>
        <w:spacing w:after="0" w:line="260" w:lineRule="auto"/>
        <w:rPr>
          <w:sz w:val="20"/>
          <w:szCs w:val="20"/>
          <w:color w:val="auto"/>
        </w:rPr>
      </w:pPr>
      <w:r>
        <w:rPr>
          <w:rFonts w:ascii="Arial" w:cs="Arial" w:eastAsia="Arial" w:hAnsi="Arial"/>
          <w:sz w:val="16"/>
          <w:szCs w:val="16"/>
          <w:color w:val="auto"/>
        </w:rPr>
        <w:t>The Company accounts for lease and non-lease components separately with lease components flowing through the Consolidated Balance Sheet and non-lease components expensed directly to the Consolidated Statements of Operations.</w:t>
      </w:r>
    </w:p>
    <w:p>
      <w:pPr>
        <w:spacing w:after="0" w:line="222" w:lineRule="exact"/>
        <w:rPr>
          <w:sz w:val="20"/>
          <w:szCs w:val="20"/>
          <w:color w:val="auto"/>
        </w:rPr>
      </w:pPr>
    </w:p>
    <w:p>
      <w:pPr>
        <w:jc w:val="both"/>
        <w:ind w:firstLine="288"/>
        <w:spacing w:after="0" w:line="260" w:lineRule="auto"/>
        <w:rPr>
          <w:sz w:val="20"/>
          <w:szCs w:val="20"/>
          <w:color w:val="auto"/>
        </w:rPr>
      </w:pPr>
      <w:r>
        <w:rPr>
          <w:rFonts w:ascii="Arial" w:cs="Arial" w:eastAsia="Arial" w:hAnsi="Arial"/>
          <w:sz w:val="16"/>
          <w:szCs w:val="16"/>
          <w:color w:val="auto"/>
        </w:rPr>
        <w:t>In some cases, the Company enters into sublease agreements and becomes both a lessee and a lessor for the same underlying asset. Although subleases are accounted for separately from the lease they relate to, subleases are accounted for in the same way as other leases.</w:t>
      </w:r>
    </w:p>
    <w:p>
      <w:pPr>
        <w:spacing w:after="0" w:line="22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(r)</w:t>
        <w:tab/>
        <w:t>Income taxes</w:t>
      </w:r>
    </w:p>
    <w:p>
      <w:pPr>
        <w:spacing w:after="0" w:line="248" w:lineRule="exact"/>
        <w:rPr>
          <w:sz w:val="20"/>
          <w:szCs w:val="20"/>
          <w:color w:val="auto"/>
        </w:rPr>
      </w:pPr>
    </w:p>
    <w:p>
      <w:pPr>
        <w:jc w:val="both"/>
        <w:ind w:firstLine="277"/>
        <w:spacing w:after="0" w:line="248"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Deferred tax assets are reduced by a valuation allowance to the amount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GILTI (“global intangible low-taxed income”) as a period item in the period it arises and has therefore not provided for deferred taxes in respect of this item.</w:t>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(s)</w:t>
        <w:tab/>
        <w:t>Government grants</w:t>
      </w:r>
    </w:p>
    <w:p>
      <w:pPr>
        <w:spacing w:after="0" w:line="248" w:lineRule="exact"/>
        <w:rPr>
          <w:sz w:val="20"/>
          <w:szCs w:val="20"/>
          <w:color w:val="auto"/>
        </w:rPr>
      </w:pPr>
    </w:p>
    <w:p>
      <w:pPr>
        <w:jc w:val="both"/>
        <w:ind w:firstLine="238"/>
        <w:spacing w:after="0" w:line="253" w:lineRule="auto"/>
        <w:rPr>
          <w:sz w:val="20"/>
          <w:szCs w:val="20"/>
          <w:color w:val="auto"/>
        </w:rPr>
      </w:pPr>
      <w:r>
        <w:rPr>
          <w:rFonts w:ascii="Arial" w:cs="Arial" w:eastAsia="Arial" w:hAnsi="Arial"/>
          <w:sz w:val="16"/>
          <w:szCs w:val="16"/>
          <w:color w:val="auto"/>
        </w:rPr>
        <w:t>Government grants received relating to capital expenditures are shown by deducting the grant from the asset's carrying amount and crediting them to income on a basis consistent with the depreciation policy of the relevant assets. Grants relating to categories of operating expenditures are shown as deferred income and credited to income in the period in which the expenditure to which they relate is charged.</w:t>
      </w:r>
    </w:p>
    <w:p>
      <w:pPr>
        <w:spacing w:after="0" w:line="228" w:lineRule="exact"/>
        <w:rPr>
          <w:sz w:val="20"/>
          <w:szCs w:val="20"/>
          <w:color w:val="auto"/>
        </w:rPr>
      </w:pPr>
    </w:p>
    <w:p>
      <w:pPr>
        <w:jc w:val="both"/>
        <w:ind w:firstLine="215"/>
        <w:spacing w:after="0" w:line="253" w:lineRule="auto"/>
        <w:rPr>
          <w:sz w:val="20"/>
          <w:szCs w:val="20"/>
          <w:color w:val="auto"/>
        </w:rPr>
      </w:pPr>
      <w:r>
        <w:rPr>
          <w:rFonts w:ascii="Arial" w:cs="Arial" w:eastAsia="Arial" w:hAnsi="Arial"/>
          <w:sz w:val="16"/>
          <w:szCs w:val="16"/>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09" w:name="page110"/>
    <w:bookmarkEnd w:id="109"/>
    <w:p>
      <w:pPr>
        <w:spacing w:after="0"/>
        <w:tabs>
          <w:tab w:leader="none" w:pos="280" w:val="left"/>
        </w:tabs>
        <w:rPr>
          <w:sz w:val="20"/>
          <w:szCs w:val="20"/>
          <w:color w:val="auto"/>
        </w:rPr>
      </w:pPr>
      <w:r>
        <w:rPr>
          <w:rFonts w:ascii="Arial" w:cs="Arial" w:eastAsia="Arial" w:hAnsi="Arial"/>
          <w:sz w:val="16"/>
          <w:szCs w:val="16"/>
          <w:color w:val="auto"/>
        </w:rPr>
        <w:t>(t)</w:t>
        <w:tab/>
        <w:t>Research and development credits</w:t>
      </w:r>
    </w:p>
    <w:p>
      <w:pPr>
        <w:spacing w:after="0" w:line="248" w:lineRule="exact"/>
        <w:rPr>
          <w:sz w:val="20"/>
          <w:szCs w:val="20"/>
          <w:color w:val="auto"/>
        </w:rPr>
      </w:pPr>
    </w:p>
    <w:p>
      <w:pPr>
        <w:jc w:val="both"/>
        <w:ind w:firstLine="340"/>
        <w:spacing w:after="0" w:line="250" w:lineRule="auto"/>
        <w:rPr>
          <w:sz w:val="20"/>
          <w:szCs w:val="20"/>
          <w:color w:val="auto"/>
        </w:rPr>
      </w:pPr>
      <w:r>
        <w:rPr>
          <w:rFonts w:ascii="Arial" w:cs="Arial" w:eastAsia="Arial" w:hAnsi="Arial"/>
          <w:sz w:val="16"/>
          <w:szCs w:val="16"/>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23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(u)</w:t>
        <w:tab/>
        <w:t>Pension costs</w:t>
      </w:r>
    </w:p>
    <w:p>
      <w:pPr>
        <w:spacing w:after="0" w:line="248" w:lineRule="exact"/>
        <w:rPr>
          <w:sz w:val="20"/>
          <w:szCs w:val="20"/>
          <w:color w:val="auto"/>
        </w:rPr>
      </w:pPr>
    </w:p>
    <w:p>
      <w:pPr>
        <w:jc w:val="both"/>
        <w:ind w:firstLine="184"/>
        <w:spacing w:after="0" w:line="260" w:lineRule="auto"/>
        <w:rPr>
          <w:sz w:val="20"/>
          <w:szCs w:val="20"/>
          <w:color w:val="auto"/>
        </w:rPr>
      </w:pPr>
      <w:r>
        <w:rPr>
          <w:rFonts w:ascii="Arial" w:cs="Arial" w:eastAsia="Arial" w:hAnsi="Arial"/>
          <w:sz w:val="16"/>
          <w:szCs w:val="16"/>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222" w:lineRule="exact"/>
        <w:rPr>
          <w:sz w:val="20"/>
          <w:szCs w:val="20"/>
          <w:color w:val="auto"/>
        </w:rPr>
      </w:pPr>
    </w:p>
    <w:p>
      <w:pPr>
        <w:jc w:val="both"/>
        <w:ind w:firstLine="197"/>
        <w:spacing w:after="0" w:line="253" w:lineRule="auto"/>
        <w:rPr>
          <w:sz w:val="20"/>
          <w:szCs w:val="20"/>
          <w:color w:val="auto"/>
        </w:rPr>
      </w:pPr>
      <w:r>
        <w:rPr>
          <w:rFonts w:ascii="Arial" w:cs="Arial" w:eastAsia="Arial" w:hAnsi="Arial"/>
          <w:sz w:val="16"/>
          <w:szCs w:val="16"/>
          <w:color w:val="auto"/>
        </w:rPr>
        <w:t xml:space="preserve">The Company operates, through two subsidiaries, a defined benefit plan for certain of its United Kingdom and Swiss employees. The Company accounts for the costs of these plans in accordance with ASC 715-30 </w:t>
      </w:r>
      <w:r>
        <w:rPr>
          <w:rFonts w:ascii="Arial" w:cs="Arial" w:eastAsia="Arial" w:hAnsi="Arial"/>
          <w:sz w:val="16"/>
          <w:szCs w:val="16"/>
          <w:i w:val="1"/>
          <w:iCs w:val="1"/>
          <w:color w:val="auto"/>
        </w:rPr>
        <w:t>'Defined Benefit Plans – Pension'</w:t>
      </w:r>
      <w:r>
        <w:rPr>
          <w:rFonts w:ascii="Arial" w:cs="Arial" w:eastAsia="Arial" w:hAnsi="Arial"/>
          <w:sz w:val="16"/>
          <w:szCs w:val="16"/>
          <w:color w:val="auto"/>
        </w:rPr>
        <w:t xml:space="preserve">. These plans are presented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w:t>
      </w: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(v)</w:t>
        <w:tab/>
        <w:t>Redeemable noncontrolling interests and equity</w:t>
      </w:r>
    </w:p>
    <w:p>
      <w:pPr>
        <w:spacing w:after="0" w:line="2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The Company acquired a majority ownership interest in MeDiNova during the year ended December 31, 2019. Included in the purchase agreement were put and call option arrangements with the noncontrolling interest holders that required (put option) or enabled (call option) the Company to purchase the remaining minority ownership at a future date. The option was accounted for as temporary equity, which is presented separately as redeemable noncontrolling interest on the Consolidated Balance Sheet. This classification reflects the assessment that the instruments are contingently redeemable in accordance with ASC 480-10-S99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On March 9, 2020, ICON exercised its option to call the remaining shares and took 100% ownership of MeDiNova.</w:t>
      </w:r>
    </w:p>
    <w:p>
      <w:pPr>
        <w:spacing w:after="0" w:line="232" w:lineRule="exact"/>
        <w:rPr>
          <w:sz w:val="20"/>
          <w:szCs w:val="20"/>
          <w:color w:val="auto"/>
        </w:rPr>
      </w:pPr>
    </w:p>
    <w:p>
      <w:pPr>
        <w:jc w:val="both"/>
        <w:ind w:firstLine="194"/>
        <w:spacing w:after="0" w:line="250"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includes the adjustment to reflect the accretion of the noncontrolling interest to its redemption value until the redemption of the noncontrolling interest on March 9, 2020.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 Net income per ordinary share</w:t>
      </w:r>
    </w:p>
    <w:p>
      <w:pPr>
        <w:spacing w:after="0" w:line="167" w:lineRule="exact"/>
        <w:rPr>
          <w:sz w:val="20"/>
          <w:szCs w:val="20"/>
          <w:color w:val="auto"/>
        </w:rPr>
      </w:pPr>
    </w:p>
    <w:p>
      <w:pPr>
        <w:jc w:val="both"/>
        <w:ind w:firstLine="232"/>
        <w:spacing w:after="0" w:line="249" w:lineRule="auto"/>
        <w:rPr>
          <w:sz w:val="20"/>
          <w:szCs w:val="20"/>
          <w:color w:val="auto"/>
        </w:rPr>
      </w:pPr>
      <w:r>
        <w:rPr>
          <w:rFonts w:ascii="Arial" w:cs="Arial" w:eastAsia="Arial" w:hAnsi="Arial"/>
          <w:sz w:val="16"/>
          <w:szCs w:val="16"/>
          <w:color w:val="auto"/>
        </w:rPr>
        <w:t xml:space="preserve">Basic net income per ordinary share attributable to the Company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 Basic and diluted net income per ordinary share attributable to the Company includes the adjustment to reflect the accretion of the noncontrolling interest in MeDiNova to its redemption value (see </w:t>
      </w:r>
      <w:r>
        <w:rPr>
          <w:rFonts w:ascii="Arial" w:cs="Arial" w:eastAsia="Arial" w:hAnsi="Arial"/>
          <w:sz w:val="16"/>
          <w:szCs w:val="16"/>
          <w:i w:val="1"/>
          <w:iCs w:val="1"/>
          <w:color w:val="auto"/>
        </w:rPr>
        <w:t>note 26 - Net income per ordinary share</w:t>
      </w:r>
      <w:r>
        <w:rPr>
          <w:rFonts w:ascii="Arial" w:cs="Arial" w:eastAsia="Arial" w:hAnsi="Arial"/>
          <w:sz w:val="16"/>
          <w:szCs w:val="16"/>
          <w:color w:val="auto"/>
        </w:rPr>
        <w:t>).</w:t>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(x)</w:t>
        <w:tab/>
        <w:t>Share-based compensation</w:t>
      </w:r>
    </w:p>
    <w:p>
      <w:pPr>
        <w:spacing w:after="0" w:line="167" w:lineRule="exact"/>
        <w:rPr>
          <w:sz w:val="20"/>
          <w:szCs w:val="20"/>
          <w:color w:val="auto"/>
        </w:rPr>
      </w:pPr>
    </w:p>
    <w:p>
      <w:pPr>
        <w:jc w:val="both"/>
        <w:ind w:firstLine="177"/>
        <w:spacing w:after="0" w:line="253" w:lineRule="auto"/>
        <w:rPr>
          <w:sz w:val="20"/>
          <w:szCs w:val="20"/>
          <w:color w:val="auto"/>
        </w:rPr>
      </w:pPr>
      <w:r>
        <w:rPr>
          <w:rFonts w:ascii="Arial" w:cs="Arial" w:eastAsia="Arial" w:hAnsi="Arial"/>
          <w:sz w:val="16"/>
          <w:szCs w:val="16"/>
          <w:color w:val="auto"/>
        </w:rPr>
        <w:t xml:space="preserve">The Company accounts for its share options, Restricted Share Units ("RSUs") and Performance Share Units ("PSUs") in accordance with the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Share-based compensation expense for equity-settled awards made to employees and directors is measured and recognized based on estimated grant date fair values. These equity-settled awards include employee share options, RSUs and PSUs.</w:t>
      </w:r>
    </w:p>
    <w:p>
      <w:pPr>
        <w:spacing w:after="0" w:line="147"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6"/>
          <w:szCs w:val="16"/>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49" w:lineRule="exact"/>
        <w:rPr>
          <w:sz w:val="20"/>
          <w:szCs w:val="20"/>
          <w:color w:val="auto"/>
        </w:rPr>
      </w:pPr>
    </w:p>
    <w:p>
      <w:pPr>
        <w:jc w:val="both"/>
        <w:ind w:firstLine="212"/>
        <w:spacing w:after="0" w:line="253" w:lineRule="auto"/>
        <w:rPr>
          <w:sz w:val="20"/>
          <w:szCs w:val="20"/>
          <w:color w:val="auto"/>
        </w:rPr>
      </w:pPr>
      <w:r>
        <w:rPr>
          <w:rFonts w:ascii="Arial" w:cs="Arial" w:eastAsia="Arial" w:hAnsi="Arial"/>
          <w:sz w:val="16"/>
          <w:szCs w:val="16"/>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0" w:name="page111"/>
    <w:bookmarkEnd w:id="110"/>
    <w:p>
      <w:pPr>
        <w:jc w:val="both"/>
        <w:ind w:firstLine="227"/>
        <w:spacing w:after="0" w:line="260" w:lineRule="auto"/>
        <w:rPr>
          <w:sz w:val="20"/>
          <w:szCs w:val="20"/>
          <w:color w:val="auto"/>
        </w:rPr>
      </w:pPr>
      <w:r>
        <w:rPr>
          <w:rFonts w:ascii="Arial" w:cs="Arial" w:eastAsia="Arial" w:hAnsi="Arial"/>
          <w:sz w:val="16"/>
          <w:szCs w:val="16"/>
          <w:color w:val="auto"/>
        </w:rPr>
        <w:t>Liability classified awards are measured at the fair value of the award on the grant date and remeasured at each reporting period at fair value until the award is settled.</w:t>
      </w: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(y)</w:t>
        <w:tab/>
        <w:t>Impairment of long-lived assets</w:t>
      </w:r>
    </w:p>
    <w:p>
      <w:pPr>
        <w:spacing w:after="0" w:line="248" w:lineRule="exact"/>
        <w:rPr>
          <w:sz w:val="20"/>
          <w:szCs w:val="20"/>
          <w:color w:val="auto"/>
        </w:rPr>
      </w:pPr>
    </w:p>
    <w:p>
      <w:pPr>
        <w:jc w:val="both"/>
        <w:ind w:firstLine="224"/>
        <w:spacing w:after="0" w:line="250"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Assets to be disposed of are reported at the lower of the carrying amount of the asset or fair value less selling costs.</w:t>
      </w:r>
    </w:p>
    <w:p>
      <w:pPr>
        <w:spacing w:after="0" w:line="23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(z)</w:t>
        <w:tab/>
        <w:t>Derivative financial instruments</w:t>
      </w:r>
    </w:p>
    <w:p>
      <w:pPr>
        <w:spacing w:after="0" w:line="248" w:lineRule="exact"/>
        <w:rPr>
          <w:sz w:val="20"/>
          <w:szCs w:val="20"/>
          <w:color w:val="auto"/>
        </w:rPr>
      </w:pPr>
    </w:p>
    <w:p>
      <w:pPr>
        <w:jc w:val="both"/>
        <w:ind w:firstLine="182"/>
        <w:spacing w:after="0" w:line="249" w:lineRule="auto"/>
        <w:rPr>
          <w:sz w:val="20"/>
          <w:szCs w:val="20"/>
          <w:color w:val="auto"/>
        </w:rPr>
      </w:pPr>
      <w:r>
        <w:rPr>
          <w:rFonts w:ascii="Arial" w:cs="Arial" w:eastAsia="Arial" w:hAnsi="Arial"/>
          <w:sz w:val="16"/>
          <w:szCs w:val="16"/>
          <w:color w:val="auto"/>
        </w:rPr>
        <w:t>We enter into transactions in the normal course of business using various financial instruments in order to hedge against exposure to fluctuating exchange and interest rates. We use derivative financial instruments to reduce exposure to fluctuations in interest rates. A derivative is a financial instrument or other contract whose value changes in response to some underlying variable, which has an initial net investment smaller than would be required for other instruments that have a similar response to the variable and that will be settled at a future date. We do not enter into derivative financial instruments for trading or speculative purposes. We did not hold any interest rate swap contracts or forward currency contracts at December 31, 2020 or December 31, 2019.</w:t>
      </w:r>
    </w:p>
    <w:p>
      <w:pPr>
        <w:spacing w:after="0" w:line="200" w:lineRule="exact"/>
        <w:rPr>
          <w:sz w:val="20"/>
          <w:szCs w:val="20"/>
          <w:color w:val="auto"/>
        </w:rPr>
      </w:pPr>
    </w:p>
    <w:p>
      <w:pPr>
        <w:spacing w:after="0" w:line="223" w:lineRule="exact"/>
        <w:rPr>
          <w:sz w:val="20"/>
          <w:szCs w:val="20"/>
          <w:color w:val="auto"/>
        </w:rPr>
      </w:pPr>
    </w:p>
    <w:p>
      <w:pPr>
        <w:jc w:val="both"/>
        <w:ind w:right="20" w:firstLine="281"/>
        <w:spacing w:after="0" w:line="253" w:lineRule="auto"/>
        <w:rPr>
          <w:sz w:val="20"/>
          <w:szCs w:val="20"/>
          <w:color w:val="auto"/>
        </w:rPr>
      </w:pPr>
      <w:r>
        <w:rPr>
          <w:rFonts w:ascii="Arial" w:cs="Arial" w:eastAsia="Arial" w:hAnsi="Arial"/>
          <w:sz w:val="16"/>
          <w:szCs w:val="16"/>
          <w:color w:val="auto"/>
        </w:rPr>
        <w:t>We use derivative financial instruments to reduce exposure to fluctuations in foreign exchange rates. During the years ended December 31, 2018, December 31, 2019 and December 31, 2020 we entered into forward currency contracts in respect of identified exposure arising from euro payments. All contracts expired during the year in which the contract was entered into.</w:t>
      </w:r>
    </w:p>
    <w:p>
      <w:pPr>
        <w:spacing w:after="0" w:line="228" w:lineRule="exact"/>
        <w:rPr>
          <w:sz w:val="20"/>
          <w:szCs w:val="20"/>
          <w:color w:val="auto"/>
        </w:rPr>
      </w:pPr>
    </w:p>
    <w:p>
      <w:pPr>
        <w:jc w:val="both"/>
        <w:ind w:firstLine="200"/>
        <w:spacing w:after="0" w:line="248" w:lineRule="auto"/>
        <w:rPr>
          <w:sz w:val="20"/>
          <w:szCs w:val="20"/>
          <w:color w:val="auto"/>
        </w:rPr>
      </w:pPr>
      <w:r>
        <w:rPr>
          <w:rFonts w:ascii="Arial" w:cs="Arial" w:eastAsia="Arial" w:hAnsi="Arial"/>
          <w:sz w:val="16"/>
          <w:szCs w:val="16"/>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 transaction, is referred to as a cash flow hedge. A designated hedge of the exposure to changes in fair value of an asset or a liability is referred to as a fair value hedge. The criterion for designating a derivative as a hedge includes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 into earnings in the same period or periods in which the hedged transaction affects earnings and within the same Consolidated Statement of Operations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(aa) Financing costs and gain on interest rate hedge</w:t>
      </w:r>
    </w:p>
    <w:p>
      <w:pPr>
        <w:spacing w:after="0" w:line="248" w:lineRule="exact"/>
        <w:rPr>
          <w:sz w:val="20"/>
          <w:szCs w:val="20"/>
          <w:color w:val="auto"/>
        </w:rPr>
      </w:pPr>
    </w:p>
    <w:p>
      <w:pPr>
        <w:jc w:val="both"/>
        <w:ind w:firstLine="265"/>
        <w:spacing w:after="0" w:line="251" w:lineRule="auto"/>
        <w:rPr>
          <w:sz w:val="20"/>
          <w:szCs w:val="20"/>
          <w:color w:val="auto"/>
        </w:rPr>
      </w:pPr>
      <w:r>
        <w:rPr>
          <w:rFonts w:ascii="Arial" w:cs="Arial" w:eastAsia="Arial" w:hAnsi="Arial"/>
          <w:sz w:val="16"/>
          <w:szCs w:val="16"/>
          <w:color w:val="auto"/>
        </w:rPr>
        <w:t>The interest rate in respect of the 2015 Senior Notes was fixed at 3.64% for the 5 year term of the agreement. The associated interest costs were recognized in interest expense in the period from drawdown in December 2015 until its maturity in December 2020. The interest rate in respect of the 2020 Senior Notes is fixed at 2.32% for Series A Notes which will mature on December 8, 2023 and 2.43% for Series B Notes which will mature on December 8, 2025. The associated interest cost is recognized in the period since drawdown in December 2020.</w:t>
      </w:r>
    </w:p>
    <w:p>
      <w:pPr>
        <w:spacing w:after="0" w:line="22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6"/>
          <w:szCs w:val="16"/>
          <w:color w:val="auto"/>
        </w:rPr>
        <w:t>Cash proceeds ($4.6 million) received in November 2015 in respect of the realized hedge gain are amortized to the Consolidated Statement of Operations, net against interest payable, over the period of the 2015 Senior Notes. There was a cash outflow ($0.9 million) in July 2020, representing a realized loss on the interest hedge on the 2020 Senior Notes. This was recorded within Other Comprehensive Income and the realized loss is amortized to the Consolidated Statement of Operations over the term of the 2020 Senior Notes.</w:t>
      </w:r>
    </w:p>
    <w:p>
      <w:pPr>
        <w:spacing w:after="0" w:line="229" w:lineRule="exact"/>
        <w:rPr>
          <w:sz w:val="20"/>
          <w:szCs w:val="20"/>
          <w:color w:val="auto"/>
        </w:rPr>
      </w:pPr>
    </w:p>
    <w:p>
      <w:pPr>
        <w:jc w:val="both"/>
        <w:ind w:firstLine="322"/>
        <w:spacing w:after="0" w:line="260" w:lineRule="auto"/>
        <w:rPr>
          <w:sz w:val="20"/>
          <w:szCs w:val="20"/>
          <w:color w:val="auto"/>
        </w:rPr>
      </w:pPr>
      <w:r>
        <w:rPr>
          <w:rFonts w:ascii="Arial" w:cs="Arial" w:eastAsia="Arial" w:hAnsi="Arial"/>
          <w:sz w:val="16"/>
          <w:szCs w:val="16"/>
          <w:color w:val="auto"/>
        </w:rPr>
        <w:t>Deferred financing costs (including issue costs relating to the Senior Notes) are reported at cost less accumulated amortization and the related amortization expense is included in interest expense, in our Consolidated Statement of Operations.</w:t>
      </w:r>
    </w:p>
    <w:p>
      <w:pPr>
        <w:spacing w:after="0" w:line="14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(ab)</w:t>
        <w:tab/>
        <w:t>Reclassifications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amounts in the consolidated financial statements have been reclassified where necessary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3. Investments</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(a)</w:t>
        <w:tab/>
        <w:t>Available for sale investments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90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09"/>
        </w:trPr>
        <w:tc>
          <w:tcPr>
            <w:tcW w:w="5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at start of year</w:t>
            </w:r>
          </w:p>
        </w:tc>
        <w:tc>
          <w:tcPr>
            <w:tcW w:w="2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59,910</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Purchases</w:t>
            </w:r>
          </w:p>
        </w:tc>
        <w:tc>
          <w:tcPr>
            <w:tcW w:w="2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9,603</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maturities</w:t>
            </w:r>
          </w:p>
        </w:tc>
        <w:tc>
          <w:tcPr>
            <w:tcW w:w="2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(47,902)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(21,686)</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color w:val="auto"/>
              </w:rPr>
              <w:t>Interest on short term investments</w:t>
            </w:r>
          </w:p>
        </w:tc>
        <w:tc>
          <w:tcPr>
            <w:tcW w:w="26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1,065</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 on sale of short term investments</w:t>
            </w:r>
          </w:p>
        </w:tc>
        <w:tc>
          <w:tcPr>
            <w:tcW w:w="2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Unrealized capital (loss)/gain – investments</w:t>
            </w:r>
          </w:p>
        </w:tc>
        <w:tc>
          <w:tcPr>
            <w:tcW w:w="2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400"/>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 for sale investments at end of year</w:t>
            </w:r>
          </w:p>
        </w:tc>
        <w:tc>
          <w:tcPr>
            <w:tcW w:w="2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49,628</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238"/>
        <w:spacing w:after="0" w:line="253" w:lineRule="auto"/>
        <w:rPr>
          <w:sz w:val="20"/>
          <w:szCs w:val="20"/>
          <w:color w:val="auto"/>
        </w:rPr>
      </w:pPr>
      <w:r>
        <w:rPr>
          <w:rFonts w:ascii="Arial" w:cs="Arial" w:eastAsia="Arial" w:hAnsi="Arial"/>
          <w:sz w:val="16"/>
          <w:szCs w:val="16"/>
          <w:color w:val="auto"/>
        </w:rPr>
        <w:t>The Company classifies its investment in short term investments as available for sale. Short term investments comprise highly liquid investments with maturities of greater than three months and minimum "A-" rated fixed term deposits. Short term investments at December 31, 2020 have an average maturity of 3.4 years compared to 0.65 years at December 31, 2019.</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represents our available for sale short term investments by major security type as of December 31,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Maturity by period</w:t>
            </w:r>
          </w:p>
        </w:tc>
        <w:tc>
          <w:tcPr>
            <w:tcW w:w="600" w:type="dxa"/>
            <w:vAlign w:val="bottom"/>
            <w:tcBorders>
              <w:bottom w:val="single" w:sz="8" w:color="auto"/>
            </w:tcBorders>
            <w:shd w:val="clear" w:color="auto" w:fill="CCEEFF"/>
          </w:tcPr>
          <w:p>
            <w:pPr>
              <w:spacing w:after="0"/>
              <w:rPr>
                <w:sz w:val="18"/>
                <w:szCs w:val="18"/>
                <w:color w:val="auto"/>
              </w:rPr>
            </w:pPr>
          </w:p>
        </w:tc>
      </w:tr>
      <w:tr>
        <w:trPr>
          <w:trHeight w:val="156"/>
        </w:trPr>
        <w:tc>
          <w:tcPr>
            <w:tcW w:w="5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ind w:left="480"/>
              <w:spacing w:after="0" w:line="155" w:lineRule="exact"/>
              <w:rPr>
                <w:sz w:val="20"/>
                <w:szCs w:val="20"/>
                <w:color w:val="auto"/>
              </w:rPr>
            </w:pPr>
            <w:r>
              <w:rPr>
                <w:rFonts w:ascii="Arial" w:cs="Arial" w:eastAsia="Arial" w:hAnsi="Arial"/>
                <w:sz w:val="16"/>
                <w:szCs w:val="16"/>
                <w:b w:val="1"/>
                <w:bCs w:val="1"/>
                <w:color w:val="auto"/>
              </w:rPr>
              <w:t>Cost</w:t>
            </w:r>
          </w:p>
        </w:tc>
        <w:tc>
          <w:tcPr>
            <w:tcW w:w="400" w:type="dxa"/>
            <w:vAlign w:val="bottom"/>
          </w:tcPr>
          <w:p>
            <w:pPr>
              <w:spacing w:after="0"/>
              <w:rPr>
                <w:sz w:val="13"/>
                <w:szCs w:val="13"/>
                <w:color w:val="auto"/>
              </w:rPr>
            </w:pPr>
          </w:p>
        </w:tc>
        <w:tc>
          <w:tcPr>
            <w:tcW w:w="1060" w:type="dxa"/>
            <w:vAlign w:val="bottom"/>
          </w:tcPr>
          <w:p>
            <w:pPr>
              <w:ind w:left="260"/>
              <w:spacing w:after="0" w:line="155" w:lineRule="exact"/>
              <w:rPr>
                <w:sz w:val="20"/>
                <w:szCs w:val="20"/>
                <w:color w:val="auto"/>
              </w:rPr>
            </w:pPr>
            <w:r>
              <w:rPr>
                <w:rFonts w:ascii="Arial" w:cs="Arial" w:eastAsia="Arial" w:hAnsi="Arial"/>
                <w:sz w:val="16"/>
                <w:szCs w:val="16"/>
                <w:b w:val="1"/>
                <w:bCs w:val="1"/>
                <w:color w:val="auto"/>
              </w:rPr>
              <w:t>Fair Value</w:t>
            </w:r>
          </w:p>
        </w:tc>
        <w:tc>
          <w:tcPr>
            <w:tcW w:w="4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Less than 1</w:t>
            </w:r>
          </w:p>
        </w:tc>
        <w:tc>
          <w:tcPr>
            <w:tcW w:w="840" w:type="dxa"/>
            <w:vAlign w:val="bottom"/>
          </w:tcPr>
          <w:p>
            <w:pPr>
              <w:spacing w:after="0"/>
              <w:rPr>
                <w:sz w:val="13"/>
                <w:szCs w:val="13"/>
                <w:color w:val="auto"/>
              </w:rPr>
            </w:pPr>
          </w:p>
        </w:tc>
        <w:tc>
          <w:tcPr>
            <w:tcW w:w="600" w:type="dxa"/>
            <w:vAlign w:val="bottom"/>
          </w:tcPr>
          <w:p>
            <w:pPr>
              <w:jc w:val="center"/>
              <w:ind w:left="59"/>
              <w:spacing w:after="0" w:line="155" w:lineRule="exact"/>
              <w:rPr>
                <w:sz w:val="20"/>
                <w:szCs w:val="20"/>
                <w:color w:val="auto"/>
              </w:rPr>
            </w:pPr>
            <w:r>
              <w:rPr>
                <w:rFonts w:ascii="Arial" w:cs="Arial" w:eastAsia="Arial" w:hAnsi="Arial"/>
                <w:sz w:val="16"/>
                <w:szCs w:val="16"/>
                <w:b w:val="1"/>
                <w:bCs w:val="1"/>
                <w:color w:val="auto"/>
              </w:rPr>
              <w:t>1 to 5</w:t>
            </w:r>
          </w:p>
        </w:tc>
      </w:tr>
      <w:tr>
        <w:trPr>
          <w:trHeight w:val="215"/>
        </w:trPr>
        <w:tc>
          <w:tcPr>
            <w:tcW w:w="54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94"/>
              </w:rPr>
              <w:t>Total</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w w:val="99"/>
              </w:rPr>
              <w:t>Total</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w:t>
            </w: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years</w:t>
            </w:r>
          </w:p>
        </w:tc>
      </w:tr>
      <w:tr>
        <w:trPr>
          <w:trHeight w:val="210"/>
        </w:trPr>
        <w:tc>
          <w:tcPr>
            <w:tcW w:w="5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600"/>
              <w:spacing w:after="0"/>
              <w:rPr>
                <w:sz w:val="20"/>
                <w:szCs w:val="20"/>
                <w:color w:val="auto"/>
              </w:rPr>
            </w:pPr>
            <w:r>
              <w:rPr>
                <w:rFonts w:ascii="Arial" w:cs="Arial" w:eastAsia="Arial" w:hAnsi="Arial"/>
                <w:sz w:val="16"/>
                <w:szCs w:val="16"/>
                <w:b w:val="1"/>
                <w:bCs w:val="1"/>
                <w:color w:val="auto"/>
              </w:rPr>
              <w:t>(in millions)</w:t>
            </w: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Term deposits</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1.73</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1.73</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6"/>
              </w:rPr>
              <w:t>1.23</w:t>
            </w:r>
          </w:p>
        </w:tc>
      </w:tr>
      <w:tr>
        <w:trPr>
          <w:trHeight w:val="235"/>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 in millions)</w:t>
            </w: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1.73</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1.73</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96"/>
              </w:rPr>
              <w:t>1.23</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227"/>
        <w:spacing w:after="0" w:line="253" w:lineRule="auto"/>
        <w:rPr>
          <w:sz w:val="20"/>
          <w:szCs w:val="20"/>
          <w:color w:val="auto"/>
        </w:rPr>
      </w:pPr>
      <w:r>
        <w:rPr>
          <w:rFonts w:ascii="Arial" w:cs="Arial" w:eastAsia="Arial" w:hAnsi="Arial"/>
          <w:sz w:val="16"/>
          <w:szCs w:val="16"/>
          <w:color w:val="auto"/>
        </w:rPr>
        <w:t>The contractual maturity of certain investments in the portfolio is greater than 12 months; however, classification as short-term investments reflects the Company practice and intention in respect of these investments. The Company recognizes the unrealized losses at fair value in equity as these unrealized losses on short term investments have been considered as temporary.</w:t>
      </w:r>
    </w:p>
    <w:p>
      <w:pPr>
        <w:spacing w:after="0" w:line="208"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 in equity - long term</w:t>
      </w:r>
    </w:p>
    <w:p>
      <w:pPr>
        <w:spacing w:after="0" w:line="268" w:lineRule="exact"/>
        <w:rPr>
          <w:sz w:val="20"/>
          <w:szCs w:val="20"/>
          <w:color w:val="auto"/>
        </w:rPr>
      </w:pPr>
    </w:p>
    <w:p>
      <w:pPr>
        <w:jc w:val="both"/>
        <w:ind w:firstLine="241"/>
        <w:spacing w:after="0" w:line="248" w:lineRule="auto"/>
        <w:rPr>
          <w:sz w:val="20"/>
          <w:szCs w:val="20"/>
          <w:color w:val="auto"/>
        </w:rPr>
      </w:pPr>
      <w:r>
        <w:rPr>
          <w:rFonts w:ascii="Arial" w:cs="Arial" w:eastAsia="Arial" w:hAnsi="Arial"/>
          <w:sz w:val="16"/>
          <w:szCs w:val="16"/>
          <w:color w:val="auto"/>
        </w:rPr>
        <w:t>The Company entered into subscription agreements with a number of funds. Capital totaling $13.3 million had been advanced under the terms of the subscription agreements at December 31, 2020 (December 31, 2019: $10.1 million). The Company determined that the interests in the funds meet the definition of equity securities without readily determinable fair values. Effective from January 1, 2018, the Company concluded that the interests held at December 31, 2020 qualify for the NAV practical expedient in ASC 820 '</w:t>
      </w:r>
      <w:r>
        <w:rPr>
          <w:rFonts w:ascii="Arial" w:cs="Arial" w:eastAsia="Arial" w:hAnsi="Arial"/>
          <w:sz w:val="16"/>
          <w:szCs w:val="16"/>
          <w:i w:val="1"/>
          <w:iCs w:val="1"/>
          <w:color w:val="auto"/>
        </w:rPr>
        <w:t>Fair value measurements and disclosure</w:t>
      </w:r>
      <w:r>
        <w:rPr>
          <w:rFonts w:ascii="Arial" w:cs="Arial" w:eastAsia="Arial" w:hAnsi="Arial"/>
          <w:sz w:val="16"/>
          <w:szCs w:val="16"/>
          <w:color w:val="auto"/>
        </w:rPr>
        <w:t>s'. There was an increase in fair value of $2.5 million (December 31, 2019: decrease in fair value of $0.8 million) recognized in net income during the year bringing the carrying value of the subscriptions to $15.8 million at December 31, 2020 (December 31, 2019: $10.1 million). At December 31, 2020, the Company had committed to future investments of $21.9 million in respect of these funds.</w:t>
      </w:r>
    </w:p>
    <w:p>
      <w:pPr>
        <w:spacing w:after="0" w:line="215" w:lineRule="exact"/>
        <w:rPr>
          <w:sz w:val="20"/>
          <w:szCs w:val="20"/>
          <w:color w:val="auto"/>
        </w:rPr>
      </w:pPr>
    </w:p>
    <w:p>
      <w:pPr>
        <w:ind w:left="440" w:hanging="432"/>
        <w:spacing w:after="0"/>
        <w:tabs>
          <w:tab w:leader="none" w:pos="44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Equity method investments</w:t>
      </w:r>
    </w:p>
    <w:p>
      <w:pPr>
        <w:spacing w:after="0" w:line="2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The Company has invested $4.9 million to obtain a 49% interest in the voting share capital of Oncacare. The Company’s investment in Oncacare is accounted for under the equity method due to the Company's ability to exercise significant influence over Oncacare that is considered to be greater than minor. The Company records its pro rata share of the earnings/losses of this investment in 'Share of equity method investments' in the Consolidated Statement of Operations. See additional details in </w:t>
      </w:r>
      <w:r>
        <w:rPr>
          <w:rFonts w:ascii="Arial" w:cs="Arial" w:eastAsia="Arial" w:hAnsi="Arial"/>
          <w:sz w:val="16"/>
          <w:szCs w:val="16"/>
          <w:i w:val="1"/>
          <w:iCs w:val="1"/>
          <w:color w:val="auto"/>
        </w:rPr>
        <w:t>note 2 -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2" w:name="page113"/>
    <w:bookmarkEnd w:id="112"/>
    <w:p>
      <w:pPr>
        <w:jc w:val="both"/>
        <w:ind w:firstLine="648"/>
        <w:spacing w:after="0" w:line="260" w:lineRule="auto"/>
        <w:rPr>
          <w:sz w:val="20"/>
          <w:szCs w:val="20"/>
          <w:color w:val="auto"/>
        </w:rPr>
      </w:pPr>
      <w:r>
        <w:rPr>
          <w:rFonts w:ascii="Arial" w:cs="Arial" w:eastAsia="Arial" w:hAnsi="Arial"/>
          <w:sz w:val="16"/>
          <w:szCs w:val="16"/>
          <w:color w:val="auto"/>
        </w:rPr>
        <w:t>The majority investor has the right to sell the 51% majority voting share capital exclusively to the Company in an eighteen month period, commencing January 1, 2023 and ICON also has the right to acquire the 51% majority voting share capital from August 1, 2025.</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equity method investments at December 31,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18"/>
                <w:szCs w:val="18"/>
                <w:color w:val="auto"/>
              </w:rPr>
            </w:pPr>
          </w:p>
        </w:tc>
        <w:tc>
          <w:tcPr>
            <w:tcW w:w="404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Ownership Percentage</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r>
      <w:tr>
        <w:trPr>
          <w:trHeight w:val="215"/>
        </w:trPr>
        <w:tc>
          <w:tcPr>
            <w:tcW w:w="3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At date of investment</w:t>
            </w:r>
          </w:p>
        </w:tc>
      </w:tr>
      <w:tr>
        <w:trPr>
          <w:trHeight w:val="216"/>
        </w:trPr>
        <w:tc>
          <w:tcPr>
            <w:tcW w:w="3140" w:type="dxa"/>
            <w:vAlign w:val="bottom"/>
            <w:tcBorders>
              <w:bottom w:val="single" w:sz="8" w:color="auto"/>
            </w:tcBorders>
            <w:shd w:val="clear" w:color="auto" w:fill="CCEEFF"/>
          </w:tcPr>
          <w:p>
            <w:pPr>
              <w:spacing w:after="0"/>
              <w:rPr>
                <w:sz w:val="18"/>
                <w:szCs w:val="18"/>
                <w:color w:val="auto"/>
              </w:rPr>
            </w:pPr>
          </w:p>
        </w:tc>
        <w:tc>
          <w:tcPr>
            <w:tcW w:w="40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December 31, 2020</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5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July 24, 2020</w:t>
            </w:r>
          </w:p>
        </w:tc>
      </w:tr>
      <w:tr>
        <w:trPr>
          <w:trHeight w:val="210"/>
        </w:trPr>
        <w:tc>
          <w:tcPr>
            <w:tcW w:w="31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tcPr>
          <w:p>
            <w:pPr>
              <w:spacing w:after="0"/>
              <w:rPr>
                <w:sz w:val="18"/>
                <w:szCs w:val="18"/>
                <w:color w:val="auto"/>
              </w:rPr>
            </w:pPr>
          </w:p>
        </w:tc>
      </w:tr>
      <w:tr>
        <w:trPr>
          <w:trHeight w:val="21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Oncacare Limited</w:t>
            </w:r>
          </w:p>
        </w:tc>
        <w:tc>
          <w:tcPr>
            <w:tcW w:w="4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w:t>
            </w:r>
          </w:p>
        </w:tc>
      </w:tr>
      <w:tr>
        <w:trPr>
          <w:trHeight w:val="270"/>
        </w:trPr>
        <w:tc>
          <w:tcPr>
            <w:tcW w:w="3140" w:type="dxa"/>
            <w:vAlign w:val="bottom"/>
            <w:tcBorders>
              <w:bottom w:val="single" w:sz="8" w:color="auto"/>
            </w:tcBorders>
          </w:tcPr>
          <w:p>
            <w:pPr>
              <w:spacing w:after="0"/>
              <w:rPr>
                <w:sz w:val="23"/>
                <w:szCs w:val="23"/>
                <w:color w:val="auto"/>
              </w:rPr>
            </w:pPr>
          </w:p>
        </w:tc>
        <w:tc>
          <w:tcPr>
            <w:tcW w:w="404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r>
    </w:tbl>
    <w:p>
      <w:pPr>
        <w:spacing w:after="0" w:line="3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invested $4.9 million in Oncacare, of which, $2.5 million has been paid with the remainder to be paid in the next twelve months.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recorded a loss of $0.4 million representing its pro rata share of the losses in Oncacare since the date of initial investment.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Goodwill</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540" w:type="dxa"/>
            <w:vAlign w:val="bottom"/>
            <w:tcBorders>
              <w:bottom w:val="single" w:sz="8" w:color="auto"/>
            </w:tcBorders>
            <w:shd w:val="clear" w:color="auto" w:fill="CCEEFF"/>
          </w:tcPr>
          <w:p>
            <w:pPr>
              <w:spacing w:after="0"/>
              <w:rPr>
                <w:sz w:val="18"/>
                <w:szCs w:val="18"/>
                <w:color w:val="auto"/>
              </w:rPr>
            </w:pPr>
          </w:p>
        </w:tc>
        <w:tc>
          <w:tcPr>
            <w:tcW w:w="30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09"/>
        </w:trPr>
        <w:tc>
          <w:tcPr>
            <w:tcW w:w="5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goodwill</w:t>
            </w:r>
          </w:p>
        </w:tc>
        <w:tc>
          <w:tcPr>
            <w:tcW w:w="3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883,170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756,260</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Current year acquisitions</w:t>
            </w:r>
          </w:p>
        </w:tc>
        <w:tc>
          <w:tcPr>
            <w:tcW w:w="30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27,191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126,932</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period acquisition (note 4 (b),(c))</w:t>
            </w:r>
          </w:p>
        </w:tc>
        <w:tc>
          <w:tcPr>
            <w:tcW w:w="30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30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8"/>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goodwill</w:t>
            </w:r>
          </w:p>
        </w:tc>
        <w:tc>
          <w:tcPr>
            <w:tcW w:w="3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936,257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883,170</w:t>
            </w: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256"/>
        <w:spacing w:after="0" w:line="251" w:lineRule="auto"/>
        <w:rPr>
          <w:sz w:val="20"/>
          <w:szCs w:val="20"/>
          <w:color w:val="auto"/>
        </w:rPr>
      </w:pPr>
      <w:r>
        <w:rPr>
          <w:rFonts w:ascii="Arial" w:cs="Arial" w:eastAsia="Arial" w:hAnsi="Arial"/>
          <w:sz w:val="16"/>
          <w:szCs w:val="16"/>
          <w:color w:val="auto"/>
        </w:rPr>
        <w:t>The Company has made a number of strategic acquisitions since inception to enhance its capabilities and experience in certain areas of the clinical development process. Goodwill arising on acquisition represents the excess of the cost of acquired entities over the net amounts assigned to assets acquired and liabilities assumed. Goodwill is primarily comprised of the acquired workforce in place which does not qualify for recognition as an asset apart from goodwill.</w:t>
      </w:r>
    </w:p>
    <w:p>
      <w:pPr>
        <w:spacing w:after="0" w:line="229" w:lineRule="exact"/>
        <w:rPr>
          <w:sz w:val="20"/>
          <w:szCs w:val="20"/>
          <w:color w:val="auto"/>
        </w:rPr>
      </w:pPr>
    </w:p>
    <w:p>
      <w:pPr>
        <w:jc w:val="both"/>
        <w:ind w:firstLine="227"/>
        <w:spacing w:after="0" w:line="251" w:lineRule="auto"/>
        <w:rPr>
          <w:sz w:val="20"/>
          <w:szCs w:val="20"/>
          <w:color w:val="auto"/>
        </w:rPr>
      </w:pPr>
      <w:r>
        <w:rPr>
          <w:rFonts w:ascii="Arial" w:cs="Arial" w:eastAsia="Arial" w:hAnsi="Arial"/>
          <w:sz w:val="16"/>
          <w:szCs w:val="16"/>
          <w:color w:val="auto"/>
        </w:rPr>
        <w:t>The Company tests goodwill annually for impairment or whenever events occur which may indicate impairment. The results of the Company's goodwill impairment testing assessed at September 30, 2020 during the year ended December 31, 2020 provided no evidence of impairment and indicated the existence of sufficient headroom such that a reasonably possible change to the key assumptions used would be unlikely to result in an impairment of the related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i w:val="1"/>
          <w:iCs w:val="1"/>
          <w:color w:val="auto"/>
        </w:rPr>
        <w:t>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MedPass Group ("MedPass")</w:t>
      </w:r>
    </w:p>
    <w:p>
      <w:pPr>
        <w:spacing w:after="0" w:line="26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7"/>
          <w:szCs w:val="17"/>
          <w:color w:val="auto"/>
        </w:rPr>
        <w:t>.</w:t>
      </w:r>
      <w:r>
        <w:rPr>
          <w:rFonts w:ascii="Arial" w:cs="Arial" w:eastAsia="Arial" w:hAnsi="Arial"/>
          <w:sz w:val="16"/>
          <w:szCs w:val="16"/>
          <w:color w:val="auto"/>
        </w:rPr>
        <w:t xml:space="preserve"> Accounting for the acquisition of MedPass was finalized in the year ended December 31, 2020.</w:t>
      </w:r>
    </w:p>
    <w:p>
      <w:pPr>
        <w:spacing w:after="0" w:line="235" w:lineRule="exact"/>
        <w:rPr>
          <w:sz w:val="20"/>
          <w:szCs w:val="20"/>
          <w:color w:val="auto"/>
        </w:rPr>
      </w:pPr>
    </w:p>
    <w:p>
      <w:pPr>
        <w:ind w:right="80" w:firstLine="180"/>
        <w:spacing w:after="0" w:line="272" w:lineRule="auto"/>
        <w:rPr>
          <w:sz w:val="20"/>
          <w:szCs w:val="20"/>
          <w:color w:val="auto"/>
        </w:rPr>
      </w:pPr>
      <w:r>
        <w:rPr>
          <w:rFonts w:ascii="Arial" w:cs="Arial" w:eastAsia="Arial" w:hAnsi="Arial"/>
          <w:sz w:val="16"/>
          <w:szCs w:val="16"/>
          <w:color w:val="auto"/>
        </w:rPr>
        <w:t>The acquisition of MedPass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an assessment of the fair value of assets acquired and liabilities assumed as at that date. The following table summarizes the Company’s fair values of the assets acquired and liabilities assumed: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22,</w:t>
            </w:r>
          </w:p>
        </w:tc>
      </w:tr>
      <w:tr>
        <w:trPr>
          <w:trHeight w:val="215"/>
        </w:trPr>
        <w:tc>
          <w:tcPr>
            <w:tcW w:w="6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10,170</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27,191</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11,725</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3,033</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(2,202)</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liability</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w:t>
            </w:r>
          </w:p>
        </w:tc>
      </w:tr>
      <w:tr>
        <w:trPr>
          <w:trHeight w:val="148"/>
        </w:trPr>
        <w:tc>
          <w:tcPr>
            <w:tcW w:w="61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r>
        <w:trPr>
          <w:trHeight w:val="189"/>
        </w:trPr>
        <w:tc>
          <w:tcPr>
            <w:tcW w:w="61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46,992</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Working capital adjustment paid</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564</w:t>
            </w:r>
          </w:p>
        </w:tc>
      </w:tr>
      <w:tr>
        <w:trPr>
          <w:trHeight w:val="226"/>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 **</w:t>
            </w:r>
          </w:p>
        </w:tc>
        <w:tc>
          <w:tcPr>
            <w:tcW w:w="36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1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47,556</w:t>
            </w:r>
          </w:p>
        </w:tc>
      </w:tr>
    </w:tbl>
    <w:p>
      <w:pPr>
        <w:spacing w:after="0" w:line="218" w:lineRule="exact"/>
        <w:rPr>
          <w:sz w:val="20"/>
          <w:szCs w:val="20"/>
          <w:color w:val="auto"/>
        </w:rPr>
      </w:pPr>
    </w:p>
    <w:p>
      <w:pPr>
        <w:ind w:firstLine="8"/>
        <w:spacing w:after="0" w:line="260" w:lineRule="auto"/>
        <w:tabs>
          <w:tab w:leader="none" w:pos="1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that specializes in medical device development and market access. None of the goodwill recognized is expected to be deductible for income tax purposes.</w:t>
      </w:r>
    </w:p>
    <w:p>
      <w:pPr>
        <w:spacing w:after="0" w:line="33" w:lineRule="exact"/>
        <w:rPr>
          <w:sz w:val="20"/>
          <w:szCs w:val="20"/>
          <w:color w:val="auto"/>
        </w:rPr>
      </w:pPr>
    </w:p>
    <w:p>
      <w:pPr>
        <w:jc w:val="both"/>
        <w:ind w:firstLine="8"/>
        <w:spacing w:after="0" w:line="253" w:lineRule="auto"/>
        <w:tabs>
          <w:tab w:leader="none" w:pos="17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fair value of the contingent consideration was estimated at the date of acquisition. Depending on performance of the company, the total consideration could have increased by a maximum of $6.7 million in contingent consideration. At the acquisition date and at December 31, 2020, the fair value of this contingent consideration payable to MedPass is $Nil.</w:t>
      </w:r>
    </w:p>
    <w:p>
      <w:pPr>
        <w:spacing w:after="0" w:line="3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finalizing the acquisition of MedPass in the twelve month period from acquisition, fair value adjustments were made which resulted in an increase in accounts receivable ($0.2 million) and unearned revenue ($0.8 million) and a decrease in operating right of use assets ($0.8 million), other liabilities ($0.8 million), current lease liabilities ($0.1 million), non-current lease liabilities ($0.7 million) and non-current deferred tax liability ($0.6 million). Customer relationship and order backlog assets were also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4" w:name="page115"/>
    <w:bookmarkEnd w:id="114"/>
    <w:p>
      <w:pPr>
        <w:jc w:val="both"/>
        <w:ind w:firstLine="648"/>
        <w:spacing w:after="0" w:line="253" w:lineRule="auto"/>
        <w:rPr>
          <w:sz w:val="20"/>
          <w:szCs w:val="20"/>
          <w:color w:val="auto"/>
        </w:rPr>
      </w:pPr>
      <w:r>
        <w:rPr>
          <w:rFonts w:ascii="Arial" w:cs="Arial" w:eastAsia="Arial" w:hAnsi="Arial"/>
          <w:sz w:val="16"/>
          <w:szCs w:val="16"/>
          <w:color w:val="auto"/>
        </w:rPr>
        <w:t>Since January 22, 2020, MedPass has earned revenue of $13.2 million and net income of $2.5 million in the year ended December 31, 2020. The proforma effect of the MedPass acquisition if completed on January 1, 2019 would have resulted in revenue, net income and earnings per share for the fiscal years ended December 31, 2020 and December 31, 2019 as follows: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99"/>
              </w:rPr>
              <w:t>Year Ended</w:t>
            </w:r>
          </w:p>
        </w:tc>
        <w:tc>
          <w:tcPr>
            <w:tcW w:w="820" w:type="dxa"/>
            <w:vAlign w:val="bottom"/>
            <w:tcBorders>
              <w:bottom w:val="single" w:sz="8" w:color="auto"/>
            </w:tcBorders>
            <w:shd w:val="clear" w:color="auto" w:fill="CCEEFF"/>
          </w:tcPr>
          <w:p>
            <w:pPr>
              <w:spacing w:after="0"/>
              <w:rPr>
                <w:sz w:val="18"/>
                <w:szCs w:val="18"/>
                <w:color w:val="auto"/>
              </w:rPr>
            </w:pPr>
          </w:p>
        </w:tc>
      </w:tr>
      <w:tr>
        <w:trPr>
          <w:trHeight w:val="209"/>
        </w:trPr>
        <w:tc>
          <w:tcPr>
            <w:tcW w:w="8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8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62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2,798,180</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2,820,796</w:t>
            </w:r>
          </w:p>
        </w:tc>
      </w:tr>
      <w:tr>
        <w:trPr>
          <w:trHeight w:val="219"/>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332,521</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377,485</w:t>
            </w:r>
          </w:p>
        </w:tc>
      </w:tr>
      <w:tr>
        <w:trPr>
          <w:trHeight w:val="216"/>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rPr>
              <w:t>(in ones)</w:t>
            </w:r>
          </w:p>
        </w:tc>
        <w:tc>
          <w:tcPr>
            <w:tcW w:w="820" w:type="dxa"/>
            <w:vAlign w:val="bottom"/>
            <w:shd w:val="clear" w:color="auto" w:fill="CCEEFF"/>
          </w:tcPr>
          <w:p>
            <w:pPr>
              <w:spacing w:after="0"/>
              <w:rPr>
                <w:sz w:val="18"/>
                <w:szCs w:val="18"/>
                <w:color w:val="auto"/>
              </w:rPr>
            </w:pPr>
          </w:p>
        </w:tc>
      </w:tr>
      <w:tr>
        <w:trPr>
          <w:trHeight w:val="213"/>
        </w:trPr>
        <w:tc>
          <w:tcPr>
            <w:tcW w:w="8620" w:type="dxa"/>
            <w:vAlign w:val="bottom"/>
          </w:tcPr>
          <w:p>
            <w:pPr>
              <w:spacing w:after="0"/>
              <w:rPr>
                <w:sz w:val="20"/>
                <w:szCs w:val="20"/>
                <w:color w:val="auto"/>
              </w:rPr>
            </w:pPr>
            <w:r>
              <w:rPr>
                <w:rFonts w:ascii="Arial" w:cs="Arial" w:eastAsia="Arial" w:hAnsi="Arial"/>
                <w:sz w:val="16"/>
                <w:szCs w:val="16"/>
                <w:color w:val="auto"/>
              </w:rPr>
              <w:t>Basic earnings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6.21</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6.91</w:t>
            </w:r>
          </w:p>
        </w:tc>
      </w:tr>
      <w:tr>
        <w:trPr>
          <w:trHeight w:val="226"/>
        </w:trPr>
        <w:tc>
          <w:tcPr>
            <w:tcW w:w="8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 Symphony</w:t>
      </w:r>
    </w:p>
    <w:p>
      <w:pPr>
        <w:spacing w:after="0" w:line="75" w:lineRule="exact"/>
        <w:rPr>
          <w:sz w:val="20"/>
          <w:szCs w:val="20"/>
          <w:color w:val="auto"/>
        </w:rPr>
      </w:pPr>
    </w:p>
    <w:p>
      <w:pPr>
        <w:jc w:val="both"/>
        <w:ind w:firstLine="259"/>
        <w:spacing w:after="0" w:line="251" w:lineRule="auto"/>
        <w:rPr>
          <w:sz w:val="20"/>
          <w:szCs w:val="20"/>
          <w:color w:val="auto"/>
        </w:rPr>
      </w:pPr>
      <w:r>
        <w:rPr>
          <w:rFonts w:ascii="Arial" w:cs="Arial" w:eastAsia="Arial" w:hAnsi="Arial"/>
          <w:sz w:val="16"/>
          <w:szCs w:val="16"/>
          <w:color w:val="auto"/>
        </w:rPr>
        <w:t>On September 24, 2019 a subsidiary of the Company, ICON Clinical Research LLC, acquired a 100% interest in Symphony. Symphony is a leading provider of at-home trial services and site support services. The acquisition of Symphony further enhances our site and patient services offering. The acquisition resulted in the recognition of goodwill of $22.9 million. Accounting for the acquisition of Symphony was finalized in the year ended December 31, 2020.</w:t>
      </w:r>
    </w:p>
    <w:p>
      <w:pPr>
        <w:spacing w:after="0" w:line="213"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6"/>
          <w:szCs w:val="16"/>
          <w:color w:val="auto"/>
        </w:rPr>
        <w:t>The acquisition of Symphony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 The Company has made an assessment of the fair value of assets acquired and liabilities assumed as at that date.The following table summarizes the Company’s fair values of the assets acquired and liabilities assumed: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24,</w:t>
            </w:r>
          </w:p>
        </w:tc>
      </w:tr>
      <w:tr>
        <w:trPr>
          <w:trHeight w:val="215"/>
        </w:trPr>
        <w:tc>
          <w:tcPr>
            <w:tcW w:w="6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3,292</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22,865</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8,159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4,544</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(933)</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37,817</w:t>
            </w:r>
          </w:p>
        </w:tc>
      </w:t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34,976</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 adjustment paid</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1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Contingent consideration</w:t>
            </w:r>
          </w:p>
        </w:tc>
        <w:tc>
          <w:tcPr>
            <w:tcW w:w="3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w:t>
            </w:r>
          </w:p>
        </w:tc>
      </w:tr>
      <w:tr>
        <w:trPr>
          <w:trHeight w:val="199"/>
        </w:trPr>
        <w:tc>
          <w:tcPr>
            <w:tcW w:w="61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37,817</w:t>
            </w:r>
          </w:p>
        </w:tc>
      </w:tr>
    </w:tbl>
    <w:p>
      <w:pPr>
        <w:spacing w:after="0" w:line="258" w:lineRule="exact"/>
        <w:rPr>
          <w:sz w:val="20"/>
          <w:szCs w:val="20"/>
          <w:color w:val="auto"/>
        </w:rPr>
      </w:pPr>
    </w:p>
    <w:p>
      <w:pPr>
        <w:ind w:right="20" w:firstLine="8"/>
        <w:spacing w:after="0" w:line="260" w:lineRule="auto"/>
        <w:tabs>
          <w:tab w:leader="none" w:pos="1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and the capability to provide at-home trial services and site support solutions. The full amount of the goodwill recognized is expected to be deductible for income tax purposes.</w:t>
      </w:r>
    </w:p>
    <w:p>
      <w:pPr>
        <w:spacing w:after="0" w:line="2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finalizing the acquisition of Symphony in the twelve month period from acquisition, fair value adjustments were made which resulted in increases in accounts receivable ($0.6 million) and unearned revenue ($1.0 million) and decreases in unbilled revenue ($0.1 million), accounts payable ($0.3 million) and other liabilities ($0.1 million). Customer relationship and order backlog assets were also finalized.</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15" w:name="page116"/>
    <w:bookmarkEnd w:id="115"/>
    <w:p>
      <w:pPr>
        <w:jc w:val="both"/>
        <w:ind w:firstLine="183"/>
        <w:spacing w:after="0" w:line="248" w:lineRule="auto"/>
        <w:rPr>
          <w:sz w:val="20"/>
          <w:szCs w:val="20"/>
          <w:color w:val="auto"/>
        </w:rPr>
      </w:pPr>
      <w:r>
        <w:rPr>
          <w:rFonts w:ascii="Arial" w:cs="Arial" w:eastAsia="Arial" w:hAnsi="Arial"/>
          <w:sz w:val="16"/>
          <w:szCs w:val="16"/>
          <w:color w:val="auto"/>
        </w:rPr>
        <w:t>The contingent consideration was assessed at the acquisition date and was based on revenue targets set for the company to the period ending March 31, 2020. The fair value of the contingent consideration on acquisition, and at December 31, 2019, was $2.5 million based on an income approach. The value of the contractual contingent consideration is in the range of zero to a maximum of $2.5 million. Due to the short term nature of the contingent consideration, no discounting was applied. As the fair value measure is based on significant inputs that are not observable in the market, the contingent consideration meets the definition of a level 3 financial instrument under ASC 820. The inputs that are not observable in the market are the expected revenue of the company to the period ending March 31, 2020 and the probability of achievement of this revenue target by the company. A positive or negative movement of these inputs by 10% would not result in a material change to the contingent consideration balance. In the twelve month period ended December 31, 2020, the contingent consideration was settled at fair value in the amount of $0.5 million. The change in fair value has been recorded in the selling, general and administrative expense line of the Consolidated Statement of Operations.</w:t>
      </w:r>
    </w:p>
    <w:p>
      <w:pPr>
        <w:spacing w:after="0" w:line="233" w:lineRule="exact"/>
        <w:rPr>
          <w:sz w:val="20"/>
          <w:szCs w:val="20"/>
          <w:color w:val="auto"/>
        </w:rPr>
      </w:pPr>
    </w:p>
    <w:p>
      <w:pPr>
        <w:jc w:val="both"/>
        <w:ind w:firstLine="238"/>
        <w:spacing w:after="0" w:line="253" w:lineRule="auto"/>
        <w:rPr>
          <w:sz w:val="20"/>
          <w:szCs w:val="20"/>
          <w:color w:val="auto"/>
        </w:rPr>
      </w:pPr>
      <w:r>
        <w:rPr>
          <w:rFonts w:ascii="Arial" w:cs="Arial" w:eastAsia="Arial" w:hAnsi="Arial"/>
          <w:sz w:val="16"/>
          <w:szCs w:val="16"/>
          <w:color w:val="auto"/>
        </w:rPr>
        <w:t>Since September 24, 2019, Symphony has earned revenue of $4.5 million and net income of $1.0 million in the year ended December 31, 2019. The proforma effect of the Symphony acquisition if completed on January 1, 2018 would have resulted in revenue, net income and earnings per share for the fiscal years ending December 31, 2019 and December 31, 2018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99"/>
              </w:rPr>
              <w:t>Year Ended</w:t>
            </w:r>
          </w:p>
        </w:tc>
        <w:tc>
          <w:tcPr>
            <w:tcW w:w="8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Revenue</w:t>
            </w:r>
          </w:p>
        </w:tc>
        <w:tc>
          <w:tcPr>
            <w:tcW w:w="5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2,818,280</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2,609,233</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5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376,636</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324,671</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rPr>
              <w:t>(in ones)</w:t>
            </w: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6"/>
                <w:szCs w:val="16"/>
                <w:color w:val="auto"/>
              </w:rPr>
              <w:t>Basic earnings per share</w:t>
            </w:r>
          </w:p>
        </w:tc>
        <w:tc>
          <w:tcPr>
            <w:tcW w:w="5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6.90</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6.00</w:t>
            </w:r>
          </w:p>
        </w:tc>
        <w:tc>
          <w:tcPr>
            <w:tcW w:w="20" w:type="dxa"/>
            <w:vAlign w:val="bottom"/>
          </w:tcPr>
          <w:p>
            <w:pPr>
              <w:spacing w:after="0"/>
              <w:rPr>
                <w:sz w:val="18"/>
                <w:szCs w:val="18"/>
                <w:color w:val="auto"/>
              </w:rPr>
            </w:pPr>
          </w:p>
        </w:tc>
      </w:tr>
      <w:tr>
        <w:trPr>
          <w:trHeight w:val="226"/>
        </w:trPr>
        <w:tc>
          <w:tcPr>
            <w:tcW w:w="40" w:type="dxa"/>
            <w:vAlign w:val="bottom"/>
          </w:tcPr>
          <w:p>
            <w:pPr>
              <w:spacing w:after="0"/>
              <w:rPr>
                <w:sz w:val="19"/>
                <w:szCs w:val="19"/>
                <w:color w:val="auto"/>
              </w:rPr>
            </w:pPr>
          </w:p>
        </w:tc>
        <w:tc>
          <w:tcPr>
            <w:tcW w:w="3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Diluted earnings per share</w:t>
            </w:r>
          </w:p>
        </w:tc>
        <w:tc>
          <w:tcPr>
            <w:tcW w:w="5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20" w:type="dxa"/>
            <w:vAlign w:val="bottom"/>
          </w:tcPr>
          <w:p>
            <w:pPr>
              <w:spacing w:after="0"/>
              <w:rPr>
                <w:sz w:val="19"/>
                <w:szCs w:val="19"/>
                <w:color w:val="auto"/>
              </w:rPr>
            </w:pPr>
          </w:p>
        </w:tc>
      </w:tr>
      <w:tr>
        <w:trPr>
          <w:trHeight w:val="858"/>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940" w:type="dxa"/>
            <w:vAlign w:val="bottom"/>
          </w:tcPr>
          <w:p>
            <w:pPr>
              <w:jc w:val="right"/>
              <w:ind w:right="2819"/>
              <w:spacing w:after="0"/>
              <w:rPr>
                <w:sz w:val="20"/>
                <w:szCs w:val="20"/>
                <w:color w:val="auto"/>
              </w:rPr>
            </w:pPr>
            <w:r>
              <w:rPr>
                <w:rFonts w:ascii="Arial" w:cs="Arial" w:eastAsia="Arial" w:hAnsi="Arial"/>
                <w:sz w:val="16"/>
                <w:szCs w:val="16"/>
                <w:color w:val="auto"/>
              </w:rPr>
              <w:t>114</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49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i w:val="1"/>
          <w:iCs w:val="1"/>
          <w:color w:val="auto"/>
        </w:rPr>
        <w:t>(c) MeDiNova</w:t>
      </w:r>
    </w:p>
    <w:p>
      <w:pPr>
        <w:spacing w:after="0" w:line="183" w:lineRule="exact"/>
        <w:rPr>
          <w:sz w:val="20"/>
          <w:szCs w:val="20"/>
          <w:color w:val="auto"/>
        </w:rPr>
      </w:pPr>
    </w:p>
    <w:p>
      <w:pPr>
        <w:jc w:val="both"/>
        <w:ind w:firstLine="190"/>
        <w:spacing w:after="0" w:line="250" w:lineRule="auto"/>
        <w:rPr>
          <w:sz w:val="20"/>
          <w:szCs w:val="20"/>
          <w:color w:val="auto"/>
        </w:rPr>
      </w:pPr>
      <w:r>
        <w:rPr>
          <w:rFonts w:ascii="Arial" w:cs="Arial" w:eastAsia="Arial" w:hAnsi="Arial"/>
          <w:sz w:val="16"/>
          <w:szCs w:val="16"/>
          <w:color w:val="auto"/>
        </w:rPr>
        <w:t>On May 23, 2019 a subsidiary of the Company, ICON Clinical Research (U.K.) Limited acquired a 60% majority shareholding in MeDiNova, a site network with research sites in key markets in Europe and Africa. On March 9, 2020 ICON exercised its option to call the outstanding shares in the noncontrolling interest to take 100% ownership of MeDiNova. The acquisition further enhances ICON's patient recruitment capabilities in EMEA and complements ICON's existing site network in the US, PMG Research. The acquisition resulted in the recognition of goodwill of $81.8 million. Accounting for the acquisition of MeDiNova was finalized in the year ended December 31, 2020.</w:t>
      </w:r>
    </w:p>
    <w:p>
      <w:pPr>
        <w:spacing w:after="0" w:line="376"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6"/>
          <w:szCs w:val="16"/>
          <w:color w:val="auto"/>
        </w:rPr>
        <w:t>The acquisition of MeDiNova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made an assessment of the fair value of assets acquired and liabilities assumed as at that date. The following table summarizes the Company’s fair values of the assets acquired and liabilities assumed: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May 23,</w:t>
            </w:r>
          </w:p>
        </w:tc>
      </w:tr>
      <w:tr>
        <w:trPr>
          <w:trHeight w:val="215"/>
        </w:trPr>
        <w:tc>
          <w:tcPr>
            <w:tcW w:w="618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7,719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1,558</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81,760</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3,887</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Patient database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2,542</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3,488</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4,272</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Prepayments and other current assets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(5,796)</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(6,860)</w:t>
            </w: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3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(430)</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deferred tax liability</w:t>
            </w:r>
          </w:p>
        </w:tc>
        <w:tc>
          <w:tcPr>
            <w:tcW w:w="3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w:t>
            </w:r>
          </w:p>
        </w:tc>
      </w:tr>
      <w:tr>
        <w:trPr>
          <w:trHeight w:val="203"/>
        </w:trPr>
        <w:tc>
          <w:tcPr>
            <w:tcW w:w="61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86,249</w:t>
            </w:r>
          </w:p>
        </w:tc>
      </w:tr>
      <w:tr>
        <w:trPr>
          <w:trHeight w:val="203"/>
        </w:trPr>
        <w:tc>
          <w:tcPr>
            <w:tcW w:w="61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54,123</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 adjustment received</w:t>
            </w:r>
          </w:p>
        </w:tc>
        <w:tc>
          <w:tcPr>
            <w:tcW w:w="3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Redeemable noncontrolling interest **</w:t>
            </w:r>
          </w:p>
        </w:tc>
        <w:tc>
          <w:tcPr>
            <w:tcW w:w="3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32,592</w:t>
            </w:r>
          </w:p>
        </w:tc>
      </w:tr>
      <w:tr>
        <w:trPr>
          <w:trHeight w:val="216"/>
        </w:trPr>
        <w:tc>
          <w:tcPr>
            <w:tcW w:w="61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consideration</w:t>
            </w:r>
          </w:p>
        </w:tc>
        <w:tc>
          <w:tcPr>
            <w:tcW w:w="3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86,249</w:t>
            </w:r>
          </w:p>
        </w:tc>
      </w:tr>
    </w:tbl>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*Goodwill represents the acquisition of an established workforce and access to a broad site network in Europe and Africa. None of the goodwill recognized is expected to be deductible for income tax purposes.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fair value of the redeemable noncontrolling interest on May 23, 2019 was $32.6 million which was estimated by applying an income based approach. The valuation approach used was based on the future earnings of the company times an appropriate earnings multiple. On March 9, 2020 ICON exercised its option to call the outstanding shares in the noncontrolling interest to take 100% ownership of MeDiNova. Effective from this date, the noncontrolling interest was derecognized and a liability of $44.7 million was recognized, representing the assessment of the redemption value of the noncontrolling interest. This liability was settled on July 17, 2020 for $43.9 million.</w:t>
      </w:r>
    </w:p>
    <w:p>
      <w:pPr>
        <w:spacing w:after="0" w:line="230"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6"/>
          <w:szCs w:val="16"/>
          <w:color w:val="auto"/>
        </w:rPr>
        <w:t>In finalizing the acquisition of MeDiNova in the twelve month period from acquisition, fair value adjustments were made which resulted in an increase in other liabilities ($1.6 million) and decreases in operating right of use assets ($0.3 million), current lease liabilities ($0.1 million), non-current lease liabilities ($0.3 million) and non-current deferred tax liability ($2.2 million). Customer relationship, order backlog and patient database assets were also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17" w:name="page118"/>
    <w:bookmarkEnd w:id="117"/>
    <w:p>
      <w:pPr>
        <w:jc w:val="both"/>
        <w:ind w:firstLine="194"/>
        <w:spacing w:after="0" w:line="253" w:lineRule="auto"/>
        <w:rPr>
          <w:sz w:val="20"/>
          <w:szCs w:val="20"/>
          <w:color w:val="auto"/>
        </w:rPr>
      </w:pPr>
      <w:r>
        <w:rPr>
          <w:rFonts w:ascii="Arial" w:cs="Arial" w:eastAsia="Arial" w:hAnsi="Arial"/>
          <w:sz w:val="16"/>
          <w:szCs w:val="16"/>
          <w:color w:val="auto"/>
        </w:rPr>
        <w:t>Since May 23, 2019, MeDiNova has earned revenue of $6.5 million (after elimination of intercompany revenue from ICON) and net income of $4.7 million in the year ended December 31, 2019. The proforma effect of the MeDiNova acquisition if completed on January 1, 2018 would have resulted in revenue, net income and earnings per share for the fiscal years ending December 31, 2019 and December 31, 2018 as follows: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99"/>
              </w:rPr>
              <w:t>Year Ended</w:t>
            </w:r>
          </w:p>
        </w:tc>
        <w:tc>
          <w:tcPr>
            <w:tcW w:w="820" w:type="dxa"/>
            <w:vAlign w:val="bottom"/>
            <w:tcBorders>
              <w:bottom w:val="single" w:sz="8" w:color="auto"/>
            </w:tcBorders>
            <w:shd w:val="clear" w:color="auto" w:fill="CCEEFF"/>
          </w:tcPr>
          <w:p>
            <w:pPr>
              <w:spacing w:after="0"/>
              <w:rPr>
                <w:sz w:val="18"/>
                <w:szCs w:val="18"/>
                <w:color w:val="auto"/>
              </w:rPr>
            </w:pPr>
          </w:p>
        </w:tc>
      </w:tr>
      <w:tr>
        <w:trPr>
          <w:trHeight w:val="209"/>
        </w:trPr>
        <w:tc>
          <w:tcPr>
            <w:tcW w:w="8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8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62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2,807,788</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2,599,091</w:t>
            </w:r>
          </w:p>
        </w:tc>
      </w:tr>
      <w:tr>
        <w:trPr>
          <w:trHeight w:val="219"/>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375,979</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323,759</w:t>
            </w:r>
          </w:p>
        </w:tc>
      </w:tr>
      <w:tr>
        <w:trPr>
          <w:trHeight w:val="216"/>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rPr>
              <w:t>(in ones)</w:t>
            </w:r>
          </w:p>
        </w:tc>
        <w:tc>
          <w:tcPr>
            <w:tcW w:w="820" w:type="dxa"/>
            <w:vAlign w:val="bottom"/>
            <w:shd w:val="clear" w:color="auto" w:fill="CCEEFF"/>
          </w:tcPr>
          <w:p>
            <w:pPr>
              <w:spacing w:after="0"/>
              <w:rPr>
                <w:sz w:val="18"/>
                <w:szCs w:val="18"/>
                <w:color w:val="auto"/>
              </w:rPr>
            </w:pPr>
          </w:p>
        </w:tc>
      </w:tr>
      <w:tr>
        <w:trPr>
          <w:trHeight w:val="213"/>
        </w:trPr>
        <w:tc>
          <w:tcPr>
            <w:tcW w:w="8620" w:type="dxa"/>
            <w:vAlign w:val="bottom"/>
          </w:tcPr>
          <w:p>
            <w:pPr>
              <w:spacing w:after="0"/>
              <w:rPr>
                <w:sz w:val="20"/>
                <w:szCs w:val="20"/>
                <w:color w:val="auto"/>
              </w:rPr>
            </w:pPr>
            <w:r>
              <w:rPr>
                <w:rFonts w:ascii="Arial" w:cs="Arial" w:eastAsia="Arial" w:hAnsi="Arial"/>
                <w:sz w:val="16"/>
                <w:szCs w:val="16"/>
                <w:color w:val="auto"/>
              </w:rPr>
              <w:t>Basic earnings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6.89</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26"/>
        </w:trPr>
        <w:tc>
          <w:tcPr>
            <w:tcW w:w="8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 MMD</w:t>
      </w:r>
    </w:p>
    <w:p>
      <w:pPr>
        <w:spacing w:after="0" w:line="183" w:lineRule="exact"/>
        <w:rPr>
          <w:sz w:val="20"/>
          <w:szCs w:val="20"/>
          <w:color w:val="auto"/>
        </w:rPr>
      </w:pPr>
    </w:p>
    <w:p>
      <w:pPr>
        <w:jc w:val="both"/>
        <w:ind w:firstLine="244"/>
        <w:spacing w:after="0" w:line="253" w:lineRule="auto"/>
        <w:rPr>
          <w:sz w:val="20"/>
          <w:szCs w:val="20"/>
          <w:color w:val="auto"/>
        </w:rPr>
      </w:pPr>
      <w:r>
        <w:rPr>
          <w:rFonts w:ascii="Arial" w:cs="Arial" w:eastAsia="Arial" w:hAnsi="Arial"/>
          <w:sz w:val="16"/>
          <w:szCs w:val="16"/>
          <w:color w:val="auto"/>
        </w:rPr>
        <w:t>On January 25, 2019 a subsidiary of the Company, ICON Laboratory Services, Inc. acquired 100% of the share capital of MMD. MMD is a molecular diagnostic specialty laboratory that enables the development and commercialization of precision medicines in oncology. The acquisition resulted in the recognition of goodwill of $22.4 million.</w:t>
      </w:r>
    </w:p>
    <w:p>
      <w:pPr>
        <w:spacing w:after="0" w:line="131"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16"/>
          <w:szCs w:val="16"/>
          <w:color w:val="auto"/>
        </w:rPr>
        <w:t>The acquisition of MMD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made an assessment of the fair value of assets acquired and liabilities assumed as at that date. The following table summarizes the Company’s fair values of the assets acquired and liabilities assumed: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January, 25</w:t>
            </w:r>
          </w:p>
        </w:tc>
      </w:tr>
      <w:tr>
        <w:trPr>
          <w:trHeight w:val="215"/>
        </w:trPr>
        <w:tc>
          <w:tcPr>
            <w:tcW w:w="62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62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Cash &amp; cash equivalent</w:t>
            </w:r>
          </w:p>
        </w:tc>
        <w:tc>
          <w:tcPr>
            <w:tcW w:w="3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7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2,866</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22,430</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37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10,708</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 *</w:t>
            </w:r>
          </w:p>
        </w:tc>
        <w:tc>
          <w:tcPr>
            <w:tcW w:w="3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7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3,100</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3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37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Prepayments and other current assets</w:t>
            </w:r>
          </w:p>
        </w:tc>
        <w:tc>
          <w:tcPr>
            <w:tcW w:w="3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Deferred tax asset</w:t>
            </w:r>
          </w:p>
        </w:tc>
        <w:tc>
          <w:tcPr>
            <w:tcW w:w="37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1,568</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7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37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3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2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other liabilities</w:t>
            </w:r>
          </w:p>
        </w:tc>
        <w:tc>
          <w:tcPr>
            <w:tcW w:w="3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r>
      <w:tr>
        <w:trPr>
          <w:trHeight w:val="216"/>
        </w:trPr>
        <w:tc>
          <w:tcPr>
            <w:tcW w:w="62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42,173</w:t>
            </w:r>
          </w:p>
        </w:tc>
      </w:tr>
      <w:tr>
        <w:trPr>
          <w:trHeight w:val="203"/>
        </w:trPr>
        <w:tc>
          <w:tcPr>
            <w:tcW w:w="62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620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42,349</w:t>
            </w:r>
          </w:p>
        </w:tc>
      </w:tr>
      <w:tr>
        <w:trPr>
          <w:trHeight w:val="226"/>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Working capital adjustment</w:t>
            </w:r>
          </w:p>
        </w:tc>
        <w:tc>
          <w:tcPr>
            <w:tcW w:w="3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03"/>
        </w:trPr>
        <w:tc>
          <w:tcPr>
            <w:tcW w:w="62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3"/>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7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42,173</w:t>
            </w:r>
          </w:p>
        </w:tc>
      </w:tr>
    </w:tbl>
    <w:p>
      <w:pPr>
        <w:spacing w:after="0" w:line="258" w:lineRule="exact"/>
        <w:rPr>
          <w:sz w:val="20"/>
          <w:szCs w:val="20"/>
          <w:color w:val="auto"/>
        </w:rPr>
      </w:pPr>
    </w:p>
    <w:p>
      <w:pPr>
        <w:jc w:val="both"/>
        <w:ind w:firstLine="123"/>
        <w:spacing w:after="0" w:line="250" w:lineRule="auto"/>
        <w:rPr>
          <w:sz w:val="20"/>
          <w:szCs w:val="20"/>
          <w:color w:val="auto"/>
        </w:rPr>
      </w:pPr>
      <w:r>
        <w:rPr>
          <w:rFonts w:ascii="Arial" w:cs="Arial" w:eastAsia="Arial" w:hAnsi="Arial"/>
          <w:sz w:val="16"/>
          <w:szCs w:val="16"/>
          <w:color w:val="auto"/>
        </w:rPr>
        <w:t>*Goodwill represents the acquisition of an established workforce with experience in molecular diagnostic specialty laboratory services and commercialization of precision medicines in oncology. None of the goodwill recognized is expected to be deductible for income tax purposes. In finalizing the goodwill on acquisition of MMD in the twelve month period from acquisition, fair value adjustments were made which resulted in increases in unbilled revenue ($2.1 million), deferred tax asset ($3.7 million), accounts payable ($0.6 million) and other liabilities ($0.1 million) and decreases in property, plant and equipment ($0.1 million) and unearned revenue ($0.9 million). Customer relationship and order backlog assets were also finalized.</w:t>
      </w: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18" w:name="page119"/>
    <w:bookmarkEnd w:id="118"/>
    <w:p>
      <w:pPr>
        <w:jc w:val="both"/>
        <w:ind w:right="20" w:firstLine="210"/>
        <w:spacing w:after="0" w:line="253" w:lineRule="auto"/>
        <w:rPr>
          <w:sz w:val="20"/>
          <w:szCs w:val="20"/>
          <w:color w:val="auto"/>
        </w:rPr>
      </w:pPr>
      <w:r>
        <w:rPr>
          <w:rFonts w:ascii="Arial" w:cs="Arial" w:eastAsia="Arial" w:hAnsi="Arial"/>
          <w:sz w:val="16"/>
          <w:szCs w:val="16"/>
          <w:color w:val="auto"/>
        </w:rPr>
        <w:t>Since January 25, 2019, MMD has earned revenue of $17.9 million and net income of $1.1 million in the year ended December 31, 2019. The proforma effect of the MMD acquisition if completed on January 1, 2018 would have resulted in revenue, net income and earnings per share for the fiscal years ending December 31, 2019 and December 31, 2018 as follows: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99"/>
              </w:rPr>
              <w:t>Year Ended</w:t>
            </w:r>
          </w:p>
        </w:tc>
        <w:tc>
          <w:tcPr>
            <w:tcW w:w="820" w:type="dxa"/>
            <w:vAlign w:val="bottom"/>
            <w:tcBorders>
              <w:bottom w:val="single" w:sz="8" w:color="auto"/>
            </w:tcBorders>
            <w:shd w:val="clear" w:color="auto" w:fill="CCEEFF"/>
          </w:tcPr>
          <w:p>
            <w:pPr>
              <w:spacing w:after="0"/>
              <w:rPr>
                <w:sz w:val="18"/>
                <w:szCs w:val="18"/>
                <w:color w:val="auto"/>
              </w:rPr>
            </w:pPr>
          </w:p>
        </w:tc>
      </w:tr>
      <w:tr>
        <w:trPr>
          <w:trHeight w:val="209"/>
        </w:trPr>
        <w:tc>
          <w:tcPr>
            <w:tcW w:w="8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8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jc w:val="center"/>
              <w:ind w:right="21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862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2,806,908</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2,612,346</w:t>
            </w:r>
          </w:p>
        </w:tc>
      </w:tr>
      <w:tr>
        <w:trPr>
          <w:trHeight w:val="219"/>
        </w:trPr>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373,930</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321,698</w:t>
            </w:r>
          </w:p>
        </w:tc>
      </w:tr>
      <w:tr>
        <w:trPr>
          <w:trHeight w:val="216"/>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left="439"/>
              <w:spacing w:after="0"/>
              <w:rPr>
                <w:sz w:val="20"/>
                <w:szCs w:val="20"/>
                <w:color w:val="auto"/>
              </w:rPr>
            </w:pPr>
            <w:r>
              <w:rPr>
                <w:rFonts w:ascii="Arial" w:cs="Arial" w:eastAsia="Arial" w:hAnsi="Arial"/>
                <w:sz w:val="16"/>
                <w:szCs w:val="16"/>
                <w:b w:val="1"/>
                <w:bCs w:val="1"/>
                <w:color w:val="auto"/>
              </w:rPr>
              <w:t>(in ones)</w:t>
            </w:r>
          </w:p>
        </w:tc>
        <w:tc>
          <w:tcPr>
            <w:tcW w:w="820" w:type="dxa"/>
            <w:vAlign w:val="bottom"/>
            <w:shd w:val="clear" w:color="auto" w:fill="CCEEFF"/>
          </w:tcPr>
          <w:p>
            <w:pPr>
              <w:spacing w:after="0"/>
              <w:rPr>
                <w:sz w:val="18"/>
                <w:szCs w:val="18"/>
                <w:color w:val="auto"/>
              </w:rPr>
            </w:pPr>
          </w:p>
        </w:tc>
      </w:tr>
      <w:tr>
        <w:trPr>
          <w:trHeight w:val="213"/>
        </w:trPr>
        <w:tc>
          <w:tcPr>
            <w:tcW w:w="8620" w:type="dxa"/>
            <w:vAlign w:val="bottom"/>
          </w:tcPr>
          <w:p>
            <w:pPr>
              <w:spacing w:after="0"/>
              <w:rPr>
                <w:sz w:val="20"/>
                <w:szCs w:val="20"/>
                <w:color w:val="auto"/>
              </w:rPr>
            </w:pPr>
            <w:r>
              <w:rPr>
                <w:rFonts w:ascii="Arial" w:cs="Arial" w:eastAsia="Arial" w:hAnsi="Arial"/>
                <w:sz w:val="16"/>
                <w:szCs w:val="16"/>
                <w:color w:val="auto"/>
              </w:rPr>
              <w:t>Basic earnings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6.85</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26"/>
        </w:trPr>
        <w:tc>
          <w:tcPr>
            <w:tcW w:w="8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Diluted earnings per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Intangible Assets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240" w:type="dxa"/>
            <w:vAlign w:val="bottom"/>
            <w:tcBorders>
              <w:bottom w:val="single" w:sz="8" w:color="auto"/>
            </w:tcBorders>
            <w:shd w:val="clear" w:color="auto" w:fill="CCEEFF"/>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Cost</w:t>
            </w:r>
          </w:p>
        </w:tc>
        <w:tc>
          <w:tcPr>
            <w:tcW w:w="332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3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144,101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132,192</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Technology asset</w:t>
            </w:r>
          </w:p>
        </w:tc>
        <w:tc>
          <w:tcPr>
            <w:tcW w:w="3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11,169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11,169</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36,318</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Trade names/ brands</w:t>
            </w:r>
          </w:p>
        </w:tc>
        <w:tc>
          <w:tcPr>
            <w:tcW w:w="3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2,766</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Volunteer list</w:t>
            </w:r>
          </w:p>
        </w:tc>
        <w:tc>
          <w:tcPr>
            <w:tcW w:w="3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Non-compete arrangements</w:t>
            </w:r>
          </w:p>
        </w:tc>
        <w:tc>
          <w:tcPr>
            <w:tcW w:w="3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3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(5,728)</w:t>
            </w: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3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201,825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181,073</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3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(135,430)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(116,196)</w:t>
            </w:r>
          </w:p>
        </w:tc>
      </w:tr>
      <w:tr>
        <w:trPr>
          <w:trHeight w:val="226"/>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3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w:t>
            </w:r>
          </w:p>
        </w:tc>
      </w:tr>
      <w:tr>
        <w:trPr>
          <w:trHeight w:val="375"/>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book value</w:t>
            </w:r>
          </w:p>
        </w:tc>
        <w:tc>
          <w:tcPr>
            <w:tcW w:w="3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66,460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67,894</w:t>
            </w:r>
          </w:p>
        </w:tc>
      </w:tr>
      <w:tr>
        <w:trPr>
          <w:trHeight w:val="23"/>
        </w:trPr>
        <w:tc>
          <w:tcPr>
            <w:tcW w:w="52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the MedPass Group.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value of certain customer relationships and order backlog identified of $11.7 million and $2.9 million respectively were recognized on acquisition and are being amortized over approximately 13 years and 3 years, the estimated period of benefit. In total, $1.8 million has been amortized in the period since the date of acquisition.</w:t>
      </w:r>
    </w:p>
    <w:p>
      <w:pPr>
        <w:spacing w:after="0" w:line="2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September 24, 2019 a subsidiary of the Company, ICON Clinical Research LLC, acquired a 100% interest in Symphony. Symphony is a leading provider of at-home trial services and site support services. The acquisition of Symphony further enhances our site &amp; patient services offering. The value of certain customer relationships and order backlog identified of $8.2 million and $2.2 million respectively were recognized on acquisition and are being amortized over approximately 12 years and 2 years, the estimated period of benefit. In total, $2.2 million has been amortized in the period since the date of acquisition.</w:t>
      </w:r>
    </w:p>
    <w:p>
      <w:pPr>
        <w:spacing w:after="0" w:line="340" w:lineRule="exact"/>
        <w:rPr>
          <w:sz w:val="20"/>
          <w:szCs w:val="20"/>
          <w:color w:val="auto"/>
        </w:rPr>
      </w:pPr>
    </w:p>
    <w:p>
      <w:pPr>
        <w:jc w:val="both"/>
        <w:ind w:firstLine="194"/>
        <w:spacing w:after="0" w:line="248" w:lineRule="auto"/>
        <w:rPr>
          <w:sz w:val="20"/>
          <w:szCs w:val="20"/>
          <w:color w:val="auto"/>
        </w:rPr>
      </w:pPr>
      <w:r>
        <w:rPr>
          <w:rFonts w:ascii="Arial" w:cs="Arial" w:eastAsia="Arial" w:hAnsi="Arial"/>
          <w:sz w:val="16"/>
          <w:szCs w:val="16"/>
          <w:color w:val="auto"/>
        </w:rPr>
        <w:t>On May 23, 2019 a subsidiary of the Company, ICON Clinical Research (U.K.) Limited acquired a majority shareholding in MeDiNova, a site network with research sites in key markets in Europe and Africa. ICON had the right to acquire the remaining shares in the company during 2020 and on March 9, 2020 ICON exercised its option to call the outstanding shares in the noncontrolling interest to take 100% ownership of MeDiNova. The acquisition further enhances ICON's patient recruitment capabilities in EMEA and complements ICON's existing site network in the US, PMG Research. The value of certain customer relationships, patient database and order backlog identified of $3.9 million, $2.5 million and $0.2 million respectively were recognized on acquisition and are being amortized over approximately 12 years, 7 years and 1 year, the estimated period of benefit. In total, $1.3 million has been amortized in the period since the date of acquisition. The order backlog was fully amortized at December 31, 2020.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19" w:name="page120"/>
    <w:bookmarkEnd w:id="119"/>
    <w:p>
      <w:pPr>
        <w:jc w:val="both"/>
        <w:ind w:firstLine="244"/>
        <w:spacing w:after="0" w:line="251" w:lineRule="auto"/>
        <w:rPr>
          <w:sz w:val="20"/>
          <w:szCs w:val="20"/>
          <w:color w:val="auto"/>
        </w:rPr>
      </w:pPr>
      <w:r>
        <w:rPr>
          <w:rFonts w:ascii="Arial" w:cs="Arial" w:eastAsia="Arial" w:hAnsi="Arial"/>
          <w:sz w:val="16"/>
          <w:szCs w:val="16"/>
          <w:color w:val="auto"/>
        </w:rPr>
        <w:t>On January 25, 2019 a subsidiary of the Company, ICON Laboratory Services, Inc. acquired 100% of the share capital of MMD. MMD is a molecular diagnostic specialty laboratory that enables the development and commercialization of precision medicines in oncology. The value of certain customer relationships and order backlog identified of $10.7 million and $2.8 million respectively were recognized on acquisition and are being amortized over approximately over 16 years and 2 years, the estimated period of benefit. In total, $4.0 million has been amortized in the period since the date of acquisition.</w:t>
      </w:r>
    </w:p>
    <w:p>
      <w:pPr>
        <w:spacing w:after="0" w:line="148" w:lineRule="exact"/>
        <w:rPr>
          <w:sz w:val="20"/>
          <w:szCs w:val="20"/>
          <w:color w:val="auto"/>
        </w:rPr>
      </w:pPr>
    </w:p>
    <w:p>
      <w:pPr>
        <w:jc w:val="both"/>
        <w:ind w:firstLine="182"/>
        <w:spacing w:after="0" w:line="249" w:lineRule="auto"/>
        <w:rPr>
          <w:sz w:val="20"/>
          <w:szCs w:val="20"/>
          <w:color w:val="auto"/>
        </w:rPr>
      </w:pPr>
      <w:r>
        <w:rPr>
          <w:rFonts w:ascii="Arial" w:cs="Arial" w:eastAsia="Arial" w:hAnsi="Arial"/>
          <w:sz w:val="16"/>
          <w:szCs w:val="16"/>
          <w:color w:val="auto"/>
        </w:rPr>
        <w:t>On July 27, 2017, a subsidiary of the Company, ICON Clinical Research Limited acquired Mapi Group. Mapi is a leading patient-centered health outcomes research and commercialization company. The acquisition of Mapi strengthens ICON’s existing commercialization and outcomes research business adding significant commercialization presence, analytics, real world evidence generation and strategic regulatory services. The value of certain customer relationships and order backlog identified of $18.4 million and $13.0 million respectively were recognized on acquisition and are being amortized over approximately over 8 years and 8.5 years, the estimated period of benefit. In total, $13.3 million has been amortized in the period since the date of acquisition.</w:t>
      </w:r>
    </w:p>
    <w:p>
      <w:pPr>
        <w:spacing w:after="0" w:line="200" w:lineRule="exact"/>
        <w:rPr>
          <w:sz w:val="20"/>
          <w:szCs w:val="20"/>
          <w:color w:val="auto"/>
        </w:rPr>
      </w:pPr>
    </w:p>
    <w:p>
      <w:pPr>
        <w:spacing w:after="0" w:line="223" w:lineRule="exact"/>
        <w:rPr>
          <w:sz w:val="20"/>
          <w:szCs w:val="20"/>
          <w:color w:val="auto"/>
        </w:rPr>
      </w:pPr>
    </w:p>
    <w:p>
      <w:pPr>
        <w:jc w:val="both"/>
        <w:ind w:firstLine="189"/>
        <w:spacing w:after="0" w:line="248" w:lineRule="auto"/>
        <w:rPr>
          <w:sz w:val="20"/>
          <w:szCs w:val="20"/>
          <w:color w:val="auto"/>
        </w:rPr>
      </w:pPr>
      <w:r>
        <w:rPr>
          <w:rFonts w:ascii="Arial" w:cs="Arial" w:eastAsia="Arial" w:hAnsi="Arial"/>
          <w:sz w:val="16"/>
          <w:szCs w:val="16"/>
          <w:color w:val="auto"/>
        </w:rPr>
        <w:t>On September 15, 2016, a subsidiary of the Company, ICON US Holdings Inc., acquired ICON Government &amp; Public Health Solutions (''GPHS'') (formerly Clinical Research Management (ClinicalRM)),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GPHS provides full-service and functional research solutions to a broad range of US government agencies. The value of certain customer relationship, order backlog and brand assets identified of $4.0 million, $1.7 million and $1.4 million respectively are being amortized over approximately 7 years, 2 years and 5 years respectively, the estimated period of benefit. In total, $5.6 million has been amortized in the period since the date of acquisition. The order backlog and brand assets were fully amortized at December 31, 2020.</w:t>
      </w:r>
    </w:p>
    <w:p>
      <w:pPr>
        <w:spacing w:after="0" w:line="235"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6"/>
          <w:szCs w:val="16"/>
          <w:color w:val="auto"/>
        </w:rPr>
        <w:t>On December 4, 2015, a subsidiary of the Company, ICON Clinical Research LLC, acquired PMG,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The value of certain customer relationship and order backlog assets identified of $6.9 million and $3.0 million respectively are being amortized over approximately 7 years and 2 years respectively, the estimated period of benefit. In total, $8.0 million has been amortized in the period since the date of acquisition. The order backlog was fully amortized at December 31, 2020.</w:t>
      </w:r>
    </w:p>
    <w:p>
      <w:pPr>
        <w:spacing w:after="0" w:line="232" w:lineRule="exact"/>
        <w:rPr>
          <w:sz w:val="20"/>
          <w:szCs w:val="20"/>
          <w:color w:val="auto"/>
        </w:rPr>
      </w:pPr>
    </w:p>
    <w:p>
      <w:pPr>
        <w:jc w:val="both"/>
        <w:ind w:firstLine="303"/>
        <w:spacing w:after="0" w:line="248" w:lineRule="auto"/>
        <w:rPr>
          <w:sz w:val="20"/>
          <w:szCs w:val="20"/>
          <w:color w:val="auto"/>
        </w:rPr>
      </w:pPr>
      <w:r>
        <w:rPr>
          <w:rFonts w:ascii="Arial" w:cs="Arial" w:eastAsia="Arial" w:hAnsi="Arial"/>
          <w:sz w:val="16"/>
          <w:szCs w:val="16"/>
          <w:color w:val="auto"/>
        </w:rPr>
        <w:t>On February 27, 2015, a subsidiary of the Company, ICON Holdings Unlimited Company (formerly ICON Holdings), acquired MediMedia Pharma Solutions.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value of certain customer relationships and order backlog identified of $22.8 million and $2.5 million respectively are being amortized over approximately 7 years and 1 year, the estimated period of benefit. $21.5 million has been amortized in the period since the date of acquisition. The order backlog is fully amortized at December 31, 2020.</w:t>
      </w:r>
    </w:p>
    <w:p>
      <w:pPr>
        <w:spacing w:after="0" w:line="235" w:lineRule="exact"/>
        <w:rPr>
          <w:sz w:val="20"/>
          <w:szCs w:val="20"/>
          <w:color w:val="auto"/>
        </w:rPr>
      </w:pPr>
    </w:p>
    <w:p>
      <w:pPr>
        <w:jc w:val="both"/>
        <w:ind w:firstLine="222"/>
        <w:spacing w:after="0" w:line="249" w:lineRule="auto"/>
        <w:rPr>
          <w:sz w:val="20"/>
          <w:szCs w:val="20"/>
          <w:color w:val="auto"/>
        </w:rPr>
      </w:pPr>
      <w:r>
        <w:rPr>
          <w:rFonts w:ascii="Arial" w:cs="Arial" w:eastAsia="Arial" w:hAnsi="Arial"/>
          <w:sz w:val="16"/>
          <w:szCs w:val="16"/>
          <w:color w:val="auto"/>
        </w:rPr>
        <w:t>On May 7, 2014, a subsidiary of the Company, ICON US Holdings Inc., acquired Aptiv Solutions, Inc.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The value of certain customer relationships and order backlog identified of $21.4 million and $7.9 million respectively are being amortized over approximately 7 years and 3 years, the estimated period of benefit. In total, $28.3 million has been amortized in the period since the date of acquisition. The order backlog is fully amortized at December 31, 2020.</w:t>
      </w:r>
    </w:p>
    <w:p>
      <w:pPr>
        <w:spacing w:after="0" w:line="232" w:lineRule="exact"/>
        <w:rPr>
          <w:sz w:val="20"/>
          <w:szCs w:val="20"/>
          <w:color w:val="auto"/>
        </w:rPr>
      </w:pPr>
    </w:p>
    <w:p>
      <w:pPr>
        <w:jc w:val="both"/>
        <w:ind w:firstLine="250"/>
        <w:spacing w:after="0" w:line="250" w:lineRule="auto"/>
        <w:rPr>
          <w:sz w:val="20"/>
          <w:szCs w:val="20"/>
          <w:color w:val="auto"/>
        </w:rPr>
      </w:pPr>
      <w:r>
        <w:rPr>
          <w:rFonts w:ascii="Arial" w:cs="Arial" w:eastAsia="Arial" w:hAnsi="Arial"/>
          <w:sz w:val="16"/>
          <w:szCs w:val="16"/>
          <w:color w:val="auto"/>
        </w:rPr>
        <w:t>On February 28, 2012, a subsidiary of the Company, ICON Clinical Research LLC (formerly ICON Clinical Research, Inc.), acquired PriceSpective, a strategy consulting company. The value of certain customer relationships identified of $10.2 million are being amortized over approximately 10 years, the estimated period of benefit. The value of order backlog and certain non-compete arrangements identified of $0.4 million and $0.4 million respectively were amortized over approximately 0.8 years and 3 years, the estimated period of benefit and were fully amortized at December 31, 2020. In total, $9.8 million has been amortized in the period since the date of acquisition.</w:t>
      </w:r>
    </w:p>
    <w:p>
      <w:pPr>
        <w:spacing w:after="0" w:line="230" w:lineRule="exact"/>
        <w:rPr>
          <w:sz w:val="20"/>
          <w:szCs w:val="20"/>
          <w:color w:val="auto"/>
        </w:rPr>
      </w:pPr>
    </w:p>
    <w:p>
      <w:pPr>
        <w:jc w:val="both"/>
        <w:ind w:firstLine="190"/>
        <w:spacing w:after="0" w:line="250" w:lineRule="auto"/>
        <w:rPr>
          <w:sz w:val="20"/>
          <w:szCs w:val="20"/>
          <w:color w:val="auto"/>
        </w:rPr>
      </w:pPr>
      <w:r>
        <w:rPr>
          <w:rFonts w:ascii="Arial" w:cs="Arial" w:eastAsia="Arial" w:hAnsi="Arial"/>
          <w:sz w:val="16"/>
          <w:szCs w:val="16"/>
          <w:color w:val="auto"/>
        </w:rPr>
        <w:t>On February 15, 2012, a subsidiary of the Company, ICON Clinical Research Limited, acquired BeijingWits Medical, a Chinese CRO. The value of certain customer relationships identified of $1.8 million are being amortized over approximately 10 years, the estimated period of benefit. The value of certain order backlog and non-compete arrangements identified of $0.4 million and $0.1 million respectively were amortized over approximately 4 years and 5 years, the estimated period of benefit and were fully amortized at December 31, 2020. In total, $2.0 million has been amortized in the period since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20" w:name="page121"/>
    <w:bookmarkEnd w:id="120"/>
    <w:p>
      <w:pPr>
        <w:jc w:val="both"/>
        <w:ind w:firstLine="228"/>
        <w:spacing w:after="0" w:line="249" w:lineRule="auto"/>
        <w:rPr>
          <w:sz w:val="20"/>
          <w:szCs w:val="20"/>
          <w:color w:val="auto"/>
        </w:rPr>
      </w:pPr>
      <w:r>
        <w:rPr>
          <w:rFonts w:ascii="Arial" w:cs="Arial" w:eastAsia="Arial" w:hAnsi="Arial"/>
          <w:sz w:val="16"/>
          <w:szCs w:val="16"/>
          <w:color w:val="auto"/>
        </w:rPr>
        <w:t>On July 14, 2011, a subsidiary of the Company, ICON Clinical Research Limited, acquired Firecrest Clinical Limited, a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and were fully amortized at December 31, 2020. The value of the Firecrest trade name and order backlog identified of $1.4 million and $1.2 million respectively were amortized over approximately 4.5 years and 1.2 years, the estimated period of benefit and were fully amortized at December 31, 2020. In total, $16.5 million has been amortized in the period since the date of acquisition.</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Future intangible asset amortization expense for the years ended December 31, 2021 to December 31, 2025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00" w:type="dxa"/>
            <w:vAlign w:val="bottom"/>
            <w:tcBorders>
              <w:bottom w:val="single" w:sz="8" w:color="auto"/>
            </w:tcBorders>
            <w:shd w:val="clear" w:color="auto" w:fill="CCEEFF"/>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3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2022</w:t>
            </w:r>
          </w:p>
        </w:tc>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9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2024</w:t>
            </w:r>
          </w:p>
        </w:tc>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7"/>
        </w:trPr>
        <w:tc>
          <w:tcPr>
            <w:tcW w:w="4600" w:type="dxa"/>
            <w:vAlign w:val="bottom"/>
          </w:tcPr>
          <w:p>
            <w:pPr>
              <w:spacing w:after="0"/>
              <w:rPr>
                <w:sz w:val="20"/>
                <w:szCs w:val="20"/>
                <w:color w:val="auto"/>
              </w:rPr>
            </w:pPr>
            <w:r>
              <w:rPr>
                <w:rFonts w:ascii="Arial" w:cs="Arial" w:eastAsia="Arial" w:hAnsi="Arial"/>
                <w:sz w:val="16"/>
                <w:szCs w:val="16"/>
                <w:b w:val="1"/>
                <w:bCs w:val="1"/>
                <w:color w:val="auto"/>
              </w:rPr>
              <w:t>6. Property, Plant and Equipment, net</w:t>
            </w:r>
          </w:p>
        </w:tc>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6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6"/>
                <w:szCs w:val="16"/>
                <w:b w:val="1"/>
                <w:bCs w:val="1"/>
                <w:color w:val="auto"/>
              </w:rPr>
              <w:t>December 31,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0" w:type="dxa"/>
            <w:vAlign w:val="bottom"/>
            <w:tcBorders>
              <w:bottom w:val="single" w:sz="8" w:color="auto"/>
            </w:tcBorders>
            <w:shd w:val="clear" w:color="auto" w:fill="CCEEFF"/>
          </w:tcPr>
          <w:p>
            <w:pPr>
              <w:spacing w:after="0"/>
              <w:rPr>
                <w:sz w:val="18"/>
                <w:szCs w:val="18"/>
                <w:color w:val="auto"/>
              </w:rPr>
            </w:pPr>
          </w:p>
        </w:tc>
        <w:tc>
          <w:tcPr>
            <w:tcW w:w="39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660" w:type="dxa"/>
            <w:vAlign w:val="bottom"/>
            <w:gridSpan w:val="4"/>
          </w:tcPr>
          <w:p>
            <w:pPr>
              <w:ind w:left="66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3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Land</w:t>
            </w:r>
          </w:p>
        </w:tc>
        <w:tc>
          <w:tcPr>
            <w:tcW w:w="3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3,724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w:t>
            </w:r>
          </w:p>
        </w:tc>
        <w:tc>
          <w:tcPr>
            <w:tcW w:w="3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84,195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85,050</w:t>
            </w:r>
          </w:p>
        </w:tc>
        <w:tc>
          <w:tcPr>
            <w:tcW w:w="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Computer equipment and software</w:t>
            </w:r>
          </w:p>
        </w:tc>
        <w:tc>
          <w:tcPr>
            <w:tcW w:w="39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438,742</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434,707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fixtures</w:t>
            </w:r>
          </w:p>
        </w:tc>
        <w:tc>
          <w:tcPr>
            <w:tcW w:w="3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88,401</w:t>
            </w:r>
          </w:p>
        </w:tc>
        <w:tc>
          <w:tcPr>
            <w:tcW w:w="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Laboratory equipment</w:t>
            </w:r>
          </w:p>
        </w:tc>
        <w:tc>
          <w:tcPr>
            <w:tcW w:w="39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44,101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40,611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30,588</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31,144</w:t>
            </w:r>
          </w:p>
        </w:tc>
        <w:tc>
          <w:tcPr>
            <w:tcW w:w="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Motor vehicles</w:t>
            </w:r>
          </w:p>
        </w:tc>
        <w:tc>
          <w:tcPr>
            <w:tcW w:w="39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39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11,728</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703,713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682,465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asset write offs</w:t>
            </w:r>
          </w:p>
        </w:tc>
        <w:tc>
          <w:tcPr>
            <w:tcW w:w="3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(522,473)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(518,383)</w:t>
            </w:r>
          </w:p>
        </w:tc>
        <w:tc>
          <w:tcPr>
            <w:tcW w:w="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3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174,343</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165,087</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3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9"/>
        </w:trPr>
        <w:tc>
          <w:tcPr>
            <w:tcW w:w="4600" w:type="dxa"/>
            <w:vAlign w:val="bottom"/>
          </w:tcPr>
          <w:p>
            <w:pPr>
              <w:spacing w:after="0"/>
              <w:rPr>
                <w:sz w:val="24"/>
                <w:szCs w:val="24"/>
                <w:color w:val="auto"/>
              </w:rPr>
            </w:pPr>
          </w:p>
        </w:tc>
        <w:tc>
          <w:tcPr>
            <w:tcW w:w="3960" w:type="dxa"/>
            <w:vAlign w:val="bottom"/>
          </w:tcPr>
          <w:p>
            <w:pPr>
              <w:jc w:val="right"/>
              <w:ind w:right="2719"/>
              <w:spacing w:after="0"/>
              <w:rPr>
                <w:sz w:val="20"/>
                <w:szCs w:val="20"/>
                <w:color w:val="auto"/>
              </w:rPr>
            </w:pPr>
            <w:r>
              <w:rPr>
                <w:rFonts w:ascii="Arial" w:cs="Arial" w:eastAsia="Arial" w:hAnsi="Arial"/>
                <w:sz w:val="16"/>
                <w:szCs w:val="16"/>
                <w:color w:val="auto"/>
              </w:rPr>
              <w:t>119</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color w:val="auto"/>
        </w:rPr>
        <w:t>7. Other Liabilities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shd w:val="clear" w:color="auto" w:fill="CCEEFF"/>
          </w:tcPr>
          <w:p>
            <w:pPr>
              <w:spacing w:after="0"/>
              <w:rPr>
                <w:sz w:val="16"/>
                <w:szCs w:val="16"/>
                <w:color w:val="auto"/>
              </w:rPr>
            </w:pPr>
          </w:p>
        </w:tc>
        <w:tc>
          <w:tcPr>
            <w:tcW w:w="29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6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09"/>
        </w:trPr>
        <w:tc>
          <w:tcPr>
            <w:tcW w:w="56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trade and overhead liabilities*</w:t>
            </w:r>
          </w:p>
        </w:tc>
        <w:tc>
          <w:tcPr>
            <w:tcW w:w="2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188,638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174,131</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Personnel related liabilities</w:t>
            </w:r>
          </w:p>
        </w:tc>
        <w:tc>
          <w:tcPr>
            <w:tcW w:w="29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161,363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157,146</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(note 22)</w:t>
            </w:r>
          </w:p>
        </w:tc>
        <w:tc>
          <w:tcPr>
            <w:tcW w:w="29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24,334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28,320</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Facility related liabilities</w:t>
            </w:r>
          </w:p>
        </w:tc>
        <w:tc>
          <w:tcPr>
            <w:tcW w:w="29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9,441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11,138</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9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6,531</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Restructuring charges (note 14)</w:t>
            </w:r>
          </w:p>
        </w:tc>
        <w:tc>
          <w:tcPr>
            <w:tcW w:w="29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7,219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1,232</w:t>
            </w:r>
          </w:p>
        </w:tc>
      </w:tr>
      <w:tr>
        <w:trPr>
          <w:trHeight w:val="226"/>
        </w:trPr>
        <w:tc>
          <w:tcPr>
            <w:tcW w:w="5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Short term government grants (note 11)</w:t>
            </w:r>
          </w:p>
        </w:tc>
        <w:tc>
          <w:tcPr>
            <w:tcW w:w="29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56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399,769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378,543</w:t>
            </w:r>
          </w:p>
        </w:tc>
      </w:tr>
      <w:tr>
        <w:trPr>
          <w:trHeight w:val="23"/>
        </w:trPr>
        <w:tc>
          <w:tcPr>
            <w:tcW w:w="56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83"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*includes amounts due to third parties in respect of accrued reimbursable expenses of $138.2 million at December 31, 2020 and $142.6 million at December 31, 2019.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Non-Current Other Liabilities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shd w:val="clear" w:color="auto" w:fill="CCEEFF"/>
          </w:tcPr>
          <w:p>
            <w:pPr>
              <w:spacing w:after="0"/>
              <w:rPr>
                <w:sz w:val="16"/>
                <w:szCs w:val="16"/>
                <w:color w:val="auto"/>
              </w:rPr>
            </w:pPr>
          </w:p>
        </w:tc>
        <w:tc>
          <w:tcPr>
            <w:tcW w:w="26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90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09"/>
        </w:trPr>
        <w:tc>
          <w:tcPr>
            <w:tcW w:w="5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660" w:type="dxa"/>
            <w:vAlign w:val="bottom"/>
            <w:gridSpan w:val="3"/>
          </w:tcPr>
          <w:p>
            <w:pPr>
              <w:ind w:left="660"/>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15,971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11,459</w:t>
            </w: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Defined benefit pension obligations, net (note 9)</w:t>
            </w:r>
          </w:p>
        </w:tc>
        <w:tc>
          <w:tcPr>
            <w:tcW w:w="2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10,395</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6,053</w:t>
            </w:r>
          </w:p>
        </w:tc>
      </w:tr>
      <w:tr>
        <w:trPr>
          <w:trHeight w:val="238"/>
        </w:trPr>
        <w:tc>
          <w:tcPr>
            <w:tcW w:w="5900" w:type="dxa"/>
            <w:vAlign w:val="bottom"/>
            <w:tcBorders>
              <w:bottom w:val="single" w:sz="8" w:color="auto"/>
            </w:tcBorders>
            <w:shd w:val="clear" w:color="auto" w:fill="CCEEFF"/>
          </w:tcPr>
          <w:p>
            <w:pPr>
              <w:spacing w:after="0"/>
              <w:rPr>
                <w:sz w:val="20"/>
                <w:szCs w:val="20"/>
                <w:color w:val="auto"/>
              </w:rPr>
            </w:pPr>
          </w:p>
        </w:tc>
        <w:tc>
          <w:tcPr>
            <w:tcW w:w="2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26,366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17,512</w:t>
            </w:r>
          </w:p>
        </w:tc>
      </w:tr>
      <w:tr>
        <w:trPr>
          <w:trHeight w:val="20"/>
        </w:trPr>
        <w:tc>
          <w:tcPr>
            <w:tcW w:w="590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Employee Benefits</w:t>
      </w:r>
    </w:p>
    <w:p>
      <w:pPr>
        <w:spacing w:after="0" w:line="268" w:lineRule="exact"/>
        <w:rPr>
          <w:sz w:val="20"/>
          <w:szCs w:val="20"/>
          <w:color w:val="auto"/>
        </w:rPr>
      </w:pPr>
    </w:p>
    <w:p>
      <w:pPr>
        <w:jc w:val="both"/>
        <w:ind w:firstLine="215"/>
        <w:spacing w:after="0" w:line="250" w:lineRule="auto"/>
        <w:rPr>
          <w:sz w:val="20"/>
          <w:szCs w:val="20"/>
          <w:color w:val="auto"/>
        </w:rPr>
      </w:pPr>
      <w:r>
        <w:rPr>
          <w:rFonts w:ascii="Arial" w:cs="Arial" w:eastAsia="Arial" w:hAnsi="Arial"/>
          <w:sz w:val="16"/>
          <w:szCs w:val="16"/>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8% of the participant's annual compensation. Contributions to the plan are recorded as an expense in the selling, general and administrative line in the Consolidated Statement of Operations. Contributions for the years ended December 31, 2020, December 31, 2019 and December 31, 2018 were $28,036,000, $26,483,000 and $25,241,000 respectively.</w:t>
      </w:r>
    </w:p>
    <w:p>
      <w:pPr>
        <w:spacing w:after="0" w:line="230" w:lineRule="exact"/>
        <w:rPr>
          <w:sz w:val="20"/>
          <w:szCs w:val="20"/>
          <w:color w:val="auto"/>
        </w:rPr>
      </w:pPr>
    </w:p>
    <w:p>
      <w:pPr>
        <w:jc w:val="both"/>
        <w:ind w:firstLine="179"/>
        <w:spacing w:after="0" w:line="249"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participant's contributions up to 3% and matches 50% of participant's contributions thereafter to a maximum Company contribution of 4.5% of the participant's annual compensation. Contributions to this U.S. Plan are recorded, in the year contributed, as an expense in the Consolidated Statement of Operations. Contributions for the years ended December 31, 2020, December 31, 2019 and December 31, 2018 were $17,048,000, $16,469,000 and $15,532,000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color w:val="auto"/>
        </w:rPr>
        <w:t>ICON Development Solutions Limited pension plan</w:t>
      </w:r>
    </w:p>
    <w:p>
      <w:pPr>
        <w:spacing w:after="0" w:line="268" w:lineRule="exact"/>
        <w:rPr>
          <w:sz w:val="20"/>
          <w:szCs w:val="20"/>
          <w:color w:val="auto"/>
        </w:rPr>
      </w:pPr>
    </w:p>
    <w:p>
      <w:pPr>
        <w:jc w:val="both"/>
        <w:ind w:firstLine="306"/>
        <w:spacing w:after="0" w:line="250" w:lineRule="auto"/>
        <w:rPr>
          <w:sz w:val="20"/>
          <w:szCs w:val="20"/>
          <w:color w:val="auto"/>
        </w:rPr>
      </w:pPr>
      <w:r>
        <w:rPr>
          <w:rFonts w:ascii="Arial" w:cs="Arial" w:eastAsia="Arial" w:hAnsi="Arial"/>
          <w:sz w:val="16"/>
          <w:szCs w:val="16"/>
          <w:color w:val="auto"/>
        </w:rPr>
        <w:t xml:space="preserve">One of the Company's subsidiaries,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2020, December 31, 2019 and December 31, 2018,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w:t>
      </w:r>
      <w:r>
        <w:rPr>
          <w:rFonts w:ascii="Arial" w:cs="Arial" w:eastAsia="Arial" w:hAnsi="Arial"/>
          <w:sz w:val="16"/>
          <w:szCs w:val="16"/>
          <w:color w:val="auto"/>
        </w:rPr>
        <w:t xml:space="preserve"> </w:t>
      </w:r>
      <w:r>
        <w:rPr>
          <w:rFonts w:ascii="Arial" w:cs="Arial" w:eastAsia="Arial" w:hAnsi="Arial"/>
          <w:sz w:val="16"/>
          <w:szCs w:val="16"/>
          <w:i w:val="1"/>
          <w:iCs w:val="1"/>
          <w:color w:val="auto"/>
        </w:rPr>
        <w:t>Other Postretirement'</w:t>
      </w:r>
      <w:r>
        <w:rPr>
          <w:rFonts w:ascii="Arial" w:cs="Arial" w:eastAsia="Arial" w:hAnsi="Arial"/>
          <w:sz w:val="16"/>
          <w:szCs w:val="16"/>
          <w:color w:val="auto"/>
        </w:rPr>
        <w:t>. The plan has been closed to new entrants with effect from July 1, 2003.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status</w:t>
            </w:r>
          </w:p>
        </w:tc>
        <w:tc>
          <w:tcPr>
            <w:tcW w:w="3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4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09"/>
        </w:trPr>
        <w:tc>
          <w:tcPr>
            <w:tcW w:w="5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(37,036)</w:t>
            </w: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32,016</w:t>
            </w:r>
          </w:p>
        </w:tc>
      </w:tr>
      <w:tr>
        <w:trPr>
          <w:trHeight w:val="238"/>
        </w:trPr>
        <w:tc>
          <w:tcPr>
            <w:tcW w:w="5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status</w:t>
            </w:r>
          </w:p>
        </w:tc>
        <w:tc>
          <w:tcPr>
            <w:tcW w:w="3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(5,020)</w:t>
            </w:r>
          </w:p>
        </w:tc>
      </w:tr>
      <w:tr>
        <w:trPr>
          <w:trHeight w:val="20"/>
        </w:trPr>
        <w:tc>
          <w:tcPr>
            <w:tcW w:w="5440" w:type="dxa"/>
            <w:vAlign w:val="bottom"/>
            <w:tcBorders>
              <w:top w:val="single" w:sz="8" w:color="CCEEFF"/>
              <w:bottom w:val="single" w:sz="8" w:color="auto"/>
            </w:tcBorders>
          </w:tcPr>
          <w:p>
            <w:pPr>
              <w:spacing w:after="0" w:line="20" w:lineRule="exact"/>
              <w:rPr>
                <w:sz w:val="1"/>
                <w:szCs w:val="1"/>
                <w:color w:val="auto"/>
              </w:rPr>
            </w:pPr>
          </w:p>
        </w:tc>
        <w:tc>
          <w:tcPr>
            <w:tcW w:w="3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other liabilities (note 8)</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(5,020)</w:t>
            </w:r>
          </w:p>
        </w:tc>
      </w:tr>
      <w:tr>
        <w:trPr>
          <w:trHeight w:val="24"/>
        </w:trPr>
        <w:tc>
          <w:tcPr>
            <w:tcW w:w="54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9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6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5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30,045</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Actuarial loss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5,294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4,756</w:t>
            </w:r>
          </w:p>
        </w:tc>
      </w:tr>
      <w:tr>
        <w:trPr>
          <w:trHeight w:val="226"/>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9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w:t>
            </w:r>
          </w:p>
        </w:tc>
      </w:tr>
      <w:tr>
        <w:trPr>
          <w:trHeight w:val="37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 obligation at end of year</w:t>
            </w:r>
          </w:p>
        </w:tc>
        <w:tc>
          <w:tcPr>
            <w:tcW w:w="2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43,988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37,036</w:t>
            </w:r>
          </w:p>
        </w:tc>
      </w:tr>
      <w:tr>
        <w:trPr>
          <w:trHeight w:val="24"/>
        </w:trPr>
        <w:tc>
          <w:tcPr>
            <w:tcW w:w="56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7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80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58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27,297</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3,504</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Employer contributions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Benefits paid</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r>
      <w:tr>
        <w:trPr>
          <w:trHeight w:val="238"/>
        </w:trPr>
        <w:tc>
          <w:tcPr>
            <w:tcW w:w="58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Fair value of plan assets at end of year</w:t>
            </w:r>
          </w:p>
        </w:tc>
        <w:tc>
          <w:tcPr>
            <w:tcW w:w="2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32,016</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226"/>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3" w:name="page124"/>
    <w:bookmarkEnd w:id="123"/>
    <w:p>
      <w:pPr>
        <w:ind w:left="180"/>
        <w:spacing w:after="0"/>
        <w:rPr>
          <w:sz w:val="20"/>
          <w:szCs w:val="20"/>
          <w:color w:val="auto"/>
        </w:rPr>
      </w:pPr>
      <w:r>
        <w:rPr>
          <w:rFonts w:ascii="Arial" w:cs="Arial" w:eastAsia="Arial" w:hAnsi="Arial"/>
          <w:sz w:val="16"/>
          <w:szCs w:val="16"/>
          <w:color w:val="auto"/>
        </w:rPr>
        <w:t>The following amounts were recorded in the Consolidated Statement of Operations as components of the net periodic benefit cost: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460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color w:val="auto"/>
              </w:rPr>
              <w:t>2018</w:t>
            </w:r>
          </w:p>
        </w:tc>
      </w:tr>
      <w:tr>
        <w:trPr>
          <w:trHeight w:val="210"/>
        </w:trPr>
        <w:tc>
          <w:tcPr>
            <w:tcW w:w="46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w w:val="97"/>
              </w:rPr>
              <w:t>124</w:t>
            </w: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867</w:t>
            </w:r>
          </w:p>
        </w:tc>
        <w:tc>
          <w:tcPr>
            <w:tcW w:w="240" w:type="dxa"/>
            <w:vAlign w:val="bottom"/>
          </w:tcPr>
          <w:p>
            <w:pPr>
              <w:spacing w:after="0"/>
              <w:rPr>
                <w:sz w:val="18"/>
                <w:szCs w:val="18"/>
                <w:color w:val="auto"/>
              </w:rPr>
            </w:pPr>
          </w:p>
        </w:tc>
        <w:tc>
          <w:tcPr>
            <w:tcW w:w="1200" w:type="dxa"/>
            <w:vAlign w:val="bottom"/>
          </w:tcPr>
          <w:p>
            <w:pPr>
              <w:jc w:val="center"/>
              <w:ind w:left="699"/>
              <w:spacing w:after="0"/>
              <w:rPr>
                <w:sz w:val="20"/>
                <w:szCs w:val="20"/>
                <w:color w:val="auto"/>
              </w:rPr>
            </w:pPr>
            <w:r>
              <w:rPr>
                <w:rFonts w:ascii="Arial" w:cs="Arial" w:eastAsia="Arial" w:hAnsi="Arial"/>
                <w:sz w:val="16"/>
                <w:szCs w:val="16"/>
                <w:color w:val="auto"/>
                <w:w w:val="97"/>
              </w:rPr>
              <w:t>895</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rPr>
              <w:t>(624)</w:t>
            </w:r>
          </w:p>
        </w:tc>
      </w:tr>
      <w:tr>
        <w:trPr>
          <w:trHeight w:val="21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loss</w:t>
            </w:r>
          </w:p>
        </w:tc>
        <w:tc>
          <w:tcPr>
            <w:tcW w:w="2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7"/>
              </w:rPr>
              <w:t>248</w:t>
            </w:r>
          </w:p>
        </w:tc>
      </w:tr>
      <w:tr>
        <w:trPr>
          <w:trHeight w:val="238"/>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2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699"/>
              <w:spacing w:after="0"/>
              <w:rPr>
                <w:sz w:val="20"/>
                <w:szCs w:val="20"/>
                <w:color w:val="auto"/>
              </w:rPr>
            </w:pPr>
            <w:r>
              <w:rPr>
                <w:rFonts w:ascii="Arial" w:cs="Arial" w:eastAsia="Arial" w:hAnsi="Arial"/>
                <w:sz w:val="16"/>
                <w:szCs w:val="16"/>
                <w:color w:val="auto"/>
                <w:w w:val="97"/>
              </w:rPr>
              <w:t>643</w:t>
            </w: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benefit cost for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December 31, 2019 and December 31, 2018:</w:t>
      </w:r>
    </w:p>
    <w:p>
      <w:pPr>
        <w:spacing w:after="0" w:line="363" w:lineRule="exact"/>
        <w:rPr>
          <w:sz w:val="20"/>
          <w:szCs w:val="20"/>
          <w:color w:val="auto"/>
        </w:rPr>
      </w:pPr>
    </w:p>
    <w:p>
      <w:pPr>
        <w:ind w:left="6680"/>
        <w:spacing w:after="0"/>
        <w:rPr>
          <w:sz w:val="20"/>
          <w:szCs w:val="20"/>
          <w:color w:val="auto"/>
        </w:rPr>
      </w:pPr>
      <w:r>
        <w:rPr>
          <w:rFonts w:ascii="Arial" w:cs="Arial" w:eastAsia="Arial" w:hAnsi="Arial"/>
          <w:sz w:val="16"/>
          <w:szCs w:val="16"/>
          <w:b w:val="1"/>
          <w:bCs w:val="1"/>
          <w:color w:val="auto"/>
        </w:rPr>
        <w:t>December 31, 2020 December 31, 2019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Discount rate</w:t>
            </w:r>
          </w:p>
        </w:tc>
        <w:tc>
          <w:tcPr>
            <w:tcW w:w="18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2.1 %</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2.9 %</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2.5 %</w:t>
            </w:r>
          </w:p>
        </w:tc>
      </w:tr>
      <w:tr>
        <w:trPr>
          <w:trHeight w:val="219"/>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1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3.7 %</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rate of return on plan assets</w:t>
            </w:r>
          </w:p>
        </w:tc>
        <w:tc>
          <w:tcPr>
            <w:tcW w:w="1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4.0 %</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2.1 %</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r>
      <w:tr>
        <w:trPr>
          <w:trHeight w:val="23"/>
        </w:trPr>
        <w:tc>
          <w:tcPr>
            <w:tcW w:w="5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39"/>
        </w:trPr>
        <w:tc>
          <w:tcPr>
            <w:tcW w:w="5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2"/>
        </w:trPr>
        <w:tc>
          <w:tcPr>
            <w:tcW w:w="53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Other comprehensive income</w:t>
            </w:r>
          </w:p>
        </w:tc>
        <w:tc>
          <w:tcPr>
            <w:tcW w:w="18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53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5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loss/(gain) - benefit obligation</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(3,844)</w:t>
            </w:r>
          </w:p>
        </w:tc>
      </w:tr>
      <w:tr>
        <w:trPr>
          <w:trHeight w:val="213"/>
        </w:trPr>
        <w:tc>
          <w:tcPr>
            <w:tcW w:w="5340" w:type="dxa"/>
            <w:vAlign w:val="bottom"/>
          </w:tcPr>
          <w:p>
            <w:pPr>
              <w:ind w:left="20"/>
              <w:spacing w:after="0"/>
              <w:rPr>
                <w:sz w:val="20"/>
                <w:szCs w:val="20"/>
                <w:color w:val="auto"/>
              </w:rPr>
            </w:pPr>
            <w:r>
              <w:rPr>
                <w:rFonts w:ascii="Arial" w:cs="Arial" w:eastAsia="Arial" w:hAnsi="Arial"/>
                <w:sz w:val="16"/>
                <w:szCs w:val="16"/>
                <w:color w:val="auto"/>
              </w:rPr>
              <w:t>Actuarial (gain)/loss – plan assets</w:t>
            </w:r>
          </w:p>
        </w:tc>
        <w:tc>
          <w:tcPr>
            <w:tcW w:w="18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(2,930)</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1,208</w:t>
            </w:r>
          </w:p>
        </w:tc>
      </w:tr>
      <w:tr>
        <w:trPr>
          <w:trHeight w:val="226"/>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Actuarial loss recognized in net periodic benefit cost</w:t>
            </w:r>
          </w:p>
        </w:tc>
        <w:tc>
          <w:tcPr>
            <w:tcW w:w="1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5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w:t>
            </w:r>
          </w:p>
        </w:tc>
      </w:tr>
      <w:tr>
        <w:trPr>
          <w:trHeight w:val="24"/>
        </w:trPr>
        <w:tc>
          <w:tcPr>
            <w:tcW w:w="5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right="20" w:firstLine="212"/>
        <w:spacing w:after="0" w:line="260" w:lineRule="auto"/>
        <w:rPr>
          <w:sz w:val="20"/>
          <w:szCs w:val="20"/>
          <w:color w:val="auto"/>
        </w:rPr>
      </w:pPr>
      <w:r>
        <w:rPr>
          <w:rFonts w:ascii="Arial" w:cs="Arial" w:eastAsia="Arial" w:hAnsi="Arial"/>
          <w:sz w:val="16"/>
          <w:szCs w:val="16"/>
          <w:color w:val="auto"/>
        </w:rPr>
        <w:t>The estimated net loss and prior service cost for the defined benefit pension plan that will be amortized from accumulated other comprehensive income into net periodic benefit cost over the next year are $0.6 million and $Nil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Obligation</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assumptions were used in determining the benefit obligation at December 31, 2020 and December 31, 2019: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Borders>
              <w:bottom w:val="single" w:sz="8" w:color="auto"/>
            </w:tcBorders>
            <w:shd w:val="clear" w:color="auto" w:fill="CCEEFF"/>
          </w:tcPr>
          <w:p>
            <w:pPr>
              <w:spacing w:after="0"/>
              <w:rPr>
                <w:sz w:val="18"/>
                <w:szCs w:val="18"/>
                <w:color w:val="auto"/>
              </w:rPr>
            </w:pP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4460" w:type="dxa"/>
            <w:vAlign w:val="bottom"/>
          </w:tcPr>
          <w:p>
            <w:pPr>
              <w:jc w:val="right"/>
              <w:spacing w:after="0"/>
              <w:rPr>
                <w:sz w:val="20"/>
                <w:szCs w:val="20"/>
                <w:color w:val="auto"/>
              </w:rPr>
            </w:pPr>
            <w:r>
              <w:rPr>
                <w:rFonts w:ascii="Arial" w:cs="Arial" w:eastAsia="Arial" w:hAnsi="Arial"/>
                <w:sz w:val="16"/>
                <w:szCs w:val="16"/>
                <w:color w:val="auto"/>
              </w:rPr>
              <w:t>1.5 %</w:t>
            </w:r>
          </w:p>
        </w:tc>
        <w:tc>
          <w:tcPr>
            <w:tcW w:w="154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41"/>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4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both"/>
        <w:ind w:firstLine="202"/>
        <w:spacing w:after="0" w:line="260" w:lineRule="auto"/>
        <w:rPr>
          <w:sz w:val="20"/>
          <w:szCs w:val="20"/>
          <w:color w:val="auto"/>
        </w:rPr>
      </w:pPr>
      <w:r>
        <w:rPr>
          <w:rFonts w:ascii="Arial" w:cs="Arial" w:eastAsia="Arial" w:hAnsi="Arial"/>
          <w:sz w:val="16"/>
          <w:szCs w:val="16"/>
          <w:color w:val="auto"/>
        </w:rPr>
        <w:t>A single discount rate is used which, when used to discount the projected benefit cashflows underlying a pension scheme with a 26 year duration, gives the same result as a full AA corporate bond yield curve.</w:t>
      </w:r>
    </w:p>
    <w:p>
      <w:pPr>
        <w:spacing w:after="0" w:line="20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Actuarial losses on the benefit obligation during 2020 resulted from changes in the assumptions compared to those adopted at December 2019. Changes in the assumptions reflect the changes in market conditions from December 2019 to December 2020 and the actuarial loss is primarily due to the change in the discount rate and a reduction in the inflation risk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t>Plan Assets</w:t>
      </w:r>
    </w:p>
    <w:p>
      <w:pPr>
        <w:spacing w:after="0" w:line="268" w:lineRule="exact"/>
        <w:rPr>
          <w:sz w:val="20"/>
          <w:szCs w:val="20"/>
          <w:color w:val="auto"/>
        </w:rPr>
      </w:pPr>
    </w:p>
    <w:p>
      <w:pPr>
        <w:jc w:val="both"/>
        <w:ind w:firstLine="224"/>
        <w:spacing w:after="0" w:line="250" w:lineRule="auto"/>
        <w:rPr>
          <w:sz w:val="20"/>
          <w:szCs w:val="20"/>
          <w:color w:val="auto"/>
        </w:rPr>
      </w:pPr>
      <w:r>
        <w:rPr>
          <w:rFonts w:ascii="Arial" w:cs="Arial" w:eastAsia="Arial" w:hAnsi="Arial"/>
          <w:sz w:val="16"/>
          <w:szCs w:val="16"/>
          <w:color w:val="auto"/>
        </w:rPr>
        <w:t>The assets of the scheme are held on an investment platform with Mobius which invests in a number of investment funds with Legal &amp; General, Stone Harbor, Ninety One and Barings. The overall investment strategy is that approximately 19% of investments are in senior secured loans, 20% in corporate bonds, high yield bonds and multi-asset credit fund and 21% in world equities respectively. There is no self-investment in employer related assets. The expected long-term rate of return on assets at December 31, 2020 of 3.4% was calculated as the value of the fund after application of a market value reduction factor. The expected long term rates of return on different asset classes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 Category</w:t>
            </w:r>
          </w:p>
        </w:tc>
        <w:tc>
          <w:tcPr>
            <w:tcW w:w="4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Expected long-term</w:t>
            </w:r>
          </w:p>
        </w:tc>
      </w:tr>
      <w:tr>
        <w:trPr>
          <w:trHeight w:val="215"/>
        </w:trPr>
        <w:tc>
          <w:tcPr>
            <w:tcW w:w="6660" w:type="dxa"/>
            <w:vAlign w:val="bottom"/>
            <w:tcBorders>
              <w:bottom w:val="single" w:sz="8" w:color="auto"/>
            </w:tcBorders>
            <w:shd w:val="clear" w:color="auto" w:fill="CCEEFF"/>
          </w:tcPr>
          <w:p>
            <w:pPr>
              <w:spacing w:after="0"/>
              <w:rPr>
                <w:sz w:val="18"/>
                <w:szCs w:val="18"/>
                <w:color w:val="auto"/>
              </w:rPr>
            </w:pPr>
          </w:p>
        </w:tc>
        <w:tc>
          <w:tcPr>
            <w:tcW w:w="4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return per annum</w:t>
            </w:r>
          </w:p>
        </w:tc>
      </w:tr>
      <w:tr>
        <w:trPr>
          <w:trHeight w:val="207"/>
        </w:trPr>
        <w:tc>
          <w:tcPr>
            <w:tcW w:w="6660" w:type="dxa"/>
            <w:vAlign w:val="bottom"/>
          </w:tcPr>
          <w:p>
            <w:pPr>
              <w:ind w:left="20"/>
              <w:spacing w:after="0"/>
              <w:rPr>
                <w:sz w:val="20"/>
                <w:szCs w:val="20"/>
                <w:color w:val="auto"/>
              </w:rPr>
            </w:pPr>
            <w:r>
              <w:rPr>
                <w:rFonts w:ascii="Arial" w:cs="Arial" w:eastAsia="Arial" w:hAnsi="Arial"/>
                <w:sz w:val="16"/>
                <w:szCs w:val="16"/>
                <w:color w:val="auto"/>
              </w:rPr>
              <w:t>Corporate Bonds (including 50% high yield bonds)</w:t>
            </w:r>
          </w:p>
        </w:tc>
        <w:tc>
          <w:tcPr>
            <w:tcW w:w="456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Equities</w:t>
            </w:r>
          </w:p>
        </w:tc>
        <w:tc>
          <w:tcPr>
            <w:tcW w:w="4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Secured Loans and Multi Asset Credit</w:t>
            </w:r>
          </w:p>
        </w:tc>
        <w:tc>
          <w:tcPr>
            <w:tcW w:w="4560" w:type="dxa"/>
            <w:vAlign w:val="bottom"/>
          </w:tcPr>
          <w:p>
            <w:pPr>
              <w:jc w:val="right"/>
              <w:spacing w:after="0"/>
              <w:rPr>
                <w:sz w:val="20"/>
                <w:szCs w:val="20"/>
                <w:color w:val="auto"/>
              </w:rPr>
            </w:pPr>
            <w:r>
              <w:rPr>
                <w:rFonts w:ascii="Arial" w:cs="Arial" w:eastAsia="Arial" w:hAnsi="Arial"/>
                <w:sz w:val="16"/>
                <w:szCs w:val="16"/>
                <w:color w:val="auto"/>
              </w:rPr>
              <w:t>3.0 %</w:t>
            </w:r>
          </w:p>
        </w:tc>
      </w:tr>
    </w:tbl>
    <w:p>
      <w:pPr>
        <w:spacing w:after="0" w:line="332" w:lineRule="exact"/>
        <w:rPr>
          <w:sz w:val="20"/>
          <w:szCs w:val="20"/>
          <w:color w:val="auto"/>
        </w:rPr>
      </w:pPr>
    </w:p>
    <w:p>
      <w:pPr>
        <w:jc w:val="both"/>
        <w:ind w:firstLine="206"/>
        <w:spacing w:after="0" w:line="250" w:lineRule="auto"/>
        <w:rPr>
          <w:sz w:val="20"/>
          <w:szCs w:val="20"/>
          <w:color w:val="auto"/>
        </w:rPr>
      </w:pPr>
      <w:r>
        <w:rPr>
          <w:rFonts w:ascii="Arial" w:cs="Arial" w:eastAsia="Arial" w:hAnsi="Arial"/>
          <w:sz w:val="16"/>
          <w:szCs w:val="16"/>
          <w:color w:val="auto"/>
        </w:rPr>
        <w:t>The long-term expected rate of return on cash is determined by reference to traditional corporate bond rates at the latest Balance Sheet date. The long-term expected returns on traditional corporate and government bonds are determined by reference to corporate bond yields and gilt yields respectively at the Balance Sheet date. The long-term expected returns on equities are based on the rate of return on government bonds with an allowance for out-performance. The long-term expected return on high yield bonds, secured loans and multi asset credit is based on the return on traditional corporate bonds with an allowance for out-performance.</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underlying asset split of the fund is shown below.</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6"/>
          <w:szCs w:val="16"/>
          <w:b w:val="1"/>
          <w:bCs w:val="1"/>
          <w:color w:val="auto"/>
        </w:rPr>
        <w:t>December 31, 2020 December 31, 2019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Corporate Bonds (including 50% high yield bonds)</w:t>
            </w:r>
          </w:p>
        </w:tc>
        <w:tc>
          <w:tcPr>
            <w:tcW w:w="37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40 %</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40 %</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Equities</w:t>
            </w:r>
          </w:p>
        </w:tc>
        <w:tc>
          <w:tcPr>
            <w:tcW w:w="3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21 %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Secured Loans and Multi Asset Credit</w:t>
            </w:r>
          </w:p>
        </w:tc>
        <w:tc>
          <w:tcPr>
            <w:tcW w:w="3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39 %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r>
      <w:tr>
        <w:trPr>
          <w:trHeight w:val="234"/>
        </w:trPr>
        <w:tc>
          <w:tcPr>
            <w:tcW w:w="6400" w:type="dxa"/>
            <w:vAlign w:val="bottom"/>
            <w:tcBorders>
              <w:bottom w:val="single" w:sz="8" w:color="auto"/>
            </w:tcBorders>
            <w:shd w:val="clear" w:color="auto" w:fill="CCEEFF"/>
          </w:tcPr>
          <w:p>
            <w:pPr>
              <w:spacing w:after="0"/>
              <w:rPr>
                <w:sz w:val="19"/>
                <w:szCs w:val="19"/>
                <w:color w:val="auto"/>
              </w:rPr>
            </w:pPr>
          </w:p>
        </w:tc>
        <w:tc>
          <w:tcPr>
            <w:tcW w:w="3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100 %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400" w:type="dxa"/>
            <w:vAlign w:val="bottom"/>
            <w:tcBorders>
              <w:top w:val="single" w:sz="8" w:color="CCEEFF"/>
              <w:bottom w:val="single" w:sz="8" w:color="auto"/>
            </w:tcBorders>
          </w:tcPr>
          <w:p>
            <w:pPr>
              <w:spacing w:after="0" w:line="20" w:lineRule="exact"/>
              <w:rPr>
                <w:sz w:val="1"/>
                <w:szCs w:val="1"/>
                <w:color w:val="auto"/>
              </w:rPr>
            </w:pPr>
          </w:p>
        </w:tc>
        <w:tc>
          <w:tcPr>
            <w:tcW w:w="37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209"/>
        <w:spacing w:after="0" w:line="260" w:lineRule="auto"/>
        <w:rPr>
          <w:sz w:val="20"/>
          <w:szCs w:val="20"/>
          <w:color w:val="auto"/>
        </w:rPr>
      </w:pPr>
      <w:r>
        <w:rPr>
          <w:rFonts w:ascii="Arial" w:cs="Arial" w:eastAsia="Arial" w:hAnsi="Arial"/>
          <w:sz w:val="16"/>
          <w:szCs w:val="16"/>
          <w:color w:val="auto"/>
        </w:rPr>
        <w:t>Applying the above expected long term rates of return to the asset distribution at December 31, 2020, gives rise to an expected overall rate of return of scheme assets of approximately 3.4% per annum.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 Fair Value Measurements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2900" w:type="dxa"/>
            <w:vAlign w:val="bottom"/>
            <w:gridSpan w:val="4"/>
            <w:shd w:val="clear" w:color="auto" w:fill="CCEEFF"/>
          </w:tcPr>
          <w:p>
            <w:pPr>
              <w:jc w:val="center"/>
              <w:spacing w:after="0"/>
              <w:rPr>
                <w:sz w:val="20"/>
                <w:szCs w:val="20"/>
                <w:color w:val="auto"/>
              </w:rPr>
            </w:pPr>
            <w:r>
              <w:rPr>
                <w:rFonts w:ascii="Arial" w:cs="Arial" w:eastAsia="Arial" w:hAnsi="Arial"/>
                <w:sz w:val="16"/>
                <w:szCs w:val="16"/>
                <w:b w:val="1"/>
                <w:bCs w:val="1"/>
                <w:color w:val="auto"/>
              </w:rPr>
              <w:t>Quoted Prices in Active Markets for</w:t>
            </w:r>
          </w:p>
        </w:tc>
      </w:tr>
      <w:tr>
        <w:trPr>
          <w:trHeight w:val="162"/>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60" w:type="dxa"/>
            <w:vAlign w:val="bottom"/>
            <w:gridSpan w:val="3"/>
            <w:shd w:val="clear" w:color="auto" w:fill="CCEEFF"/>
          </w:tcPr>
          <w:p>
            <w:pPr>
              <w:jc w:val="center"/>
              <w:ind w:right="159"/>
              <w:spacing w:after="0" w:line="162" w:lineRule="exact"/>
              <w:rPr>
                <w:sz w:val="20"/>
                <w:szCs w:val="20"/>
                <w:color w:val="auto"/>
              </w:rPr>
            </w:pPr>
            <w:r>
              <w:rPr>
                <w:rFonts w:ascii="Arial" w:cs="Arial" w:eastAsia="Arial" w:hAnsi="Arial"/>
                <w:sz w:val="16"/>
                <w:szCs w:val="16"/>
                <w:b w:val="1"/>
                <w:bCs w:val="1"/>
                <w:color w:val="auto"/>
              </w:rPr>
              <w:t>Identical Assets</w:t>
            </w:r>
          </w:p>
        </w:tc>
      </w:tr>
      <w:tr>
        <w:trPr>
          <w:trHeight w:val="215"/>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center"/>
              <w:ind w:left="799"/>
              <w:spacing w:after="0"/>
              <w:rPr>
                <w:sz w:val="20"/>
                <w:szCs w:val="20"/>
                <w:color w:val="auto"/>
              </w:rPr>
            </w:pPr>
            <w:r>
              <w:rPr>
                <w:rFonts w:ascii="Arial" w:cs="Arial" w:eastAsia="Arial" w:hAnsi="Arial"/>
                <w:sz w:val="16"/>
                <w:szCs w:val="16"/>
                <w:b w:val="1"/>
                <w:bCs w:val="1"/>
                <w:color w:val="auto"/>
                <w:w w:val="99"/>
              </w:rPr>
              <w:t>Level 1</w:t>
            </w:r>
          </w:p>
        </w:tc>
        <w:tc>
          <w:tcPr>
            <w:tcW w:w="1120" w:type="dxa"/>
            <w:vAlign w:val="bottom"/>
            <w:tcBorders>
              <w:bottom w:val="single" w:sz="8" w:color="auto"/>
            </w:tcBorders>
            <w:shd w:val="clear" w:color="auto" w:fill="CCEEFF"/>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6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gridSpan w:val="3"/>
            <w:shd w:val="clear" w:color="auto" w:fill="CCEEFF"/>
          </w:tcPr>
          <w:p>
            <w:pPr>
              <w:jc w:val="center"/>
              <w:ind w:right="159"/>
              <w:spacing w:after="0"/>
              <w:rPr>
                <w:sz w:val="20"/>
                <w:szCs w:val="20"/>
                <w:color w:val="auto"/>
              </w:rPr>
            </w:pPr>
            <w:r>
              <w:rPr>
                <w:rFonts w:ascii="Arial" w:cs="Arial" w:eastAsia="Arial" w:hAnsi="Arial"/>
                <w:sz w:val="16"/>
                <w:szCs w:val="16"/>
                <w:b w:val="1"/>
                <w:bCs w:val="1"/>
                <w:color w:val="auto"/>
                <w:w w:val="99"/>
              </w:rPr>
              <w:t>(in thousands)</w:t>
            </w:r>
          </w:p>
        </w:tc>
      </w:tr>
      <w:tr>
        <w:trPr>
          <w:trHeight w:val="170"/>
        </w:trPr>
        <w:tc>
          <w:tcPr>
            <w:tcW w:w="20" w:type="dxa"/>
            <w:vAlign w:val="bottom"/>
          </w:tcPr>
          <w:p>
            <w:pPr>
              <w:spacing w:after="0"/>
              <w:rPr>
                <w:sz w:val="14"/>
                <w:szCs w:val="14"/>
                <w:color w:val="auto"/>
              </w:rPr>
            </w:pPr>
          </w:p>
        </w:tc>
        <w:tc>
          <w:tcPr>
            <w:tcW w:w="8300" w:type="dxa"/>
            <w:vAlign w:val="bottom"/>
            <w:gridSpan w:val="3"/>
          </w:tcPr>
          <w:p>
            <w:pPr>
              <w:spacing w:after="0" w:line="170" w:lineRule="exact"/>
              <w:rPr>
                <w:sz w:val="20"/>
                <w:szCs w:val="20"/>
                <w:color w:val="auto"/>
              </w:rPr>
            </w:pPr>
            <w:r>
              <w:rPr>
                <w:rFonts w:ascii="Arial" w:cs="Arial" w:eastAsia="Arial" w:hAnsi="Arial"/>
                <w:sz w:val="16"/>
                <w:szCs w:val="16"/>
                <w:color w:val="auto"/>
              </w:rPr>
              <w:t>Cash</w:t>
            </w:r>
          </w:p>
        </w:tc>
        <w:tc>
          <w:tcPr>
            <w:tcW w:w="240" w:type="dxa"/>
            <w:vAlign w:val="bottom"/>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0" w:lineRule="exact"/>
              <w:rPr>
                <w:sz w:val="20"/>
                <w:szCs w:val="20"/>
                <w:color w:val="auto"/>
              </w:rPr>
            </w:pPr>
            <w:r>
              <w:rPr>
                <w:rFonts w:ascii="Arial" w:cs="Arial" w:eastAsia="Arial" w:hAnsi="Arial"/>
                <w:sz w:val="16"/>
                <w:szCs w:val="16"/>
                <w:color w:val="auto"/>
              </w:rPr>
              <w:t>11</w:t>
            </w:r>
          </w:p>
        </w:tc>
        <w:tc>
          <w:tcPr>
            <w:tcW w:w="340" w:type="dxa"/>
            <w:vAlign w:val="bottom"/>
          </w:tcPr>
          <w:p>
            <w:pPr>
              <w:jc w:val="right"/>
              <w:ind w:right="139"/>
              <w:spacing w:after="0" w:line="170"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70" w:lineRule="exact"/>
              <w:rPr>
                <w:sz w:val="20"/>
                <w:szCs w:val="20"/>
                <w:color w:val="auto"/>
              </w:rPr>
            </w:pPr>
            <w:r>
              <w:rPr>
                <w:rFonts w:ascii="Arial" w:cs="Arial" w:eastAsia="Arial" w:hAnsi="Arial"/>
                <w:sz w:val="16"/>
                <w:szCs w:val="16"/>
                <w:color w:val="auto"/>
              </w:rPr>
              <w:t>17</w:t>
            </w: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rPr>
              <w:t>Fixed Income Securities</w:t>
            </w:r>
          </w:p>
        </w:tc>
        <w:tc>
          <w:tcPr>
            <w:tcW w:w="65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6"/>
                <w:szCs w:val="16"/>
                <w:color w:val="auto"/>
              </w:rPr>
              <w:t>L&amp;G Life GPBF All World Equity Index Fund</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7,460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6,753</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L&amp;G Life DC Active Corporate Bond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w:t>
            </w: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6"/>
                <w:szCs w:val="16"/>
                <w:color w:val="auto"/>
              </w:rPr>
              <w:t>Stone Harbor High Yield Bond Fund</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6,861</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6,292</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Ninety One Global Total Return Credit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6"/>
                <w:szCs w:val="16"/>
                <w:color w:val="auto"/>
              </w:rPr>
              <w:t>Investec Global Total Return Credit Fund</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3,166</w:t>
            </w:r>
          </w:p>
        </w:tc>
      </w:tr>
      <w:tr>
        <w:trPr>
          <w:trHeight w:val="219"/>
        </w:trPr>
        <w:tc>
          <w:tcPr>
            <w:tcW w:w="20" w:type="dxa"/>
            <w:vAlign w:val="bottom"/>
            <w:shd w:val="clear" w:color="auto" w:fill="CCEEFF"/>
          </w:tcPr>
          <w:p>
            <w:pPr>
              <w:spacing w:after="0"/>
              <w:rPr>
                <w:sz w:val="19"/>
                <w:szCs w:val="19"/>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Stone Harbor Multi Asset Credit Portfolio</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r>
      <w:tr>
        <w:trPr>
          <w:trHeight w:val="213"/>
        </w:trPr>
        <w:tc>
          <w:tcPr>
            <w:tcW w:w="20" w:type="dxa"/>
            <w:vAlign w:val="bottom"/>
            <w:tcBorders>
              <w:bottom w:val="single" w:sz="8" w:color="auto"/>
            </w:tcBorders>
          </w:tcPr>
          <w:p>
            <w:pPr>
              <w:spacing w:after="0"/>
              <w:rPr>
                <w:sz w:val="18"/>
                <w:szCs w:val="18"/>
                <w:color w:val="auto"/>
              </w:rPr>
            </w:pPr>
          </w:p>
        </w:tc>
        <w:tc>
          <w:tcPr>
            <w:tcW w:w="83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Barings European Loan Fund Buy &amp; Hold</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6,225</w:t>
            </w: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5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34,612</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32,016</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5"/>
        </w:trPr>
        <w:tc>
          <w:tcPr>
            <w:tcW w:w="96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78"/>
        </w:trPr>
        <w:tc>
          <w:tcPr>
            <w:tcW w:w="9640" w:type="dxa"/>
            <w:vAlign w:val="bottom"/>
          </w:tcPr>
          <w:p>
            <w:pPr>
              <w:ind w:left="180"/>
              <w:spacing w:after="0"/>
              <w:rPr>
                <w:sz w:val="20"/>
                <w:szCs w:val="20"/>
                <w:color w:val="auto"/>
              </w:rPr>
            </w:pPr>
            <w:r>
              <w:rPr>
                <w:rFonts w:ascii="Arial" w:cs="Arial" w:eastAsia="Arial" w:hAnsi="Arial"/>
                <w:sz w:val="16"/>
                <w:szCs w:val="16"/>
                <w:color w:val="auto"/>
              </w:rPr>
              <w:t>The Company expects to contribute $0.1 million to the pension fund in the year ending December 31, 2021.</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9640" w:type="dxa"/>
            <w:vAlign w:val="bottom"/>
          </w:tcPr>
          <w:p>
            <w:pPr>
              <w:ind w:left="180"/>
              <w:spacing w:after="0"/>
              <w:rPr>
                <w:sz w:val="20"/>
                <w:szCs w:val="20"/>
                <w:color w:val="auto"/>
              </w:rPr>
            </w:pPr>
            <w:r>
              <w:rPr>
                <w:rFonts w:ascii="Arial" w:cs="Arial" w:eastAsia="Arial" w:hAnsi="Arial"/>
                <w:sz w:val="16"/>
                <w:szCs w:val="16"/>
                <w:color w:val="auto"/>
              </w:rPr>
              <w:t>The following annual benefit payments, which reflect expected future service as appropriate, are expected to be paid.</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4"/>
        </w:trPr>
        <w:tc>
          <w:tcPr>
            <w:tcW w:w="9640" w:type="dxa"/>
            <w:vAlign w:val="bottom"/>
          </w:tcPr>
          <w:p>
            <w:pPr>
              <w:spacing w:after="0"/>
              <w:rPr>
                <w:sz w:val="9"/>
                <w:szCs w:val="9"/>
                <w:color w:val="auto"/>
              </w:rPr>
            </w:pPr>
          </w:p>
        </w:tc>
        <w:tc>
          <w:tcPr>
            <w:tcW w:w="1580" w:type="dxa"/>
            <w:vAlign w:val="bottom"/>
            <w:gridSpan w:val="2"/>
          </w:tcPr>
          <w:p>
            <w:pPr>
              <w:spacing w:after="0"/>
              <w:rPr>
                <w:sz w:val="9"/>
                <w:szCs w:val="9"/>
                <w:color w:val="auto"/>
              </w:rPr>
            </w:pPr>
          </w:p>
        </w:tc>
      </w:tr>
      <w:tr>
        <w:trPr>
          <w:trHeight w:val="216"/>
        </w:trPr>
        <w:tc>
          <w:tcPr>
            <w:tcW w:w="9640" w:type="dxa"/>
            <w:vAlign w:val="bottom"/>
            <w:shd w:val="clear" w:color="auto" w:fill="CCEEFF"/>
          </w:tcPr>
          <w:p>
            <w:pPr>
              <w:spacing w:after="0"/>
              <w:rPr>
                <w:sz w:val="18"/>
                <w:szCs w:val="18"/>
                <w:color w:val="auto"/>
              </w:rPr>
            </w:pPr>
          </w:p>
        </w:tc>
        <w:tc>
          <w:tcPr>
            <w:tcW w:w="1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 thousands)</w:t>
            </w:r>
          </w:p>
        </w:tc>
      </w:tr>
      <w:tr>
        <w:trPr>
          <w:trHeight w:val="207"/>
        </w:trPr>
        <w:tc>
          <w:tcPr>
            <w:tcW w:w="9640" w:type="dxa"/>
            <w:vAlign w:val="bottom"/>
          </w:tcPr>
          <w:p>
            <w:pPr>
              <w:ind w:left="20"/>
              <w:spacing w:after="0"/>
              <w:rPr>
                <w:sz w:val="20"/>
                <w:szCs w:val="20"/>
                <w:color w:val="auto"/>
              </w:rPr>
            </w:pPr>
            <w:r>
              <w:rPr>
                <w:rFonts w:ascii="Arial" w:cs="Arial" w:eastAsia="Arial" w:hAnsi="Arial"/>
                <w:sz w:val="16"/>
                <w:szCs w:val="16"/>
                <w:color w:val="auto"/>
              </w:rPr>
              <w:t>2021</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9"/>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3"/>
        </w:trPr>
        <w:tc>
          <w:tcPr>
            <w:tcW w:w="9640" w:type="dxa"/>
            <w:vAlign w:val="bottom"/>
          </w:tcPr>
          <w:p>
            <w:pPr>
              <w:ind w:left="20"/>
              <w:spacing w:after="0"/>
              <w:rPr>
                <w:sz w:val="20"/>
                <w:szCs w:val="20"/>
                <w:color w:val="auto"/>
              </w:rPr>
            </w:pPr>
            <w:r>
              <w:rPr>
                <w:rFonts w:ascii="Arial" w:cs="Arial" w:eastAsia="Arial" w:hAnsi="Arial"/>
                <w:sz w:val="16"/>
                <w:szCs w:val="16"/>
                <w:color w:val="auto"/>
              </w:rPr>
              <w:t>2023</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9"/>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13"/>
        </w:trPr>
        <w:tc>
          <w:tcPr>
            <w:tcW w:w="9640" w:type="dxa"/>
            <w:vAlign w:val="bottom"/>
          </w:tcPr>
          <w:p>
            <w:pPr>
              <w:ind w:left="20"/>
              <w:spacing w:after="0"/>
              <w:rPr>
                <w:sz w:val="20"/>
                <w:szCs w:val="20"/>
                <w:color w:val="auto"/>
              </w:rPr>
            </w:pPr>
            <w:r>
              <w:rPr>
                <w:rFonts w:ascii="Arial" w:cs="Arial" w:eastAsia="Arial" w:hAnsi="Arial"/>
                <w:sz w:val="16"/>
                <w:szCs w:val="16"/>
                <w:color w:val="auto"/>
              </w:rPr>
              <w:t>2025</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41"/>
        </w:trPr>
        <w:tc>
          <w:tcPr>
            <w:tcW w:w="9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Years 2026 - 2030</w:t>
            </w:r>
          </w:p>
        </w:tc>
        <w:tc>
          <w:tcPr>
            <w:tcW w:w="6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w:t>
            </w:r>
          </w:p>
        </w:tc>
      </w:tr>
      <w:tr>
        <w:trPr>
          <w:trHeight w:val="20"/>
        </w:trPr>
        <w:tc>
          <w:tcPr>
            <w:tcW w:w="9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both"/>
        <w:ind w:firstLine="300"/>
        <w:spacing w:after="0" w:line="251"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withdrawals or commutation of pension for cash.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Aptiv Solutions pension plan</w:t>
      </w:r>
    </w:p>
    <w:p>
      <w:pPr>
        <w:spacing w:after="0" w:line="268" w:lineRule="exact"/>
        <w:rPr>
          <w:sz w:val="20"/>
          <w:szCs w:val="20"/>
          <w:color w:val="auto"/>
        </w:rPr>
      </w:pPr>
    </w:p>
    <w:p>
      <w:pPr>
        <w:jc w:val="both"/>
        <w:ind w:firstLine="193"/>
        <w:spacing w:after="0" w:line="248" w:lineRule="auto"/>
        <w:rPr>
          <w:sz w:val="20"/>
          <w:szCs w:val="20"/>
          <w:color w:val="auto"/>
        </w:rPr>
      </w:pPr>
      <w:r>
        <w:rPr>
          <w:rFonts w:ascii="Arial" w:cs="Arial" w:eastAsia="Arial" w:hAnsi="Arial"/>
          <w:sz w:val="16"/>
          <w:szCs w:val="16"/>
          <w:color w:val="auto"/>
        </w:rPr>
        <w:t xml:space="preserve">On May 7, 2014 the Company acquired 100% of the common stock of Aptiv Solutions ("Aptiv"). The acquisition of Aptiv was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2020 and December 31, 2019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Funded status</w:t>
            </w:r>
          </w:p>
        </w:tc>
        <w:tc>
          <w:tcPr>
            <w:tcW w:w="3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4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09"/>
        </w:trPr>
        <w:tc>
          <w:tcPr>
            <w:tcW w:w="5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3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(7,047)</w:t>
            </w: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plan assets</w:t>
            </w:r>
          </w:p>
        </w:tc>
        <w:tc>
          <w:tcPr>
            <w:tcW w:w="3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7,601</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6,014</w:t>
            </w:r>
          </w:p>
        </w:tc>
      </w:tr>
      <w:tr>
        <w:trPr>
          <w:trHeight w:val="213"/>
        </w:trPr>
        <w:tc>
          <w:tcPr>
            <w:tcW w:w="54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status</w:t>
            </w:r>
          </w:p>
        </w:tc>
        <w:tc>
          <w:tcPr>
            <w:tcW w:w="3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0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other liabilities (note 8)</w:t>
            </w:r>
          </w:p>
        </w:tc>
        <w:tc>
          <w:tcPr>
            <w:tcW w:w="3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r>
      <w:tr>
        <w:trPr>
          <w:trHeight w:val="24"/>
        </w:trPr>
        <w:tc>
          <w:tcPr>
            <w:tcW w:w="54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9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66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5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service cost</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Transferred balances/(benefits paid)</w:t>
            </w:r>
          </w:p>
        </w:tc>
        <w:tc>
          <w:tcPr>
            <w:tcW w:w="29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loss</w:t>
            </w:r>
          </w:p>
        </w:tc>
        <w:tc>
          <w:tcPr>
            <w:tcW w:w="29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9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38"/>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Benefit obligation at end of year</w:t>
            </w:r>
          </w:p>
        </w:tc>
        <w:tc>
          <w:tcPr>
            <w:tcW w:w="2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8,620</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7,047</w:t>
            </w:r>
          </w:p>
        </w:tc>
      </w:tr>
      <w:tr>
        <w:trPr>
          <w:trHeight w:val="20"/>
        </w:trPr>
        <w:tc>
          <w:tcPr>
            <w:tcW w:w="566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7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8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58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Fair value of plan assets at beginning of year</w:t>
            </w:r>
          </w:p>
        </w:tc>
        <w:tc>
          <w:tcPr>
            <w:tcW w:w="2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6,014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4,707</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1,114</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Scheme contributions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Plan participants' contributions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Transferred balances/ (benefits paid)</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38"/>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Fair value of plan assets at end of year</w:t>
            </w:r>
          </w:p>
        </w:tc>
        <w:tc>
          <w:tcPr>
            <w:tcW w:w="2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6,014</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360" w:firstLine="177"/>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amounts were recorded in the Consolidated Statement of Operations as components of the net periodic benefit cost: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Amortization of net gain</w:t>
            </w:r>
          </w:p>
        </w:tc>
        <w:tc>
          <w:tcPr>
            <w:tcW w:w="2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credit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Settlement</w:t>
            </w:r>
          </w:p>
        </w:tc>
        <w:tc>
          <w:tcPr>
            <w:tcW w:w="2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cost/(credit)</w:t>
            </w:r>
          </w:p>
        </w:tc>
        <w:tc>
          <w:tcPr>
            <w:tcW w:w="2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benefit cost for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December 31, 2019 and December 31, 2018: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206"/>
        </w:trPr>
        <w:tc>
          <w:tcPr>
            <w:tcW w:w="466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3400" w:type="dxa"/>
            <w:vAlign w:val="bottom"/>
          </w:tcPr>
          <w:p>
            <w:pPr>
              <w:jc w:val="right"/>
              <w:spacing w:after="0"/>
              <w:rPr>
                <w:sz w:val="20"/>
                <w:szCs w:val="20"/>
                <w:color w:val="auto"/>
              </w:rPr>
            </w:pPr>
            <w:r>
              <w:rPr>
                <w:rFonts w:ascii="Arial" w:cs="Arial" w:eastAsia="Arial" w:hAnsi="Arial"/>
                <w:sz w:val="16"/>
                <w:szCs w:val="16"/>
                <w:color w:val="auto"/>
              </w:rPr>
              <w:t>0.30 %</w:t>
            </w:r>
          </w:p>
        </w:tc>
        <w:tc>
          <w:tcPr>
            <w:tcW w:w="1580" w:type="dxa"/>
            <w:vAlign w:val="bottom"/>
          </w:tcPr>
          <w:p>
            <w:pPr>
              <w:jc w:val="right"/>
              <w:spacing w:after="0"/>
              <w:rPr>
                <w:sz w:val="20"/>
                <w:szCs w:val="20"/>
                <w:color w:val="auto"/>
              </w:rPr>
            </w:pPr>
            <w:r>
              <w:rPr>
                <w:rFonts w:ascii="Arial" w:cs="Arial" w:eastAsia="Arial" w:hAnsi="Arial"/>
                <w:sz w:val="16"/>
                <w:szCs w:val="16"/>
                <w:color w:val="auto"/>
              </w:rPr>
              <w:t>0.80 %</w:t>
            </w:r>
          </w:p>
        </w:tc>
        <w:tc>
          <w:tcPr>
            <w:tcW w:w="1540" w:type="dxa"/>
            <w:vAlign w:val="bottom"/>
          </w:tcPr>
          <w:p>
            <w:pPr>
              <w:jc w:val="right"/>
              <w:spacing w:after="0"/>
              <w:rPr>
                <w:sz w:val="20"/>
                <w:szCs w:val="20"/>
                <w:color w:val="auto"/>
              </w:rPr>
            </w:pPr>
            <w:r>
              <w:rPr>
                <w:rFonts w:ascii="Arial" w:cs="Arial" w:eastAsia="Arial" w:hAnsi="Arial"/>
                <w:sz w:val="16"/>
                <w:szCs w:val="16"/>
                <w:color w:val="auto"/>
              </w:rPr>
              <w:t>0.80 %</w:t>
            </w: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3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13"/>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rate of return on plan assets</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0.80 %</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0.80 %</w:t>
            </w:r>
          </w:p>
        </w:tc>
      </w:tr>
      <w:tr>
        <w:trPr>
          <w:trHeight w:val="23"/>
        </w:trPr>
        <w:tc>
          <w:tcPr>
            <w:tcW w:w="46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auto"/>
            </w:tcBorders>
            <w:gridSpan w:val="2"/>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7"/>
        </w:trPr>
        <w:tc>
          <w:tcPr>
            <w:tcW w:w="5460" w:type="dxa"/>
            <w:vAlign w:val="bottom"/>
          </w:tcPr>
          <w:p>
            <w:pPr>
              <w:ind w:left="20"/>
              <w:spacing w:after="0"/>
              <w:rPr>
                <w:sz w:val="20"/>
                <w:szCs w:val="20"/>
                <w:color w:val="auto"/>
              </w:rPr>
            </w:pPr>
            <w:r>
              <w:rPr>
                <w:rFonts w:ascii="Arial" w:cs="Arial" w:eastAsia="Arial" w:hAnsi="Arial"/>
                <w:sz w:val="16"/>
                <w:szCs w:val="16"/>
                <w:color w:val="auto"/>
              </w:rPr>
              <w:t>Actuarial loss/(gain) - benefit obligation</w:t>
            </w:r>
          </w:p>
        </w:tc>
        <w:tc>
          <w:tcPr>
            <w:tcW w:w="19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1,479</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(gain)/loss – plan assets</w:t>
            </w:r>
          </w:p>
        </w:tc>
        <w:tc>
          <w:tcPr>
            <w:tcW w:w="19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Prior service credit recognized in net periodic benefit cost</w:t>
            </w:r>
          </w:p>
        </w:tc>
        <w:tc>
          <w:tcPr>
            <w:tcW w:w="1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 recognized in net periodic benefit cost</w:t>
            </w:r>
          </w:p>
        </w:tc>
        <w:tc>
          <w:tcPr>
            <w:tcW w:w="19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Amortization of net prior service credit</w:t>
            </w:r>
          </w:p>
        </w:tc>
        <w:tc>
          <w:tcPr>
            <w:tcW w:w="1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6"/>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prior service cost occurring during the year</w:t>
            </w:r>
          </w:p>
        </w:tc>
        <w:tc>
          <w:tcPr>
            <w:tcW w:w="19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
        </w:trPr>
        <w:tc>
          <w:tcPr>
            <w:tcW w:w="5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ind w:firstLine="196"/>
        <w:spacing w:after="0" w:line="260" w:lineRule="auto"/>
        <w:rPr>
          <w:sz w:val="20"/>
          <w:szCs w:val="20"/>
          <w:color w:val="auto"/>
        </w:rPr>
      </w:pPr>
      <w:r>
        <w:rPr>
          <w:rFonts w:ascii="Arial" w:cs="Arial" w:eastAsia="Arial" w:hAnsi="Arial"/>
          <w:sz w:val="16"/>
          <w:szCs w:val="16"/>
          <w:color w:val="auto"/>
        </w:rPr>
        <w:t>The estimated net gain and prior service credit for the defined benefit pension plan that will be amortized from accumulated other comprehensive income into net periodic benefit cost over the next year are $7,000 and $12,000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20"/>
                <w:szCs w:val="20"/>
                <w:color w:val="auto"/>
              </w:rPr>
            </w:pPr>
            <w:r>
              <w:rPr>
                <w:rFonts w:ascii="Arial" w:cs="Arial" w:eastAsia="Arial" w:hAnsi="Arial"/>
                <w:sz w:val="16"/>
                <w:szCs w:val="16"/>
                <w:b w:val="1"/>
                <w:bCs w:val="1"/>
                <w:color w:val="auto"/>
              </w:rPr>
              <w:t>Benefit Obligation</w:t>
            </w:r>
          </w:p>
        </w:tc>
        <w:tc>
          <w:tcPr>
            <w:tcW w:w="4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32"/>
        </w:trPr>
        <w:tc>
          <w:tcPr>
            <w:tcW w:w="9680" w:type="dxa"/>
            <w:vAlign w:val="bottom"/>
            <w:gridSpan w:val="2"/>
          </w:tcPr>
          <w:p>
            <w:pPr>
              <w:ind w:left="180"/>
              <w:spacing w:after="0"/>
              <w:rPr>
                <w:sz w:val="20"/>
                <w:szCs w:val="20"/>
                <w:color w:val="auto"/>
              </w:rPr>
            </w:pPr>
            <w:r>
              <w:rPr>
                <w:rFonts w:ascii="Arial" w:cs="Arial" w:eastAsia="Arial" w:hAnsi="Arial"/>
                <w:sz w:val="16"/>
                <w:szCs w:val="16"/>
                <w:color w:val="auto"/>
              </w:rPr>
              <w:t>The following assumptions were used in determining the benefit obligation at December 31, 2020 and December 31, 2019:</w:t>
            </w:r>
          </w:p>
        </w:tc>
        <w:tc>
          <w:tcPr>
            <w:tcW w:w="1540" w:type="dxa"/>
            <w:vAlign w:val="bottom"/>
          </w:tcPr>
          <w:p>
            <w:pPr>
              <w:spacing w:after="0"/>
              <w:rPr>
                <w:sz w:val="24"/>
                <w:szCs w:val="24"/>
                <w:color w:val="auto"/>
              </w:rPr>
            </w:pPr>
          </w:p>
        </w:tc>
      </w:tr>
      <w:tr>
        <w:trPr>
          <w:trHeight w:val="114"/>
        </w:trPr>
        <w:tc>
          <w:tcPr>
            <w:tcW w:w="52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15"/>
        </w:trPr>
        <w:tc>
          <w:tcPr>
            <w:tcW w:w="5220" w:type="dxa"/>
            <w:vAlign w:val="bottom"/>
            <w:tcBorders>
              <w:bottom w:val="single" w:sz="8" w:color="auto"/>
            </w:tcBorders>
            <w:shd w:val="clear" w:color="auto" w:fill="CCEEFF"/>
          </w:tcPr>
          <w:p>
            <w:pPr>
              <w:spacing w:after="0"/>
              <w:rPr>
                <w:sz w:val="18"/>
                <w:szCs w:val="18"/>
                <w:color w:val="auto"/>
              </w:rPr>
            </w:pP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4460" w:type="dxa"/>
            <w:vAlign w:val="bottom"/>
          </w:tcPr>
          <w:p>
            <w:pPr>
              <w:jc w:val="right"/>
              <w:spacing w:after="0"/>
              <w:rPr>
                <w:sz w:val="20"/>
                <w:szCs w:val="20"/>
                <w:color w:val="auto"/>
              </w:rPr>
            </w:pPr>
            <w:r>
              <w:rPr>
                <w:rFonts w:ascii="Arial" w:cs="Arial" w:eastAsia="Arial" w:hAnsi="Arial"/>
                <w:sz w:val="16"/>
                <w:szCs w:val="16"/>
                <w:color w:val="auto"/>
              </w:rPr>
              <w:t>0.15 %</w:t>
            </w:r>
          </w:p>
        </w:tc>
        <w:tc>
          <w:tcPr>
            <w:tcW w:w="1540" w:type="dxa"/>
            <w:vAlign w:val="bottom"/>
          </w:tcPr>
          <w:p>
            <w:pPr>
              <w:jc w:val="right"/>
              <w:spacing w:after="0"/>
              <w:rPr>
                <w:sz w:val="20"/>
                <w:szCs w:val="20"/>
                <w:color w:val="auto"/>
              </w:rPr>
            </w:pPr>
            <w:r>
              <w:rPr>
                <w:rFonts w:ascii="Arial" w:cs="Arial" w:eastAsia="Arial" w:hAnsi="Arial"/>
                <w:sz w:val="16"/>
                <w:szCs w:val="16"/>
                <w:color w:val="auto"/>
              </w:rPr>
              <w:t>0.30 %</w:t>
            </w:r>
          </w:p>
        </w:tc>
      </w:tr>
      <w:tr>
        <w:trPr>
          <w:trHeight w:val="241"/>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Rate of compensation increase</w:t>
            </w:r>
          </w:p>
        </w:tc>
        <w:tc>
          <w:tcPr>
            <w:tcW w:w="4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2.00 %</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4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discount rate is determined by reference to Swiss corporate bond yields at the Balance Sheet date.</w:t>
      </w:r>
    </w:p>
    <w:p>
      <w:pPr>
        <w:spacing w:after="0" w:line="23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Actuarial losses on the benefit obligation during 2020 resulted from actual experience with plan members during 2020 being different from that assumed at December 2019 and due to changes in the assumptions compared to those adopted at December 2019. Changes in the assumptions reflect the changes in market conditions from December 2019 to December 2020 and the actuarial loss is primarily due to the change in the discount rate.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Assets</w:t>
      </w:r>
    </w:p>
    <w:p>
      <w:pPr>
        <w:spacing w:after="0" w:line="268" w:lineRule="exact"/>
        <w:rPr>
          <w:sz w:val="20"/>
          <w:szCs w:val="20"/>
          <w:color w:val="auto"/>
        </w:rPr>
      </w:pPr>
    </w:p>
    <w:p>
      <w:pPr>
        <w:jc w:val="both"/>
        <w:ind w:firstLine="271"/>
        <w:spacing w:after="0" w:line="253" w:lineRule="auto"/>
        <w:rPr>
          <w:sz w:val="20"/>
          <w:szCs w:val="20"/>
          <w:color w:val="auto"/>
        </w:rPr>
      </w:pPr>
      <w:r>
        <w:rPr>
          <w:rFonts w:ascii="Arial" w:cs="Arial" w:eastAsia="Arial" w:hAnsi="Arial"/>
          <w:sz w:val="16"/>
          <w:szCs w:val="16"/>
          <w:color w:val="auto"/>
        </w:rPr>
        <w:t>The pension plan is an insured arrangement with Swiss Life. The assets are an insurance contract whose value depends on the amount saved by employees and the interest granted by Swiss Life. The value of assets does not depend on the performance of any underlying assets. There is no self-investment in employer related assets.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expects to contribute $0.1 million to its pension fund in the year ending December 31, 2021.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annual benefit payments, which reflect expected future service as appropriate, are expected to be paid.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Borders>
              <w:bottom w:val="single" w:sz="8" w:color="auto"/>
            </w:tcBorders>
            <w:shd w:val="clear" w:color="auto" w:fill="CCEEFF"/>
          </w:tcPr>
          <w:p>
            <w:pPr>
              <w:spacing w:after="0"/>
              <w:rPr>
                <w:sz w:val="18"/>
                <w:szCs w:val="18"/>
                <w:color w:val="auto"/>
              </w:rPr>
            </w:pPr>
          </w:p>
        </w:tc>
        <w:tc>
          <w:tcPr>
            <w:tcW w:w="5720" w:type="dxa"/>
            <w:vAlign w:val="bottom"/>
            <w:tcBorders>
              <w:bottom w:val="single" w:sz="8" w:color="auto"/>
            </w:tcBorders>
            <w:gridSpan w:val="2"/>
            <w:shd w:val="clear" w:color="auto" w:fill="CCEEFF"/>
          </w:tcPr>
          <w:p>
            <w:pPr>
              <w:ind w:left="4160"/>
              <w:spacing w:after="0"/>
              <w:rPr>
                <w:sz w:val="20"/>
                <w:szCs w:val="20"/>
                <w:color w:val="auto"/>
              </w:rPr>
            </w:pPr>
            <w:r>
              <w:rPr>
                <w:rFonts w:ascii="Arial" w:cs="Arial" w:eastAsia="Arial" w:hAnsi="Arial"/>
                <w:sz w:val="16"/>
                <w:szCs w:val="16"/>
                <w:b w:val="1"/>
                <w:bCs w:val="1"/>
                <w:color w:val="auto"/>
              </w:rPr>
              <w:t>(in thousands)</w:t>
            </w:r>
          </w:p>
        </w:tc>
      </w:tr>
      <w:tr>
        <w:trPr>
          <w:trHeight w:val="210"/>
        </w:trPr>
        <w:tc>
          <w:tcPr>
            <w:tcW w:w="55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740" w:type="dxa"/>
            <w:vAlign w:val="bottom"/>
            <w:shd w:val="clear" w:color="auto" w:fill="CCEEFF"/>
          </w:tcPr>
          <w:p>
            <w:pPr>
              <w:ind w:left="4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2022</w:t>
            </w:r>
          </w:p>
        </w:tc>
        <w:tc>
          <w:tcPr>
            <w:tcW w:w="47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13"/>
        </w:trPr>
        <w:tc>
          <w:tcPr>
            <w:tcW w:w="5500" w:type="dxa"/>
            <w:vAlign w:val="bottom"/>
          </w:tcPr>
          <w:p>
            <w:pPr>
              <w:ind w:left="20"/>
              <w:spacing w:after="0"/>
              <w:rPr>
                <w:sz w:val="20"/>
                <w:szCs w:val="20"/>
                <w:color w:val="auto"/>
              </w:rPr>
            </w:pPr>
            <w:r>
              <w:rPr>
                <w:rFonts w:ascii="Arial" w:cs="Arial" w:eastAsia="Arial" w:hAnsi="Arial"/>
                <w:sz w:val="16"/>
                <w:szCs w:val="16"/>
                <w:color w:val="auto"/>
              </w:rPr>
              <w:t>2024</w:t>
            </w:r>
          </w:p>
        </w:tc>
        <w:tc>
          <w:tcPr>
            <w:tcW w:w="47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13"/>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Years 2025 - 2029</w:t>
            </w:r>
          </w:p>
        </w:tc>
        <w:tc>
          <w:tcPr>
            <w:tcW w:w="4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w:t>
            </w:r>
          </w:p>
        </w:tc>
      </w:tr>
      <w:tr>
        <w:trPr>
          <w:trHeight w:val="23"/>
        </w:trPr>
        <w:tc>
          <w:tcPr>
            <w:tcW w:w="55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196"/>
        <w:spacing w:after="0" w:line="249" w:lineRule="auto"/>
        <w:rPr>
          <w:sz w:val="20"/>
          <w:szCs w:val="20"/>
          <w:color w:val="auto"/>
        </w:rPr>
      </w:pPr>
      <w:r>
        <w:rPr>
          <w:rFonts w:ascii="Arial" w:cs="Arial" w:eastAsia="Arial" w:hAnsi="Arial"/>
          <w:sz w:val="16"/>
          <w:szCs w:val="16"/>
          <w:color w:val="auto"/>
        </w:rPr>
        <w:t>The expected cash flows are estimated figures based on the members already receiving benefits plus an additional amount for people expected to retire, leave the Company, become disabled or die in the next 10 years. The amounts assume no early retirements and allow for expected experience in line with Swiss population statistics. At the present time it is not clear whether annuities will be purchased when members reach retirement or whether pensions will be paid each month out of scheme assets. The cash flows above have been estimated on the assumption that employees will take 50% of their benefits as a lump sum and the remainder will be paid monthly out of scheme assets as a pension. If employees choose a different option, the actual future benefit payments will be significantly different from those shown above.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Equity Incentive Schemes and Stock Compensation Charges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4" w:lineRule="exact"/>
        <w:rPr>
          <w:sz w:val="20"/>
          <w:szCs w:val="20"/>
          <w:color w:val="auto"/>
        </w:rPr>
      </w:pPr>
    </w:p>
    <w:p>
      <w:pPr>
        <w:jc w:val="both"/>
        <w:ind w:firstLine="234"/>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03" w:lineRule="exact"/>
        <w:rPr>
          <w:sz w:val="20"/>
          <w:szCs w:val="20"/>
          <w:color w:val="auto"/>
        </w:rPr>
      </w:pPr>
    </w:p>
    <w:p>
      <w:pPr>
        <w:jc w:val="both"/>
        <w:ind w:firstLine="222"/>
        <w:spacing w:after="0" w:line="253"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8" w:name="page129"/>
    <w:bookmarkEnd w:id="128"/>
    <w:p>
      <w:pPr>
        <w:jc w:val="both"/>
        <w:ind w:firstLine="264"/>
        <w:spacing w:after="0" w:line="250"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367"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6"/>
          <w:szCs w:val="16"/>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2" w:lineRule="exact"/>
        <w:rPr>
          <w:sz w:val="20"/>
          <w:szCs w:val="20"/>
          <w:color w:val="auto"/>
        </w:rPr>
      </w:pPr>
    </w:p>
    <w:p>
      <w:pPr>
        <w:jc w:val="both"/>
        <w:ind w:firstLine="271"/>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208" w:lineRule="exact"/>
        <w:rPr>
          <w:sz w:val="20"/>
          <w:szCs w:val="20"/>
          <w:color w:val="auto"/>
        </w:rPr>
      </w:pPr>
    </w:p>
    <w:p>
      <w:pPr>
        <w:jc w:val="both"/>
        <w:ind w:right="20" w:firstLine="207"/>
        <w:spacing w:after="0" w:line="253"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2020, December 31, 2019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shd w:val="clear" w:color="auto" w:fill="CCEEFF"/>
          </w:tcPr>
          <w:p>
            <w:pPr>
              <w:spacing w:after="0"/>
              <w:rPr>
                <w:sz w:val="16"/>
                <w:szCs w:val="16"/>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 Granted</w:t>
            </w:r>
          </w:p>
        </w:tc>
        <w:tc>
          <w:tcPr>
            <w:tcW w:w="3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 Average</w:t>
            </w:r>
          </w:p>
        </w:tc>
        <w:tc>
          <w:tcPr>
            <w:tcW w:w="3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 Average</w:t>
            </w:r>
          </w:p>
        </w:tc>
      </w:tr>
      <w:tr>
        <w:trPr>
          <w:trHeight w:val="162"/>
        </w:trPr>
        <w:tc>
          <w:tcPr>
            <w:tcW w:w="4760" w:type="dxa"/>
            <w:vAlign w:val="bottom"/>
            <w:shd w:val="clear" w:color="auto" w:fill="CCEEFF"/>
          </w:tcPr>
          <w:p>
            <w:pPr>
              <w:spacing w:after="0"/>
              <w:rPr>
                <w:sz w:val="14"/>
                <w:szCs w:val="14"/>
                <w:color w:val="auto"/>
              </w:rPr>
            </w:pPr>
          </w:p>
        </w:tc>
        <w:tc>
          <w:tcPr>
            <w:tcW w:w="26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Under Plans</w:t>
            </w:r>
          </w:p>
        </w:tc>
        <w:tc>
          <w:tcPr>
            <w:tcW w:w="3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Exercise Price</w:t>
            </w:r>
          </w:p>
        </w:tc>
        <w:tc>
          <w:tcPr>
            <w:tcW w:w="3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Grant Date Fair</w:t>
            </w:r>
          </w:p>
        </w:tc>
      </w:tr>
      <w:tr>
        <w:trPr>
          <w:trHeight w:val="223"/>
        </w:trPr>
        <w:tc>
          <w:tcPr>
            <w:tcW w:w="476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Value</w:t>
            </w:r>
          </w:p>
        </w:tc>
      </w:tr>
      <w:tr>
        <w:trPr>
          <w:trHeight w:val="223"/>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2017</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1,171,393</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r>
      <w:tr>
        <w:trPr>
          <w:trHeight w:val="216"/>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167,557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2600" w:type="dxa"/>
            <w:vAlign w:val="bottom"/>
          </w:tcPr>
          <w:p>
            <w:pPr>
              <w:jc w:val="right"/>
              <w:spacing w:after="0"/>
              <w:rPr>
                <w:sz w:val="20"/>
                <w:szCs w:val="20"/>
                <w:color w:val="auto"/>
              </w:rPr>
            </w:pPr>
            <w:r>
              <w:rPr>
                <w:rFonts w:ascii="Arial" w:cs="Arial" w:eastAsia="Arial" w:hAnsi="Arial"/>
                <w:sz w:val="16"/>
                <w:szCs w:val="16"/>
                <w:color w:val="auto"/>
              </w:rPr>
              <w:t>(408,699)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41.12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13.55</w:t>
            </w:r>
          </w:p>
        </w:tc>
      </w:tr>
      <w:tr>
        <w:trPr>
          <w:trHeight w:val="226"/>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Canceled</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(9,505)</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23"/>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2018</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920,746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22.39</w:t>
            </w:r>
          </w:p>
        </w:tc>
      </w:tr>
      <w:tr>
        <w:trPr>
          <w:trHeight w:val="216"/>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97,112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43.43</w:t>
            </w: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2600" w:type="dxa"/>
            <w:vAlign w:val="bottom"/>
          </w:tcPr>
          <w:p>
            <w:pPr>
              <w:jc w:val="right"/>
              <w:spacing w:after="0"/>
              <w:rPr>
                <w:sz w:val="20"/>
                <w:szCs w:val="20"/>
                <w:color w:val="auto"/>
              </w:rPr>
            </w:pPr>
            <w:r>
              <w:rPr>
                <w:rFonts w:ascii="Arial" w:cs="Arial" w:eastAsia="Arial" w:hAnsi="Arial"/>
                <w:sz w:val="16"/>
                <w:szCs w:val="16"/>
                <w:color w:val="auto"/>
              </w:rPr>
              <w:t>(329,870)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65.54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19.78</w:t>
            </w:r>
          </w:p>
        </w:tc>
      </w:tr>
      <w:tr>
        <w:trPr>
          <w:trHeight w:val="226"/>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Canceled/expired</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26.77</w:t>
            </w:r>
          </w:p>
        </w:tc>
      </w:tr>
      <w:tr>
        <w:trPr>
          <w:trHeight w:val="223"/>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2019</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656,107</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w:t>
            </w:r>
          </w:p>
        </w:tc>
      </w:tr>
      <w:tr>
        <w:trPr>
          <w:trHeight w:val="216"/>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107,737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2600" w:type="dxa"/>
            <w:vAlign w:val="bottom"/>
          </w:tcPr>
          <w:p>
            <w:pPr>
              <w:jc w:val="right"/>
              <w:spacing w:after="0"/>
              <w:rPr>
                <w:sz w:val="20"/>
                <w:szCs w:val="20"/>
                <w:color w:val="auto"/>
              </w:rPr>
            </w:pPr>
            <w:r>
              <w:rPr>
                <w:rFonts w:ascii="Arial" w:cs="Arial" w:eastAsia="Arial" w:hAnsi="Arial"/>
                <w:sz w:val="16"/>
                <w:szCs w:val="16"/>
                <w:color w:val="auto"/>
              </w:rPr>
              <w:t>(193,417)</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68.19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20.91</w:t>
            </w:r>
          </w:p>
        </w:tc>
      </w:tr>
      <w:tr>
        <w:trPr>
          <w:trHeight w:val="226"/>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Canceled/expired</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92.21</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r>
      <w:tr>
        <w:trPr>
          <w:trHeight w:val="223"/>
        </w:trPr>
        <w:tc>
          <w:tcPr>
            <w:tcW w:w="4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Outstanding at December 31, 2020</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553,746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31.63</w:t>
            </w:r>
          </w:p>
        </w:tc>
      </w:tr>
      <w:tr>
        <w:trPr>
          <w:trHeight w:val="223"/>
        </w:trPr>
        <w:tc>
          <w:tcPr>
            <w:tcW w:w="4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Vested and exercisable at December 31, 2020</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224,845</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83.13</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r>
    </w:tbl>
    <w:p>
      <w:pPr>
        <w:spacing w:after="0" w:line="326" w:lineRule="exact"/>
        <w:rPr>
          <w:sz w:val="20"/>
          <w:szCs w:val="20"/>
          <w:color w:val="auto"/>
        </w:rPr>
      </w:pPr>
    </w:p>
    <w:p>
      <w:pPr>
        <w:jc w:val="both"/>
        <w:ind w:firstLine="222"/>
        <w:spacing w:after="0" w:line="253" w:lineRule="auto"/>
        <w:rPr>
          <w:sz w:val="20"/>
          <w:szCs w:val="20"/>
          <w:color w:val="auto"/>
        </w:rPr>
      </w:pPr>
      <w:r>
        <w:rPr>
          <w:rFonts w:ascii="Arial" w:cs="Arial" w:eastAsia="Arial" w:hAnsi="Arial"/>
          <w:sz w:val="16"/>
          <w:szCs w:val="16"/>
          <w:color w:val="auto"/>
        </w:rPr>
        <w:t>The weighted average remaining contractual life of options outstanding and options exercisable at December 31, 2020, was 4.86 years and 3.60 years respectively (2019: 4.76 years and 3.64 years respectively). 157,797 options are expected to vest during the year ended December 31, 2021 (186,479 options were expected to vest during the year ended December 31, 2020).</w:t>
      </w:r>
    </w:p>
    <w:p>
      <w:pPr>
        <w:spacing w:after="0" w:line="228" w:lineRule="exact"/>
        <w:rPr>
          <w:sz w:val="20"/>
          <w:szCs w:val="20"/>
          <w:color w:val="auto"/>
        </w:rPr>
      </w:pPr>
    </w:p>
    <w:p>
      <w:pPr>
        <w:jc w:val="both"/>
        <w:ind w:firstLine="214"/>
        <w:spacing w:after="0" w:line="253" w:lineRule="auto"/>
        <w:rPr>
          <w:sz w:val="20"/>
          <w:szCs w:val="20"/>
          <w:color w:val="auto"/>
        </w:rPr>
      </w:pPr>
      <w:r>
        <w:rPr>
          <w:rFonts w:ascii="Arial" w:cs="Arial" w:eastAsia="Arial" w:hAnsi="Arial"/>
          <w:sz w:val="16"/>
          <w:szCs w:val="16"/>
          <w:color w:val="auto"/>
        </w:rPr>
        <w:t>The intrinsic value of options exercised during the year ended December 31, 2020 amounted to $21.3 million. The intrinsic value of options outstanding and options exercisable at December 31, 2020 amounted to $47.9 million and $25.1 million respectively. Intrinsic value is calculated based on the market value versus strike price of the Company's shares at the date of exercise and at the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29" w:name="page130"/>
    <w:bookmarkEnd w:id="129"/>
    <w:p>
      <w:pPr>
        <w:ind w:left="180"/>
        <w:spacing w:after="0"/>
        <w:rPr>
          <w:sz w:val="20"/>
          <w:szCs w:val="20"/>
          <w:color w:val="auto"/>
        </w:rPr>
      </w:pPr>
      <w:r>
        <w:rPr>
          <w:rFonts w:ascii="Arial" w:cs="Arial" w:eastAsia="Arial" w:hAnsi="Arial"/>
          <w:sz w:val="16"/>
          <w:szCs w:val="16"/>
          <w:color w:val="auto"/>
        </w:rPr>
        <w:t>Non-vested shares outstanding as at December 31, 2020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shd w:val="clear" w:color="auto" w:fill="CCEEFF"/>
          </w:tcPr>
          <w:p>
            <w:pPr>
              <w:spacing w:after="0"/>
              <w:rPr>
                <w:sz w:val="16"/>
                <w:szCs w:val="16"/>
                <w:color w:val="auto"/>
              </w:rPr>
            </w:pPr>
          </w:p>
        </w:tc>
        <w:tc>
          <w:tcPr>
            <w:tcW w:w="3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1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Weighted Average</w:t>
            </w:r>
          </w:p>
        </w:tc>
        <w:tc>
          <w:tcPr>
            <w:tcW w:w="1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8"/>
              </w:rPr>
              <w:t>Weighted Average</w:t>
            </w: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spacing w:after="0"/>
              <w:rPr>
                <w:sz w:val="14"/>
                <w:szCs w:val="14"/>
                <w:color w:val="auto"/>
              </w:rPr>
            </w:pPr>
          </w:p>
        </w:tc>
        <w:tc>
          <w:tcPr>
            <w:tcW w:w="3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shd w:val="clear" w:color="auto" w:fill="CCEEFF"/>
          </w:tcPr>
          <w:p>
            <w:pPr>
              <w:spacing w:after="0"/>
              <w:rPr>
                <w:sz w:val="19"/>
                <w:szCs w:val="19"/>
                <w:color w:val="auto"/>
              </w:rPr>
            </w:pPr>
          </w:p>
        </w:tc>
        <w:tc>
          <w:tcPr>
            <w:tcW w:w="3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December 31, 2019</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358,030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6"/>
                <w:szCs w:val="16"/>
                <w:color w:val="auto"/>
              </w:rPr>
              <w:t>Granted</w:t>
            </w:r>
          </w:p>
        </w:tc>
        <w:tc>
          <w:tcPr>
            <w:tcW w:w="3080" w:type="dxa"/>
            <w:vAlign w:val="bottom"/>
          </w:tcPr>
          <w:p>
            <w:pPr>
              <w:jc w:val="right"/>
              <w:spacing w:after="0"/>
              <w:rPr>
                <w:sz w:val="20"/>
                <w:szCs w:val="20"/>
                <w:color w:val="auto"/>
              </w:rPr>
            </w:pPr>
            <w:r>
              <w:rPr>
                <w:rFonts w:ascii="Arial" w:cs="Arial" w:eastAsia="Arial" w:hAnsi="Arial"/>
                <w:sz w:val="16"/>
                <w:szCs w:val="16"/>
                <w:color w:val="auto"/>
              </w:rPr>
              <w:t>107,737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159.83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3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(124,605)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(12,261)</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117.41</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34.50</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Non-vested outstanding at December 31, 2020</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328,901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w:t>
            </w:r>
          </w:p>
        </w:tc>
        <w:tc>
          <w:tcPr>
            <w:tcW w:w="0" w:type="dxa"/>
            <w:vAlign w:val="bottom"/>
          </w:tcPr>
          <w:p>
            <w:pPr>
              <w:spacing w:after="0"/>
              <w:rPr>
                <w:sz w:val="1"/>
                <w:szCs w:val="1"/>
                <w:color w:val="auto"/>
              </w:rPr>
            </w:pPr>
          </w:p>
        </w:tc>
      </w:tr>
      <w:tr>
        <w:trPr>
          <w:trHeight w:val="23"/>
        </w:trPr>
        <w:tc>
          <w:tcPr>
            <w:tcW w:w="50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and exercisable share options:</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information concerning outstanding and exercisable share options as of December 31, 2020:</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gridSpan w:val="2"/>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Options Outstanding</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tcBorders>
              <w:bottom w:val="single" w:sz="8" w:color="auto"/>
            </w:tcBorders>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Options Exercisable</w:t>
            </w:r>
          </w:p>
        </w:tc>
      </w:tr>
      <w:tr>
        <w:trPr>
          <w:trHeight w:val="155"/>
        </w:trPr>
        <w:tc>
          <w:tcPr>
            <w:tcW w:w="380" w:type="dxa"/>
            <w:vAlign w:val="bottom"/>
          </w:tcPr>
          <w:p>
            <w:pPr>
              <w:spacing w:after="0"/>
              <w:rPr>
                <w:sz w:val="13"/>
                <w:szCs w:val="13"/>
                <w:color w:val="auto"/>
              </w:rPr>
            </w:pPr>
          </w:p>
        </w:tc>
        <w:tc>
          <w:tcPr>
            <w:tcW w:w="1980" w:type="dxa"/>
            <w:vAlign w:val="bottom"/>
          </w:tcPr>
          <w:p>
            <w:pPr>
              <w:jc w:val="right"/>
              <w:ind w:right="439"/>
              <w:spacing w:after="0" w:line="155" w:lineRule="exact"/>
              <w:rPr>
                <w:sz w:val="20"/>
                <w:szCs w:val="20"/>
                <w:color w:val="auto"/>
              </w:rPr>
            </w:pPr>
            <w:r>
              <w:rPr>
                <w:rFonts w:ascii="Arial" w:cs="Arial" w:eastAsia="Arial" w:hAnsi="Arial"/>
                <w:sz w:val="16"/>
                <w:szCs w:val="16"/>
                <w:b w:val="1"/>
                <w:bCs w:val="1"/>
                <w:color w:val="auto"/>
              </w:rPr>
              <w:t>Range Exercise</w:t>
            </w:r>
          </w:p>
        </w:tc>
        <w:tc>
          <w:tcPr>
            <w:tcW w:w="1620" w:type="dxa"/>
            <w:vAlign w:val="bottom"/>
          </w:tcPr>
          <w:p>
            <w:pPr>
              <w:jc w:val="right"/>
              <w:ind w:right="219"/>
              <w:spacing w:after="0" w:line="155" w:lineRule="exact"/>
              <w:rPr>
                <w:sz w:val="20"/>
                <w:szCs w:val="20"/>
                <w:color w:val="auto"/>
              </w:rPr>
            </w:pPr>
            <w:r>
              <w:rPr>
                <w:rFonts w:ascii="Arial" w:cs="Arial" w:eastAsia="Arial" w:hAnsi="Arial"/>
                <w:sz w:val="16"/>
                <w:szCs w:val="16"/>
                <w:b w:val="1"/>
                <w:bCs w:val="1"/>
                <w:color w:val="auto"/>
              </w:rPr>
              <w:t>Number of</w:t>
            </w:r>
          </w:p>
        </w:tc>
        <w:tc>
          <w:tcPr>
            <w:tcW w:w="15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w:t>
            </w:r>
          </w:p>
        </w:tc>
        <w:tc>
          <w:tcPr>
            <w:tcW w:w="280" w:type="dxa"/>
            <w:vAlign w:val="bottom"/>
          </w:tcPr>
          <w:p>
            <w:pPr>
              <w:spacing w:after="0"/>
              <w:rPr>
                <w:sz w:val="13"/>
                <w:szCs w:val="13"/>
                <w:color w:val="auto"/>
              </w:rPr>
            </w:pPr>
          </w:p>
        </w:tc>
        <w:tc>
          <w:tcPr>
            <w:tcW w:w="15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 Average</w:t>
            </w:r>
          </w:p>
        </w:tc>
        <w:tc>
          <w:tcPr>
            <w:tcW w:w="200" w:type="dxa"/>
            <w:vAlign w:val="bottom"/>
          </w:tcPr>
          <w:p>
            <w:pPr>
              <w:spacing w:after="0"/>
              <w:rPr>
                <w:sz w:val="13"/>
                <w:szCs w:val="13"/>
                <w:color w:val="auto"/>
              </w:rPr>
            </w:pPr>
          </w:p>
        </w:tc>
        <w:tc>
          <w:tcPr>
            <w:tcW w:w="18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 Average</w:t>
            </w:r>
          </w:p>
        </w:tc>
      </w:tr>
      <w:tr>
        <w:trPr>
          <w:trHeight w:val="162"/>
        </w:trPr>
        <w:tc>
          <w:tcPr>
            <w:tcW w:w="380" w:type="dxa"/>
            <w:vAlign w:val="bottom"/>
          </w:tcPr>
          <w:p>
            <w:pPr>
              <w:spacing w:after="0"/>
              <w:rPr>
                <w:sz w:val="14"/>
                <w:szCs w:val="14"/>
                <w:color w:val="auto"/>
              </w:rPr>
            </w:pPr>
          </w:p>
        </w:tc>
        <w:tc>
          <w:tcPr>
            <w:tcW w:w="1980" w:type="dxa"/>
            <w:vAlign w:val="bottom"/>
          </w:tcPr>
          <w:p>
            <w:pPr>
              <w:jc w:val="right"/>
              <w:ind w:right="439"/>
              <w:spacing w:after="0" w:line="162" w:lineRule="exact"/>
              <w:rPr>
                <w:sz w:val="20"/>
                <w:szCs w:val="20"/>
                <w:color w:val="auto"/>
              </w:rPr>
            </w:pPr>
            <w:r>
              <w:rPr>
                <w:rFonts w:ascii="Arial" w:cs="Arial" w:eastAsia="Arial" w:hAnsi="Arial"/>
                <w:sz w:val="16"/>
                <w:szCs w:val="16"/>
                <w:b w:val="1"/>
                <w:bCs w:val="1"/>
                <w:color w:val="auto"/>
              </w:rPr>
              <w:t>Price</w:t>
            </w:r>
          </w:p>
        </w:tc>
        <w:tc>
          <w:tcPr>
            <w:tcW w:w="1620" w:type="dxa"/>
            <w:vAlign w:val="bottom"/>
          </w:tcPr>
          <w:p>
            <w:pPr>
              <w:jc w:val="right"/>
              <w:ind w:right="219"/>
              <w:spacing w:after="0" w:line="162" w:lineRule="exact"/>
              <w:rPr>
                <w:sz w:val="20"/>
                <w:szCs w:val="20"/>
                <w:color w:val="auto"/>
              </w:rPr>
            </w:pPr>
            <w:r>
              <w:rPr>
                <w:rFonts w:ascii="Arial" w:cs="Arial" w:eastAsia="Arial" w:hAnsi="Arial"/>
                <w:sz w:val="16"/>
                <w:szCs w:val="16"/>
                <w:b w:val="1"/>
                <w:bCs w:val="1"/>
                <w:color w:val="auto"/>
              </w:rPr>
              <w:t>Shares</w:t>
            </w: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4"/>
                <w:szCs w:val="14"/>
                <w:color w:val="auto"/>
              </w:rPr>
            </w:pPr>
          </w:p>
        </w:tc>
        <w:tc>
          <w:tcPr>
            <w:tcW w:w="1780" w:type="dxa"/>
            <w:vAlign w:val="bottom"/>
            <w:gridSpan w:val="2"/>
          </w:tcPr>
          <w:p>
            <w:pPr>
              <w:jc w:val="right"/>
              <w:ind w:right="220"/>
              <w:spacing w:after="0" w:line="162" w:lineRule="exact"/>
              <w:rPr>
                <w:sz w:val="20"/>
                <w:szCs w:val="20"/>
                <w:color w:val="auto"/>
              </w:rPr>
            </w:pPr>
            <w:r>
              <w:rPr>
                <w:rFonts w:ascii="Arial" w:cs="Arial" w:eastAsia="Arial" w:hAnsi="Arial"/>
                <w:sz w:val="16"/>
                <w:szCs w:val="16"/>
                <w:b w:val="1"/>
                <w:bCs w:val="1"/>
                <w:color w:val="auto"/>
              </w:rPr>
              <w:t>Exercise Price</w:t>
            </w:r>
          </w:p>
        </w:tc>
        <w:tc>
          <w:tcPr>
            <w:tcW w:w="18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4"/>
                <w:szCs w:val="14"/>
                <w:color w:val="auto"/>
              </w:rPr>
            </w:pPr>
          </w:p>
        </w:tc>
        <w:tc>
          <w:tcPr>
            <w:tcW w:w="15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Exercise Price</w:t>
            </w:r>
          </w:p>
        </w:tc>
      </w:tr>
      <w:tr>
        <w:trPr>
          <w:trHeight w:val="162"/>
        </w:trPr>
        <w:tc>
          <w:tcPr>
            <w:tcW w:w="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5"/>
        </w:trPr>
        <w:tc>
          <w:tcPr>
            <w:tcW w:w="3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Contractual Life</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10"/>
        </w:trPr>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32.37</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2,500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99"/>
              <w:spacing w:after="0"/>
              <w:rPr>
                <w:sz w:val="20"/>
                <w:szCs w:val="20"/>
                <w:color w:val="auto"/>
              </w:rPr>
            </w:pPr>
            <w:r>
              <w:rPr>
                <w:rFonts w:ascii="Arial" w:cs="Arial" w:eastAsia="Arial" w:hAnsi="Arial"/>
                <w:sz w:val="16"/>
                <w:szCs w:val="16"/>
                <w:color w:val="auto"/>
              </w:rPr>
              <w:t>37.90</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920</w:t>
            </w:r>
          </w:p>
        </w:tc>
        <w:tc>
          <w:tcPr>
            <w:tcW w:w="1560" w:type="dxa"/>
            <w:vAlign w:val="bottom"/>
          </w:tcPr>
          <w:p>
            <w:pPr>
              <w:jc w:val="right"/>
              <w:spacing w:after="0"/>
              <w:rPr>
                <w:sz w:val="20"/>
                <w:szCs w:val="20"/>
                <w:color w:val="auto"/>
              </w:rPr>
            </w:pPr>
            <w:r>
              <w:rPr>
                <w:rFonts w:ascii="Arial" w:cs="Arial" w:eastAsia="Arial" w:hAnsi="Arial"/>
                <w:sz w:val="16"/>
                <w:szCs w:val="16"/>
                <w:color w:val="auto"/>
              </w:rPr>
              <w:t>0.92</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920</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40.83</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21,360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21,360</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99"/>
              <w:spacing w:after="0"/>
              <w:rPr>
                <w:sz w:val="20"/>
                <w:szCs w:val="20"/>
                <w:color w:val="auto"/>
              </w:rPr>
            </w:pPr>
            <w:r>
              <w:rPr>
                <w:rFonts w:ascii="Arial" w:cs="Arial" w:eastAsia="Arial" w:hAnsi="Arial"/>
                <w:sz w:val="16"/>
                <w:szCs w:val="16"/>
                <w:color w:val="auto"/>
              </w:rPr>
              <w:t>47.03</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479</w:t>
            </w:r>
          </w:p>
        </w:tc>
        <w:tc>
          <w:tcPr>
            <w:tcW w:w="1560" w:type="dxa"/>
            <w:vAlign w:val="bottom"/>
          </w:tcPr>
          <w:p>
            <w:pPr>
              <w:jc w:val="right"/>
              <w:spacing w:after="0"/>
              <w:rPr>
                <w:sz w:val="20"/>
                <w:szCs w:val="20"/>
                <w:color w:val="auto"/>
              </w:rPr>
            </w:pPr>
            <w:r>
              <w:rPr>
                <w:rFonts w:ascii="Arial" w:cs="Arial" w:eastAsia="Arial" w:hAnsi="Arial"/>
                <w:sz w:val="16"/>
                <w:szCs w:val="16"/>
                <w:color w:val="auto"/>
              </w:rPr>
              <w:t>1.16</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479</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48.67</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1,027</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99"/>
              <w:spacing w:after="0"/>
              <w:rPr>
                <w:sz w:val="20"/>
                <w:szCs w:val="20"/>
                <w:color w:val="auto"/>
              </w:rPr>
            </w:pPr>
            <w:r>
              <w:rPr>
                <w:rFonts w:ascii="Arial" w:cs="Arial" w:eastAsia="Arial" w:hAnsi="Arial"/>
                <w:sz w:val="16"/>
                <w:szCs w:val="16"/>
                <w:color w:val="auto"/>
              </w:rPr>
              <w:t>65.60</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29,381</w:t>
            </w:r>
          </w:p>
        </w:tc>
        <w:tc>
          <w:tcPr>
            <w:tcW w:w="1560" w:type="dxa"/>
            <w:vAlign w:val="bottom"/>
          </w:tcPr>
          <w:p>
            <w:pPr>
              <w:jc w:val="right"/>
              <w:spacing w:after="0"/>
              <w:rPr>
                <w:sz w:val="20"/>
                <w:szCs w:val="20"/>
                <w:color w:val="auto"/>
              </w:rPr>
            </w:pPr>
            <w:r>
              <w:rPr>
                <w:rFonts w:ascii="Arial" w:cs="Arial" w:eastAsia="Arial" w:hAnsi="Arial"/>
                <w:sz w:val="16"/>
                <w:szCs w:val="16"/>
                <w:color w:val="auto"/>
              </w:rPr>
              <w:t>3.38</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19,528</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66.47</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2,621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99"/>
              <w:spacing w:after="0"/>
              <w:rPr>
                <w:sz w:val="20"/>
                <w:szCs w:val="20"/>
                <w:color w:val="auto"/>
              </w:rPr>
            </w:pPr>
            <w:r>
              <w:rPr>
                <w:rFonts w:ascii="Arial" w:cs="Arial" w:eastAsia="Arial" w:hAnsi="Arial"/>
                <w:sz w:val="16"/>
                <w:szCs w:val="16"/>
                <w:color w:val="auto"/>
              </w:rPr>
              <w:t>68.39</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24,508</w:t>
            </w:r>
          </w:p>
        </w:tc>
        <w:tc>
          <w:tcPr>
            <w:tcW w:w="1560" w:type="dxa"/>
            <w:vAlign w:val="bottom"/>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24,508</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71.95</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73,193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59,284</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99"/>
              <w:spacing w:after="0"/>
              <w:rPr>
                <w:sz w:val="20"/>
                <w:szCs w:val="20"/>
                <w:color w:val="auto"/>
              </w:rPr>
            </w:pPr>
            <w:r>
              <w:rPr>
                <w:rFonts w:ascii="Arial" w:cs="Arial" w:eastAsia="Arial" w:hAnsi="Arial"/>
                <w:sz w:val="16"/>
                <w:szCs w:val="16"/>
                <w:color w:val="auto"/>
              </w:rPr>
              <w:t>83.47</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58,159</w:t>
            </w:r>
          </w:p>
        </w:tc>
        <w:tc>
          <w:tcPr>
            <w:tcW w:w="1560" w:type="dxa"/>
            <w:vAlign w:val="bottom"/>
          </w:tcPr>
          <w:p>
            <w:pPr>
              <w:jc w:val="right"/>
              <w:spacing w:after="0"/>
              <w:rPr>
                <w:sz w:val="20"/>
                <w:szCs w:val="20"/>
                <w:color w:val="auto"/>
              </w:rPr>
            </w:pPr>
            <w:r>
              <w:rPr>
                <w:rFonts w:ascii="Arial" w:cs="Arial" w:eastAsia="Arial" w:hAnsi="Arial"/>
                <w:sz w:val="16"/>
                <w:szCs w:val="16"/>
                <w:color w:val="auto"/>
              </w:rPr>
              <w:t>4.17</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10,671</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90.03</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45,154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27,698</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99"/>
              <w:spacing w:after="0"/>
              <w:rPr>
                <w:sz w:val="20"/>
                <w:szCs w:val="20"/>
                <w:color w:val="auto"/>
              </w:rPr>
            </w:pPr>
            <w:r>
              <w:rPr>
                <w:rFonts w:ascii="Arial" w:cs="Arial" w:eastAsia="Arial" w:hAnsi="Arial"/>
                <w:sz w:val="16"/>
                <w:szCs w:val="16"/>
                <w:color w:val="auto"/>
              </w:rPr>
              <w:t>115.11</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68,016</w:t>
            </w:r>
          </w:p>
        </w:tc>
        <w:tc>
          <w:tcPr>
            <w:tcW w:w="1560" w:type="dxa"/>
            <w:vAlign w:val="bottom"/>
          </w:tcPr>
          <w:p>
            <w:pPr>
              <w:jc w:val="right"/>
              <w:spacing w:after="0"/>
              <w:rPr>
                <w:sz w:val="20"/>
                <w:szCs w:val="20"/>
                <w:color w:val="auto"/>
              </w:rPr>
            </w:pPr>
            <w:r>
              <w:rPr>
                <w:rFonts w:ascii="Arial" w:cs="Arial" w:eastAsia="Arial" w:hAnsi="Arial"/>
                <w:sz w:val="16"/>
                <w:szCs w:val="16"/>
                <w:color w:val="auto"/>
              </w:rPr>
              <w:t>5.17</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8,866</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125.74</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39,664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36,885</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99"/>
              <w:spacing w:after="0"/>
              <w:rPr>
                <w:sz w:val="20"/>
                <w:szCs w:val="20"/>
                <w:color w:val="auto"/>
              </w:rPr>
            </w:pPr>
            <w:r>
              <w:rPr>
                <w:rFonts w:ascii="Arial" w:cs="Arial" w:eastAsia="Arial" w:hAnsi="Arial"/>
                <w:sz w:val="16"/>
                <w:szCs w:val="16"/>
                <w:color w:val="auto"/>
              </w:rPr>
              <w:t>137.47</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6,045</w:t>
            </w:r>
          </w:p>
        </w:tc>
        <w:tc>
          <w:tcPr>
            <w:tcW w:w="1560" w:type="dxa"/>
            <w:vAlign w:val="bottom"/>
          </w:tcPr>
          <w:p>
            <w:pPr>
              <w:jc w:val="right"/>
              <w:spacing w:after="0"/>
              <w:rPr>
                <w:sz w:val="20"/>
                <w:szCs w:val="20"/>
                <w:color w:val="auto"/>
              </w:rPr>
            </w:pPr>
            <w:r>
              <w:rPr>
                <w:rFonts w:ascii="Arial" w:cs="Arial" w:eastAsia="Arial" w:hAnsi="Arial"/>
                <w:sz w:val="16"/>
                <w:szCs w:val="16"/>
                <w:color w:val="auto"/>
              </w:rPr>
              <w:t>6.37</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895</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140.38</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75,061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499"/>
              <w:spacing w:after="0"/>
              <w:rPr>
                <w:sz w:val="20"/>
                <w:szCs w:val="20"/>
                <w:color w:val="auto"/>
              </w:rPr>
            </w:pPr>
            <w:r>
              <w:rPr>
                <w:rFonts w:ascii="Arial" w:cs="Arial" w:eastAsia="Arial" w:hAnsi="Arial"/>
                <w:sz w:val="16"/>
                <w:szCs w:val="16"/>
                <w:color w:val="auto"/>
              </w:rPr>
              <w:t>159.33</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98,128</w:t>
            </w:r>
          </w:p>
        </w:tc>
        <w:tc>
          <w:tcPr>
            <w:tcW w:w="1560" w:type="dxa"/>
            <w:vAlign w:val="bottom"/>
          </w:tcPr>
          <w:p>
            <w:pPr>
              <w:jc w:val="right"/>
              <w:spacing w:after="0"/>
              <w:rPr>
                <w:sz w:val="20"/>
                <w:szCs w:val="20"/>
                <w:color w:val="auto"/>
              </w:rPr>
            </w:pPr>
            <w:r>
              <w:rPr>
                <w:rFonts w:ascii="Arial" w:cs="Arial" w:eastAsia="Arial" w:hAnsi="Arial"/>
                <w:sz w:val="16"/>
                <w:szCs w:val="16"/>
                <w:color w:val="auto"/>
              </w:rPr>
              <w:t>7.17</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166.51</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7,530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50"/>
        </w:trPr>
        <w:tc>
          <w:tcPr>
            <w:tcW w:w="38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223"/>
        </w:trPr>
        <w:tc>
          <w:tcPr>
            <w:tcW w:w="3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$32.37-$166.51</w:t>
            </w:r>
          </w:p>
        </w:tc>
        <w:tc>
          <w:tcPr>
            <w:tcW w:w="16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553,746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4.86</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108.53</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224,845</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83.13</w:t>
            </w:r>
          </w:p>
        </w:tc>
      </w:tr>
    </w:tbl>
    <w:p>
      <w:pPr>
        <w:spacing w:after="0" w:line="285" w:lineRule="exact"/>
        <w:rPr>
          <w:sz w:val="20"/>
          <w:szCs w:val="20"/>
          <w:color w:val="auto"/>
        </w:rPr>
      </w:pPr>
    </w:p>
    <w:p>
      <w:pPr>
        <w:ind w:firstLine="239"/>
        <w:spacing w:after="0" w:line="260" w:lineRule="auto"/>
        <w:rPr>
          <w:sz w:val="20"/>
          <w:szCs w:val="20"/>
          <w:color w:val="auto"/>
        </w:rPr>
      </w:pPr>
      <w:r>
        <w:rPr>
          <w:rFonts w:ascii="Arial" w:cs="Arial" w:eastAsia="Arial" w:hAnsi="Arial"/>
          <w:sz w:val="16"/>
          <w:szCs w:val="16"/>
          <w:color w:val="auto"/>
        </w:rPr>
        <w:t>Options outstanding include both vested and unvested options as at December 31, 2020. Options exercisable represent options which have vested at December 31, 2020. From the date of grant, substantially all options vest over a five year period at 20%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64" w:lineRule="exact"/>
        <w:rPr>
          <w:sz w:val="20"/>
          <w:szCs w:val="20"/>
          <w:color w:val="auto"/>
        </w:rPr>
      </w:pPr>
    </w:p>
    <w:p>
      <w:pPr>
        <w:jc w:val="both"/>
        <w:ind w:firstLine="271"/>
        <w:spacing w:after="0" w:line="260" w:lineRule="auto"/>
        <w:rPr>
          <w:sz w:val="20"/>
          <w:szCs w:val="20"/>
          <w:color w:val="auto"/>
        </w:rPr>
      </w:pPr>
      <w:r>
        <w:rPr>
          <w:rFonts w:ascii="Arial" w:cs="Arial" w:eastAsia="Arial" w:hAnsi="Arial"/>
          <w:sz w:val="16"/>
          <w:szCs w:val="16"/>
          <w:color w:val="auto"/>
        </w:rPr>
        <w:t>The weighted average fair value of options granted during the years ended December 31, 2020, December 31, 2019 and December 31, 2018 was calculated using the Black-Scholes option pricing model. The weighted average fair values and assumptions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9"/>
        </w:trPr>
        <w:tc>
          <w:tcPr>
            <w:tcW w:w="6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207"/>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36.84</w:t>
            </w:r>
          </w:p>
        </w:tc>
      </w:tr>
      <w:tr>
        <w:trPr>
          <w:trHeight w:val="240"/>
        </w:trPr>
        <w:tc>
          <w:tcPr>
            <w:tcW w:w="6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30 %</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30 %</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62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0.57 %</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2.55 %</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2.76 %</w:t>
            </w:r>
          </w:p>
        </w:tc>
      </w:tr>
      <w:tr>
        <w:trPr>
          <w:trHeight w:val="226"/>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Expected life</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years</w:t>
            </w:r>
          </w:p>
        </w:tc>
      </w:tr>
    </w:tbl>
    <w:p>
      <w:pPr>
        <w:spacing w:after="0" w:line="326" w:lineRule="exact"/>
        <w:rPr>
          <w:sz w:val="20"/>
          <w:szCs w:val="20"/>
          <w:color w:val="auto"/>
        </w:rPr>
      </w:pPr>
    </w:p>
    <w:p>
      <w:pPr>
        <w:jc w:val="both"/>
        <w:ind w:firstLine="251"/>
        <w:spacing w:after="0" w:line="25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64" w:lineRule="exact"/>
        <w:rPr>
          <w:sz w:val="20"/>
          <w:szCs w:val="20"/>
          <w:color w:val="auto"/>
        </w:rPr>
      </w:pPr>
    </w:p>
    <w:p>
      <w:pPr>
        <w:jc w:val="both"/>
        <w:ind w:firstLine="190"/>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05" w:lineRule="exact"/>
        <w:rPr>
          <w:sz w:val="20"/>
          <w:szCs w:val="20"/>
          <w:color w:val="auto"/>
        </w:rPr>
      </w:pPr>
    </w:p>
    <w:p>
      <w:pPr>
        <w:jc w:val="both"/>
        <w:ind w:firstLine="201"/>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2019 and 2020 vest over twelve months.</w:t>
      </w:r>
    </w:p>
    <w:p>
      <w:pPr>
        <w:spacing w:after="0" w:line="230" w:lineRule="exact"/>
        <w:rPr>
          <w:sz w:val="20"/>
          <w:szCs w:val="20"/>
          <w:color w:val="auto"/>
        </w:rPr>
      </w:pPr>
    </w:p>
    <w:p>
      <w:pPr>
        <w:jc w:val="both"/>
        <w:ind w:firstLine="208"/>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year ended December 31, 2020: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PSU</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PSU</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RSU</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30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Weighted</w:t>
            </w:r>
          </w:p>
        </w:tc>
        <w:tc>
          <w:tcPr>
            <w:tcW w:w="130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Weighted</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19"/>
              <w:spacing w:after="0" w:line="162" w:lineRule="exact"/>
              <w:rPr>
                <w:sz w:val="20"/>
                <w:szCs w:val="20"/>
                <w:color w:val="auto"/>
              </w:rPr>
            </w:pPr>
            <w:r>
              <w:rPr>
                <w:rFonts w:ascii="Arial" w:cs="Arial" w:eastAsia="Arial" w:hAnsi="Arial"/>
                <w:sz w:val="16"/>
                <w:szCs w:val="16"/>
                <w:b w:val="1"/>
                <w:bCs w:val="1"/>
                <w:color w:val="auto"/>
              </w:rPr>
              <w:t>Weighted</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30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130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Average</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19"/>
              <w:spacing w:after="0" w:line="162" w:lineRule="exact"/>
              <w:rPr>
                <w:sz w:val="20"/>
                <w:szCs w:val="20"/>
                <w:color w:val="auto"/>
              </w:rPr>
            </w:pPr>
            <w:r>
              <w:rPr>
                <w:rFonts w:ascii="Arial" w:cs="Arial" w:eastAsia="Arial" w:hAnsi="Arial"/>
                <w:sz w:val="16"/>
                <w:szCs w:val="16"/>
                <w:b w:val="1"/>
                <w:bCs w:val="1"/>
                <w:color w:val="auto"/>
              </w:rPr>
              <w:t>Average</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r>
      <w:tr>
        <w:trPr>
          <w:trHeight w:val="162"/>
        </w:trPr>
        <w:tc>
          <w:tcPr>
            <w:tcW w:w="30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Shares</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79"/>
              <w:spacing w:after="0" w:line="162" w:lineRule="exact"/>
              <w:rPr>
                <w:sz w:val="20"/>
                <w:szCs w:val="20"/>
                <w:color w:val="auto"/>
              </w:rPr>
            </w:pPr>
            <w:r>
              <w:rPr>
                <w:rFonts w:ascii="Arial" w:cs="Arial" w:eastAsia="Arial" w:hAnsi="Arial"/>
                <w:sz w:val="16"/>
                <w:szCs w:val="16"/>
                <w:b w:val="1"/>
                <w:bCs w:val="1"/>
                <w:color w:val="auto"/>
              </w:rPr>
              <w:t>Grant Date</w:t>
            </w:r>
          </w:p>
        </w:tc>
        <w:tc>
          <w:tcPr>
            <w:tcW w:w="130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Remaining</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of Shares</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19"/>
              <w:spacing w:after="0" w:line="162" w:lineRule="exact"/>
              <w:rPr>
                <w:sz w:val="20"/>
                <w:szCs w:val="20"/>
                <w:color w:val="auto"/>
              </w:rPr>
            </w:pPr>
            <w:r>
              <w:rPr>
                <w:rFonts w:ascii="Arial" w:cs="Arial" w:eastAsia="Arial" w:hAnsi="Arial"/>
                <w:sz w:val="16"/>
                <w:szCs w:val="16"/>
                <w:b w:val="1"/>
                <w:bCs w:val="1"/>
                <w:color w:val="auto"/>
              </w:rPr>
              <w:t>Grant Date Fair</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r>
      <w:tr>
        <w:trPr>
          <w:trHeight w:val="162"/>
        </w:trPr>
        <w:tc>
          <w:tcPr>
            <w:tcW w:w="30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Fair Value</w:t>
            </w:r>
          </w:p>
        </w:tc>
        <w:tc>
          <w:tcPr>
            <w:tcW w:w="1300" w:type="dxa"/>
            <w:vAlign w:val="bottom"/>
            <w:shd w:val="clear" w:color="auto" w:fill="CCEEFF"/>
          </w:tcPr>
          <w:p>
            <w:pPr>
              <w:jc w:val="right"/>
              <w:ind w:right="99"/>
              <w:spacing w:after="0" w:line="162" w:lineRule="exact"/>
              <w:rPr>
                <w:sz w:val="20"/>
                <w:szCs w:val="20"/>
                <w:color w:val="auto"/>
              </w:rPr>
            </w:pPr>
            <w:r>
              <w:rPr>
                <w:rFonts w:ascii="Arial" w:cs="Arial" w:eastAsia="Arial" w:hAnsi="Arial"/>
                <w:sz w:val="16"/>
                <w:szCs w:val="16"/>
                <w:b w:val="1"/>
                <w:bCs w:val="1"/>
                <w:color w:val="auto"/>
              </w:rPr>
              <w:t>Contractual</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19"/>
              <w:spacing w:after="0" w:line="162" w:lineRule="exact"/>
              <w:rPr>
                <w:sz w:val="20"/>
                <w:szCs w:val="20"/>
                <w:color w:val="auto"/>
              </w:rPr>
            </w:pPr>
            <w:r>
              <w:rPr>
                <w:rFonts w:ascii="Arial" w:cs="Arial" w:eastAsia="Arial" w:hAnsi="Arial"/>
                <w:sz w:val="16"/>
                <w:szCs w:val="16"/>
                <w:b w:val="1"/>
                <w:bCs w:val="1"/>
                <w:color w:val="auto"/>
              </w:rPr>
              <w:t>Value</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r>
      <w:tr>
        <w:trPr>
          <w:trHeight w:val="215"/>
        </w:trPr>
        <w:tc>
          <w:tcPr>
            <w:tcW w:w="30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Life</w:t>
            </w:r>
          </w:p>
        </w:tc>
        <w:tc>
          <w:tcPr>
            <w:tcW w:w="1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r>
      <w:tr>
        <w:trPr>
          <w:trHeight w:val="207"/>
        </w:trPr>
        <w:tc>
          <w:tcPr>
            <w:tcW w:w="3080" w:type="dxa"/>
            <w:vAlign w:val="bottom"/>
          </w:tcPr>
          <w:p>
            <w:pPr>
              <w:ind w:left="20"/>
              <w:spacing w:after="0"/>
              <w:rPr>
                <w:sz w:val="20"/>
                <w:szCs w:val="20"/>
                <w:color w:val="auto"/>
              </w:rPr>
            </w:pPr>
            <w:r>
              <w:rPr>
                <w:rFonts w:ascii="Arial" w:cs="Arial" w:eastAsia="Arial" w:hAnsi="Arial"/>
                <w:sz w:val="16"/>
                <w:szCs w:val="16"/>
                <w:color w:val="auto"/>
              </w:rPr>
              <w:t>Outstanding at December 31, 2019</w:t>
            </w:r>
          </w:p>
        </w:tc>
        <w:tc>
          <w:tcPr>
            <w:tcW w:w="1500" w:type="dxa"/>
            <w:vAlign w:val="bottom"/>
          </w:tcPr>
          <w:p>
            <w:pPr>
              <w:jc w:val="right"/>
              <w:spacing w:after="0"/>
              <w:rPr>
                <w:sz w:val="20"/>
                <w:szCs w:val="20"/>
                <w:color w:val="auto"/>
              </w:rPr>
            </w:pPr>
            <w:r>
              <w:rPr>
                <w:rFonts w:ascii="Arial" w:cs="Arial" w:eastAsia="Arial" w:hAnsi="Arial"/>
                <w:sz w:val="16"/>
                <w:szCs w:val="16"/>
                <w:color w:val="auto"/>
              </w:rPr>
              <w:t>175,989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110.79</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1160" w:type="dxa"/>
            <w:vAlign w:val="bottom"/>
          </w:tcPr>
          <w:p>
            <w:pPr>
              <w:jc w:val="right"/>
              <w:spacing w:after="0"/>
              <w:rPr>
                <w:sz w:val="20"/>
                <w:szCs w:val="20"/>
                <w:color w:val="auto"/>
              </w:rPr>
            </w:pPr>
            <w:r>
              <w:rPr>
                <w:rFonts w:ascii="Arial" w:cs="Arial" w:eastAsia="Arial" w:hAnsi="Arial"/>
                <w:sz w:val="16"/>
                <w:szCs w:val="16"/>
                <w:color w:val="auto"/>
              </w:rPr>
              <w:t>389,900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119.07</w:t>
            </w:r>
          </w:p>
        </w:tc>
        <w:tc>
          <w:tcPr>
            <w:tcW w:w="11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59"/>
        </w:trPr>
        <w:tc>
          <w:tcPr>
            <w:tcW w:w="30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57,184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165.30</w:t>
            </w:r>
          </w:p>
        </w:tc>
        <w:tc>
          <w:tcPr>
            <w:tcW w:w="1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137,572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168.03</w:t>
            </w:r>
          </w:p>
        </w:tc>
        <w:tc>
          <w:tcPr>
            <w:tcW w:w="1140" w:type="dxa"/>
            <w:vAlign w:val="bottom"/>
          </w:tcPr>
          <w:p>
            <w:pPr>
              <w:spacing w:after="0"/>
              <w:rPr>
                <w:sz w:val="18"/>
                <w:szCs w:val="18"/>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(63,516)</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83.92</w:t>
            </w:r>
          </w:p>
        </w:tc>
        <w:tc>
          <w:tcPr>
            <w:tcW w:w="1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(144,747)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98.47</w:t>
            </w:r>
          </w:p>
        </w:tc>
        <w:tc>
          <w:tcPr>
            <w:tcW w:w="1140" w:type="dxa"/>
            <w:vAlign w:val="bottom"/>
            <w:shd w:val="clear" w:color="auto" w:fill="CCEEFF"/>
          </w:tcPr>
          <w:p>
            <w:pPr>
              <w:spacing w:after="0"/>
              <w:rPr>
                <w:sz w:val="19"/>
                <w:szCs w:val="19"/>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(10,016)</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134.27</w:t>
            </w:r>
          </w:p>
        </w:tc>
        <w:tc>
          <w:tcPr>
            <w:tcW w:w="1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133.63</w:t>
            </w:r>
          </w:p>
        </w:tc>
        <w:tc>
          <w:tcPr>
            <w:tcW w:w="1140" w:type="dxa"/>
            <w:vAlign w:val="bottom"/>
            <w:tcBorders>
              <w:bottom w:val="single" w:sz="8" w:color="auto"/>
            </w:tcBorders>
          </w:tcPr>
          <w:p>
            <w:pPr>
              <w:spacing w:after="0"/>
              <w:rPr>
                <w:sz w:val="19"/>
                <w:szCs w:val="19"/>
                <w:color w:val="auto"/>
              </w:rPr>
            </w:pPr>
          </w:p>
        </w:tc>
      </w:tr>
      <w:tr>
        <w:trPr>
          <w:trHeight w:val="243"/>
        </w:trPr>
        <w:tc>
          <w:tcPr>
            <w:tcW w:w="30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159,641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137.64</w:t>
            </w: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145.77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4"/>
        </w:trPr>
        <w:tc>
          <w:tcPr>
            <w:tcW w:w="3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8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fair value of RSUs vested for the year ended December 31, 2020 totaled $14.3 million (2019: $16.5 million.The share price range for the year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$83.47 - $156.21 (2019: $65.60 - $147.55).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1" w:name="page132"/>
    <w:bookmarkEnd w:id="131"/>
    <w:p>
      <w:pPr>
        <w:ind w:left="240"/>
        <w:spacing w:after="0"/>
        <w:rPr>
          <w:sz w:val="20"/>
          <w:szCs w:val="20"/>
          <w:color w:val="auto"/>
        </w:rPr>
      </w:pPr>
      <w:r>
        <w:rPr>
          <w:rFonts w:ascii="Arial" w:cs="Arial" w:eastAsia="Arial" w:hAnsi="Arial"/>
          <w:sz w:val="16"/>
          <w:szCs w:val="16"/>
          <w:color w:val="auto"/>
        </w:rPr>
        <w:t>The fair value of PSUs vested for the year ended December 31, 2020 totaled $5.3 million (2019: $8.5 million). The share price range for the year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$83.47 - $90.03 (2019: $65.60 - $71.95).</w:t>
      </w:r>
    </w:p>
    <w:p>
      <w:pPr>
        <w:spacing w:after="0" w:line="248" w:lineRule="exact"/>
        <w:rPr>
          <w:sz w:val="20"/>
          <w:szCs w:val="20"/>
          <w:color w:val="auto"/>
        </w:rPr>
      </w:pPr>
    </w:p>
    <w:p>
      <w:pPr>
        <w:ind w:right="40" w:firstLine="177"/>
        <w:spacing w:after="0" w:line="260" w:lineRule="auto"/>
        <w:rPr>
          <w:sz w:val="20"/>
          <w:szCs w:val="20"/>
          <w:color w:val="auto"/>
        </w:rPr>
      </w:pPr>
      <w:r>
        <w:rPr>
          <w:rFonts w:ascii="Arial" w:cs="Arial" w:eastAsia="Arial" w:hAnsi="Arial"/>
          <w:sz w:val="16"/>
          <w:szCs w:val="16"/>
          <w:color w:val="auto"/>
        </w:rPr>
        <w:t>The PSUs vest based on service and specified EPS targets over the period 2018 – 2020, 2019 – 2021 and 2020 – 2022. Depending on the actual amount of EPS from 2018 to 2022, up to an additional 71,939 PSUs may also be granted.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from operations for the year ended December 31, 2020 is stated after charging $26.3 million in respect of non-cash stock compensation expense.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Non-cash stock compensation expense has been allocated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8,557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14,777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17,408</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17,714</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14,186</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compensation costs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26,819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31,594</w:t>
            </w:r>
          </w:p>
        </w:tc>
      </w:tr>
      <w:tr>
        <w:trPr>
          <w:trHeight w:val="23"/>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jc w:val="both"/>
        <w:ind w:firstLine="242"/>
        <w:spacing w:after="0" w:line="260" w:lineRule="auto"/>
        <w:rPr>
          <w:sz w:val="20"/>
          <w:szCs w:val="20"/>
          <w:color w:val="auto"/>
        </w:rPr>
      </w:pPr>
      <w:r>
        <w:rPr>
          <w:rFonts w:ascii="Arial" w:cs="Arial" w:eastAsia="Arial" w:hAnsi="Arial"/>
          <w:sz w:val="16"/>
          <w:szCs w:val="16"/>
          <w:color w:val="auto"/>
        </w:rPr>
        <w:t>Total non -cash stock compensation expense not yet recognized at December 31, 2020 amounted to $45.9 million. The weighted average period over which this is expected to be recognized is 2.12 years.</w:t>
      </w:r>
    </w:p>
    <w:p>
      <w:pPr>
        <w:spacing w:after="0" w:line="222" w:lineRule="exact"/>
        <w:rPr>
          <w:sz w:val="20"/>
          <w:szCs w:val="20"/>
          <w:color w:val="auto"/>
        </w:rPr>
      </w:pPr>
    </w:p>
    <w:p>
      <w:pPr>
        <w:jc w:val="both"/>
        <w:ind w:firstLine="216"/>
        <w:spacing w:after="0" w:line="249" w:lineRule="auto"/>
        <w:rPr>
          <w:sz w:val="20"/>
          <w:szCs w:val="20"/>
          <w:color w:val="auto"/>
        </w:rPr>
      </w:pPr>
      <w:r>
        <w:rPr>
          <w:rFonts w:ascii="Arial" w:cs="Arial" w:eastAsia="Arial" w:hAnsi="Arial"/>
          <w:sz w:val="16"/>
          <w:szCs w:val="16"/>
          <w:color w:val="auto"/>
        </w:rPr>
        <w:t>The income tax expense for the year ended December 31, 2020 reflects a net income tax benefit of $6.9 million in connection with stock compensation (including excess tax benefits) and the total tax benefit in connection with stock options exercised during 2020 was $2.5 million. The income tax expense for the year ended December 31, 2019 reflects a net income tax benefit of $8.2 million in connection with stock compensation (including excess tax benefits) and the total tax benefit in connection with stock options exercised during 2019 was $1.9 million. The income tax expense for the year ended December 31, 2018 reflects a net income tax benefit of $12.7 million in connection with stock compensation (including excess tax benefits) and the total tax benefit realized in connection with stock options exercised during 2018 was $3.6 million.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Government Grants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64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5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Received</w:t>
            </w:r>
          </w:p>
        </w:tc>
        <w:tc>
          <w:tcPr>
            <w:tcW w:w="2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w:t>
            </w: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color w:val="auto"/>
              </w:rPr>
              <w:t>Less accumulated amortization</w:t>
            </w:r>
          </w:p>
        </w:tc>
        <w:tc>
          <w:tcPr>
            <w:tcW w:w="29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(2,881)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(2,836)</w:t>
            </w:r>
          </w:p>
        </w:tc>
      </w:tr>
      <w:tr>
        <w:trPr>
          <w:trHeight w:val="226"/>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translation adjustment</w:t>
            </w:r>
          </w:p>
        </w:tc>
        <w:tc>
          <w:tcPr>
            <w:tcW w:w="29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color w:val="auto"/>
              </w:rPr>
              <w:t>Total government grants</w:t>
            </w:r>
          </w:p>
        </w:tc>
        <w:tc>
          <w:tcPr>
            <w:tcW w:w="29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858</w:t>
            </w:r>
          </w:p>
        </w:tc>
      </w:tr>
      <w:tr>
        <w:trPr>
          <w:trHeight w:val="226"/>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29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government grants</w:t>
            </w:r>
          </w:p>
        </w:tc>
        <w:tc>
          <w:tcPr>
            <w:tcW w:w="2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r>
      <w:tr>
        <w:trPr>
          <w:trHeight w:val="24"/>
        </w:trPr>
        <w:tc>
          <w:tcPr>
            <w:tcW w:w="56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jc w:val="both"/>
        <w:ind w:firstLine="180"/>
        <w:spacing w:after="0" w:line="250" w:lineRule="auto"/>
        <w:rPr>
          <w:sz w:val="20"/>
          <w:szCs w:val="20"/>
          <w:color w:val="auto"/>
        </w:rPr>
      </w:pPr>
      <w:r>
        <w:rPr>
          <w:rFonts w:ascii="Arial" w:cs="Arial" w:eastAsia="Arial" w:hAnsi="Arial"/>
          <w:sz w:val="16"/>
          <w:szCs w:val="16"/>
          <w:color w:val="auto"/>
        </w:rPr>
        <w:t>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Government grants amortized to the profit and loss account amounted to $45,000 for the year ended December 31, 2020 (December 31, 2019: $44,000). As at December 31, 2020 the Company had $6.0 million (December 31, 2019: $3.1 million) in restricted retained earnings, pursuant to the terms of grant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color w:val="auto"/>
        </w:rPr>
        <w:t>12. Share Capital</w:t>
      </w:r>
    </w:p>
    <w:p>
      <w:pPr>
        <w:spacing w:after="0" w:line="268" w:lineRule="exact"/>
        <w:rPr>
          <w:sz w:val="20"/>
          <w:szCs w:val="20"/>
          <w:color w:val="auto"/>
        </w:rPr>
      </w:pPr>
    </w:p>
    <w:p>
      <w:pPr>
        <w:jc w:val="both"/>
        <w:ind w:firstLine="189"/>
        <w:spacing w:after="0" w:line="250" w:lineRule="auto"/>
        <w:rPr>
          <w:sz w:val="20"/>
          <w:szCs w:val="20"/>
          <w:color w:val="auto"/>
        </w:rPr>
      </w:pPr>
      <w:r>
        <w:rPr>
          <w:rFonts w:ascii="Arial" w:cs="Arial" w:eastAsia="Arial" w:hAnsi="Arial"/>
          <w:sz w:val="16"/>
          <w:szCs w:val="16"/>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30" w:lineRule="exact"/>
        <w:rPr>
          <w:sz w:val="20"/>
          <w:szCs w:val="20"/>
          <w:color w:val="auto"/>
        </w:rPr>
      </w:pPr>
    </w:p>
    <w:p>
      <w:pPr>
        <w:jc w:val="both"/>
        <w:ind w:firstLine="244"/>
        <w:spacing w:after="0" w:line="253" w:lineRule="auto"/>
        <w:rPr>
          <w:sz w:val="20"/>
          <w:szCs w:val="20"/>
          <w:color w:val="auto"/>
        </w:rPr>
      </w:pPr>
      <w:r>
        <w:rPr>
          <w:rFonts w:ascii="Arial" w:cs="Arial" w:eastAsia="Arial" w:hAnsi="Arial"/>
          <w:sz w:val="16"/>
          <w:szCs w:val="16"/>
          <w:color w:val="auto"/>
        </w:rPr>
        <w:t>During the year ended December 31, 2020, 193,417 options were exercised by employees at an average exercise price of $68.19 per share for total proceeds of $13.2 million. During the year ended December 31, 2020, 144,172 ordinary shares were issued in respect of certain RSUs and 63,516 ordinary shares were issued in respect of PSUs previously awarded by the Company.</w:t>
      </w:r>
    </w:p>
    <w:p>
      <w:pPr>
        <w:spacing w:after="0" w:line="228" w:lineRule="exact"/>
        <w:rPr>
          <w:sz w:val="20"/>
          <w:szCs w:val="20"/>
          <w:color w:val="auto"/>
        </w:rPr>
      </w:pPr>
    </w:p>
    <w:p>
      <w:pPr>
        <w:jc w:val="both"/>
        <w:ind w:firstLine="244"/>
        <w:spacing w:after="0" w:line="253" w:lineRule="auto"/>
        <w:rPr>
          <w:sz w:val="20"/>
          <w:szCs w:val="20"/>
          <w:color w:val="auto"/>
        </w:rPr>
      </w:pPr>
      <w:r>
        <w:rPr>
          <w:rFonts w:ascii="Arial" w:cs="Arial" w:eastAsia="Arial" w:hAnsi="Arial"/>
          <w:sz w:val="16"/>
          <w:szCs w:val="16"/>
          <w:color w:val="auto"/>
        </w:rPr>
        <w:t>During the year ended December 31, 2019, 329,870 options were exercised by employees at an average exercise price of $65.54 per share for total proceeds of $21.6 million. During the year ended December 31, 2019, 237,119 ordinary shares were issued in respect of certain RSUs and 118,611 ordinary shares were issued in respect of PSUs previously awarded by the Company.</w:t>
      </w:r>
    </w:p>
    <w:p>
      <w:pPr>
        <w:spacing w:after="0" w:line="228" w:lineRule="exact"/>
        <w:rPr>
          <w:sz w:val="20"/>
          <w:szCs w:val="20"/>
          <w:color w:val="auto"/>
        </w:rPr>
      </w:pPr>
    </w:p>
    <w:p>
      <w:pPr>
        <w:jc w:val="both"/>
        <w:ind w:firstLine="244"/>
        <w:spacing w:after="0" w:line="253" w:lineRule="auto"/>
        <w:rPr>
          <w:sz w:val="20"/>
          <w:szCs w:val="20"/>
          <w:color w:val="auto"/>
        </w:rPr>
      </w:pPr>
      <w:r>
        <w:rPr>
          <w:rFonts w:ascii="Arial" w:cs="Arial" w:eastAsia="Arial" w:hAnsi="Arial"/>
          <w:sz w:val="16"/>
          <w:szCs w:val="16"/>
          <w:color w:val="auto"/>
        </w:rPr>
        <w:t>During the year ended December 31, 2018, 408,699 options were exercised by employees at an average exercise price of $41.12 per share for total proceeds of $16.8 million. During the year ended December 31, 2018, 273,742 ordinary shares were issued in respect of certain RSUs and 215,826 ordinary shares were issued in respect of PSUs previously awarded by the Company.</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  Share Repurchase Program</w:t>
      </w:r>
    </w:p>
    <w:p>
      <w:pPr>
        <w:spacing w:after="0" w:line="264" w:lineRule="exact"/>
        <w:rPr>
          <w:sz w:val="20"/>
          <w:szCs w:val="20"/>
          <w:color w:val="auto"/>
        </w:rPr>
      </w:pPr>
    </w:p>
    <w:p>
      <w:pPr>
        <w:jc w:val="both"/>
        <w:ind w:firstLine="224"/>
        <w:spacing w:after="0" w:line="250" w:lineRule="auto"/>
        <w:rPr>
          <w:sz w:val="20"/>
          <w:szCs w:val="20"/>
          <w:color w:val="auto"/>
        </w:rPr>
      </w:pPr>
      <w:r>
        <w:rPr>
          <w:rFonts w:ascii="Arial" w:cs="Arial" w:eastAsia="Arial" w:hAnsi="Arial"/>
          <w:sz w:val="16"/>
          <w:szCs w:val="16"/>
          <w:color w:val="auto"/>
        </w:rPr>
        <w:t>On July 31, 2015 the Company commenced a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The share buyback program was completed in December 31, 2015, with a total of 6,198,481 ordinary shares redeemed during the year ended December 31, 2015 for total consideration of $457.9 million (including the program for $400 million).</w:t>
      </w:r>
    </w:p>
    <w:p>
      <w:pPr>
        <w:spacing w:after="0" w:line="230" w:lineRule="exact"/>
        <w:rPr>
          <w:sz w:val="20"/>
          <w:szCs w:val="20"/>
          <w:color w:val="auto"/>
        </w:rPr>
      </w:pPr>
    </w:p>
    <w:p>
      <w:pPr>
        <w:jc w:val="both"/>
        <w:ind w:firstLine="173"/>
        <w:spacing w:after="0" w:line="248" w:lineRule="auto"/>
        <w:rPr>
          <w:sz w:val="20"/>
          <w:szCs w:val="20"/>
          <w:color w:val="auto"/>
        </w:rPr>
      </w:pPr>
      <w:r>
        <w:rPr>
          <w:rFonts w:ascii="Arial" w:cs="Arial" w:eastAsia="Arial" w:hAnsi="Arial"/>
          <w:sz w:val="16"/>
          <w:szCs w:val="16"/>
          <w:color w:val="auto"/>
        </w:rPr>
        <w:t>A resolution was passed at the Company’s Annual General Meeting (“AGM”) on July 22, 2016, which authorized the Directors to purchase (buyback) up to 10% of the outstanding shares in the Company. This authorization was renewed at the Company's AGM on each of July 25, 2017, July 24, 2018, July 23, 2019 and 21 July 2020. On October 3, 2016, the Company commenced a share buyback program of up to $400 million. The share buyback program was completed during the year ended December 31, 2018 with a total of 4,026,576 ordinary shares redeemed for a total consideration of $372.1 million. On January 8, 2019, the Company commenced a further share buyback program of up to 1.0 million ordinary shares which was completed during the year ended December 31, 2019. These shares were redeemed by the Company for a total consideration of $141.6 million. On October 22, 2019, the Company commenced a further share buyback program. At December 31, 2019, 35,100 ordinary shares were redeemed by the Company for a total consideration of $5.3 million. During the year ended December 31, 2020 1,235,218 ordinary shares were redeemed by the Company under this buyback program for a total consideration of $175.0 million.</w:t>
      </w:r>
    </w:p>
    <w:p>
      <w:pPr>
        <w:spacing w:after="0" w:line="233" w:lineRule="exact"/>
        <w:rPr>
          <w:sz w:val="20"/>
          <w:szCs w:val="20"/>
          <w:color w:val="auto"/>
        </w:rPr>
      </w:pPr>
    </w:p>
    <w:p>
      <w:pPr>
        <w:jc w:val="both"/>
        <w:ind w:right="20" w:firstLine="196"/>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under Irish Company law.</w:t>
      </w:r>
    </w:p>
    <w:p>
      <w:pPr>
        <w:spacing w:after="0" w:line="222" w:lineRule="exact"/>
        <w:rPr>
          <w:sz w:val="20"/>
          <w:szCs w:val="20"/>
          <w:color w:val="auto"/>
        </w:rPr>
      </w:pPr>
    </w:p>
    <w:p>
      <w:pPr>
        <w:jc w:val="both"/>
        <w:ind w:firstLine="194"/>
        <w:spacing w:after="0" w:line="248" w:lineRule="auto"/>
        <w:rPr>
          <w:sz w:val="20"/>
          <w:szCs w:val="20"/>
          <w:color w:val="auto"/>
        </w:rPr>
      </w:pPr>
      <w:r>
        <w:rPr>
          <w:rFonts w:ascii="Arial" w:cs="Arial" w:eastAsia="Arial" w:hAnsi="Arial"/>
          <w:sz w:val="16"/>
          <w:szCs w:val="16"/>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13. Income Taxes</w:t>
      </w:r>
    </w:p>
    <w:p>
      <w:pPr>
        <w:spacing w:after="0" w:line="268" w:lineRule="exact"/>
        <w:rPr>
          <w:sz w:val="20"/>
          <w:szCs w:val="20"/>
          <w:color w:val="auto"/>
        </w:rPr>
      </w:pPr>
    </w:p>
    <w:p>
      <w:pPr>
        <w:ind w:firstLine="190"/>
        <w:spacing w:after="0" w:line="260" w:lineRule="auto"/>
        <w:rPr>
          <w:sz w:val="20"/>
          <w:szCs w:val="20"/>
          <w:color w:val="auto"/>
        </w:rPr>
      </w:pPr>
      <w:r>
        <w:rPr>
          <w:rFonts w:ascii="Arial" w:cs="Arial" w:eastAsia="Arial" w:hAnsi="Arial"/>
          <w:sz w:val="16"/>
          <w:szCs w:val="16"/>
          <w:color w:val="auto"/>
        </w:rPr>
        <w:t>The Company's United States and Irish based subsidiaries file income tax returns in the United States and Ireland respectively. Other foreign subsidiaries are taxed separately under the laws of their respective countries.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00" w:type="dxa"/>
            <w:vAlign w:val="bottom"/>
          </w:tcPr>
          <w:p>
            <w:pPr>
              <w:ind w:left="180"/>
              <w:spacing w:after="0"/>
              <w:rPr>
                <w:sz w:val="20"/>
                <w:szCs w:val="20"/>
                <w:color w:val="auto"/>
              </w:rPr>
            </w:pPr>
            <w:r>
              <w:rPr>
                <w:rFonts w:ascii="Arial" w:cs="Arial" w:eastAsia="Arial" w:hAnsi="Arial"/>
                <w:sz w:val="16"/>
                <w:szCs w:val="16"/>
                <w:color w:val="auto"/>
              </w:rPr>
              <w:t>The components of income before income tax expense are as follows: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14"/>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280,310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323,726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243,988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27,499</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58,945</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82,190</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93,127</w:t>
            </w:r>
          </w:p>
        </w:tc>
      </w:tr>
      <w:tr>
        <w:trPr>
          <w:trHeight w:val="40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381,205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426,989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364,614</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98"/>
        </w:trPr>
        <w:tc>
          <w:tcPr>
            <w:tcW w:w="6900" w:type="dxa"/>
            <w:vAlign w:val="bottom"/>
          </w:tcPr>
          <w:p>
            <w:pPr>
              <w:ind w:left="180"/>
              <w:spacing w:after="0"/>
              <w:rPr>
                <w:sz w:val="20"/>
                <w:szCs w:val="20"/>
                <w:color w:val="auto"/>
              </w:rPr>
            </w:pPr>
            <w:r>
              <w:rPr>
                <w:rFonts w:ascii="Arial" w:cs="Arial" w:eastAsia="Arial" w:hAnsi="Arial"/>
                <w:sz w:val="16"/>
                <w:szCs w:val="16"/>
                <w:color w:val="auto"/>
              </w:rPr>
              <w:t>The components of income tax expense are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4"/>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tax expense: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28,963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35,955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28,042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14,963</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9,379</w:t>
            </w:r>
          </w:p>
        </w:tc>
      </w:tr>
      <w:tr>
        <w:trPr>
          <w:trHeight w:val="378"/>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tax expense</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46,948</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52,670</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40,306</w:t>
            </w:r>
          </w:p>
        </w:tc>
      </w:tr>
      <w:tr>
        <w:trPr>
          <w:trHeight w:val="256"/>
        </w:trPr>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expense/ (benefit):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2,833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1,054</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385"/>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deferred tax expense/ (benefit)</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2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r>
      <w:tr>
        <w:trPr>
          <w:trHeight w:val="243"/>
        </w:trPr>
        <w:tc>
          <w:tcPr>
            <w:tcW w:w="6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8"/>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allocated to continuing operations</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47,875</w:t>
            </w: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51,133</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41,958</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6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7"/>
        </w:trPr>
        <w:tc>
          <w:tcPr>
            <w:tcW w:w="6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Income tax expense was allocated to the following components of other comprehensive</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Currency impact on long term funding</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Fair value of cash flow hedge</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43"/>
        </w:trPr>
        <w:tc>
          <w:tcPr>
            <w:tcW w:w="6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38"/>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51,158</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41,929</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49"/>
        </w:trPr>
        <w:tc>
          <w:tcPr>
            <w:tcW w:w="6900" w:type="dxa"/>
            <w:vAlign w:val="bottom"/>
          </w:tcPr>
          <w:p>
            <w:pPr>
              <w:ind w:left="5480"/>
              <w:spacing w:after="0"/>
              <w:rPr>
                <w:sz w:val="20"/>
                <w:szCs w:val="20"/>
                <w:color w:val="auto"/>
              </w:rPr>
            </w:pPr>
            <w:r>
              <w:rPr>
                <w:rFonts w:ascii="Arial" w:cs="Arial" w:eastAsia="Arial" w:hAnsi="Arial"/>
                <w:sz w:val="16"/>
                <w:szCs w:val="16"/>
                <w:color w:val="auto"/>
              </w:rPr>
              <w:t>132</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6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4" w:name="page135"/>
    <w:bookmarkEnd w:id="134"/>
    <w:p>
      <w:pPr>
        <w:ind w:firstLine="219"/>
        <w:spacing w:after="0" w:line="260" w:lineRule="auto"/>
        <w:rPr>
          <w:sz w:val="20"/>
          <w:szCs w:val="20"/>
          <w:color w:val="auto"/>
        </w:rPr>
      </w:pPr>
      <w:r>
        <w:rPr>
          <w:rFonts w:ascii="Arial" w:cs="Arial" w:eastAsia="Arial" w:hAnsi="Arial"/>
          <w:sz w:val="16"/>
          <w:szCs w:val="16"/>
          <w:color w:val="auto"/>
        </w:rPr>
        <w:t>Ireland's statutory income tax rate is 12.5%. The Company's consolidated reported income tax expense differed from the amount that would result from applying the Irish statutory rate as set forth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Taxes at Irish statutory rate of 12.5% (2019:12.5%; 2018:12.5%)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47,651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53,374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45,577</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and other income taxed at higher rates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7,356</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Research &amp; development tax incentives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(1,243)</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in valuation allowance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Effects of change in tax rates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359</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 unrecognized tax benefits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Impact of stock compensation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(5,150)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(7,383)</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(8,301)</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51,133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41,958</w:t>
            </w:r>
          </w:p>
        </w:tc>
      </w:tr>
      <w:tr>
        <w:trPr>
          <w:trHeight w:val="23"/>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tax effects of temporary differences that give rise to significant portions of deferred tax assets and deferred tax liabilities are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80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10"/>
        </w:trPr>
        <w:tc>
          <w:tcPr>
            <w:tcW w:w="58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1,359</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1,102</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Right-of-use-assets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11,838</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31,629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27,590</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11,805</w:t>
            </w: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6,284</w:t>
            </w:r>
          </w:p>
        </w:tc>
      </w:tr>
      <w:tr>
        <w:trPr>
          <w:trHeight w:val="37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liabilities recognized</w:t>
            </w:r>
          </w:p>
        </w:tc>
        <w:tc>
          <w:tcPr>
            <w:tcW w:w="27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56,797</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58,619</w:t>
            </w:r>
          </w:p>
        </w:tc>
      </w:tr>
      <w:tr>
        <w:trPr>
          <w:trHeight w:val="257"/>
        </w:trPr>
        <w:tc>
          <w:tcPr>
            <w:tcW w:w="58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Operating loss and tax credits carryforwards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42,794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37,865</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9,394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11,754</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payments on account</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26,380</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5,009</w:t>
            </w: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w:t>
            </w:r>
          </w:p>
        </w:tc>
        <w:tc>
          <w:tcPr>
            <w:tcW w:w="2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2,257</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3,933</w:t>
            </w:r>
          </w:p>
        </w:tc>
      </w:tr>
      <w:tr>
        <w:trPr>
          <w:trHeight w:val="226"/>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w:t>
            </w:r>
          </w:p>
        </w:tc>
      </w:tr>
      <w:tr>
        <w:trPr>
          <w:trHeight w:val="213"/>
        </w:trPr>
        <w:tc>
          <w:tcPr>
            <w:tcW w:w="580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2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91,864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93,546</w:t>
            </w:r>
          </w:p>
        </w:tc>
      </w:tr>
      <w:tr>
        <w:trPr>
          <w:trHeight w:val="226"/>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Valuation allowance for deferred tax assets</w:t>
            </w:r>
          </w:p>
        </w:tc>
        <w:tc>
          <w:tcPr>
            <w:tcW w:w="27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(27,721)</w:t>
            </w: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Deferred tax assets recognized</w:t>
            </w:r>
          </w:p>
        </w:tc>
        <w:tc>
          <w:tcPr>
            <w:tcW w:w="2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59,096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65,825</w:t>
            </w:r>
          </w:p>
        </w:tc>
      </w:tr>
      <w:tr>
        <w:trPr>
          <w:trHeight w:val="40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Overall net deferred tax asset</w:t>
            </w:r>
          </w:p>
        </w:tc>
        <w:tc>
          <w:tcPr>
            <w:tcW w:w="2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7,206</w:t>
            </w:r>
          </w:p>
        </w:tc>
      </w:tr>
      <w:tr>
        <w:trPr>
          <w:trHeight w:val="20"/>
        </w:trPr>
        <w:tc>
          <w:tcPr>
            <w:tcW w:w="58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right="20" w:firstLine="234"/>
        <w:spacing w:after="0" w:line="260" w:lineRule="auto"/>
        <w:rPr>
          <w:sz w:val="20"/>
          <w:szCs w:val="20"/>
          <w:color w:val="auto"/>
        </w:rPr>
      </w:pPr>
      <w:r>
        <w:rPr>
          <w:rFonts w:ascii="Arial" w:cs="Arial" w:eastAsia="Arial" w:hAnsi="Arial"/>
          <w:sz w:val="16"/>
          <w:szCs w:val="16"/>
          <w:color w:val="auto"/>
        </w:rPr>
        <w:t>At December 31, 2020 Ireland subsidiaries had tax credit carryforwards for income tax purposes that may be carried forward indefinitely, available for offset against future tax liabilities, if any, of $11.7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35" w:name="page136"/>
    <w:bookmarkEnd w:id="135"/>
    <w:p>
      <w:pPr>
        <w:jc w:val="both"/>
        <w:ind w:firstLine="225"/>
        <w:spacing w:after="0" w:line="248" w:lineRule="auto"/>
        <w:rPr>
          <w:sz w:val="20"/>
          <w:szCs w:val="20"/>
          <w:color w:val="auto"/>
        </w:rPr>
      </w:pPr>
      <w:r>
        <w:rPr>
          <w:rFonts w:ascii="Arial" w:cs="Arial" w:eastAsia="Arial" w:hAnsi="Arial"/>
          <w:sz w:val="16"/>
          <w:szCs w:val="16"/>
          <w:color w:val="auto"/>
        </w:rPr>
        <w:t>At December 31, 2020 U.S. subsidiaries had U.S. federal and state net operating loss ("NOL") carryforwards of approximately $16.6 million and $51.1 million, respectively. These NOLs are available for offset against future taxable income and the expiry dates are shown in the table below. Of the $16.6 million U.S. federal NOLs, approximately $6.4 million is available for offset against future U.S. federal taxable income in 2021. The subsidiaries' ability to use the remaining U.S. federal and state NOL carryforwards is limited on an annual basis due to change of ownership in 2014, 2017, and 2019, as defined by Section 382 of the Internal Revenue Code of 1986, as amended. Of the U.S. federal NOLs, $15.2 million are limited by Section 382 as follows: $10.0 million for the years 2021 - 2022, $4.8 million in 2023 - 2027, $0.4 million for the years 2028 – 2036. As at December 31, 2020, U.S subsidiaries also had disallowed interest carryforwards of $29.1 million that can be carried forward indefinitely. These carryforwards are available for offset against future taxable income in the event that the U.S subsidiaries have excess capacity for interest deductions in future years.</w:t>
      </w:r>
    </w:p>
    <w:p>
      <w:pPr>
        <w:spacing w:after="0" w:line="234" w:lineRule="exact"/>
        <w:rPr>
          <w:sz w:val="20"/>
          <w:szCs w:val="20"/>
          <w:color w:val="auto"/>
        </w:rPr>
      </w:pPr>
    </w:p>
    <w:p>
      <w:pPr>
        <w:jc w:val="both"/>
        <w:ind w:firstLine="182"/>
        <w:spacing w:after="0" w:line="250" w:lineRule="auto"/>
        <w:rPr>
          <w:sz w:val="20"/>
          <w:szCs w:val="20"/>
          <w:color w:val="auto"/>
        </w:rPr>
      </w:pPr>
      <w:r>
        <w:rPr>
          <w:rFonts w:ascii="Arial" w:cs="Arial" w:eastAsia="Arial" w:hAnsi="Arial"/>
          <w:sz w:val="16"/>
          <w:szCs w:val="16"/>
          <w:color w:val="auto"/>
        </w:rPr>
        <w:t>At December 31, 2020 other than those in the U.S. and Ireland, we had operating loss carryforwards for income tax purposes that may be carried forward indefinitely, available to offset against future taxable income, if any, of approximately $42.1 million. At December 31, 2020 those subsidiaries also had additional operating loss carryforwards of $15.1 million which are due to expire between 2021 and 2027 and operating loss carryforwards of $18.3 million which are due to expire between 2028 and 2037. In addition, at December 31, 2020 those subsidiaries had tax credit carryforwards for income tax purposes that may be carried forward indefinitely, available to offset against future tax liabilities, if any, of $5.5 million.</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expected expiry dates of these US losses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shd w:val="clear" w:color="auto" w:fill="CCEEFF"/>
          </w:tcPr>
          <w:p>
            <w:pPr>
              <w:spacing w:after="0"/>
              <w:rPr>
                <w:sz w:val="16"/>
                <w:szCs w:val="16"/>
                <w:color w:val="auto"/>
              </w:rPr>
            </w:pPr>
          </w:p>
        </w:tc>
        <w:tc>
          <w:tcPr>
            <w:tcW w:w="4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Federal</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State</w:t>
            </w:r>
          </w:p>
        </w:tc>
      </w:tr>
      <w:tr>
        <w:trPr>
          <w:trHeight w:val="215"/>
        </w:trPr>
        <w:tc>
          <w:tcPr>
            <w:tcW w:w="4580" w:type="dxa"/>
            <w:vAlign w:val="bottom"/>
            <w:tcBorders>
              <w:bottom w:val="single" w:sz="8" w:color="auto"/>
            </w:tcBorders>
            <w:shd w:val="clear" w:color="auto" w:fill="CCEEFF"/>
          </w:tcPr>
          <w:p>
            <w:pPr>
              <w:spacing w:after="0"/>
              <w:rPr>
                <w:sz w:val="18"/>
                <w:szCs w:val="18"/>
                <w:color w:val="auto"/>
              </w:rPr>
            </w:pPr>
          </w:p>
        </w:tc>
        <w:tc>
          <w:tcPr>
            <w:tcW w:w="4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NOL's</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NOL's</w:t>
            </w:r>
          </w:p>
        </w:tc>
      </w:tr>
      <w:tr>
        <w:trPr>
          <w:trHeight w:val="209"/>
        </w:trPr>
        <w:tc>
          <w:tcPr>
            <w:tcW w:w="4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2022-2035</w:t>
            </w:r>
          </w:p>
        </w:tc>
        <w:tc>
          <w:tcPr>
            <w:tcW w:w="42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13,295</w:t>
            </w: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51,092</w:t>
            </w: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2037</w:t>
            </w:r>
          </w:p>
        </w:tc>
        <w:tc>
          <w:tcPr>
            <w:tcW w:w="4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1,921</w:t>
            </w:r>
          </w:p>
        </w:tc>
        <w:tc>
          <w:tcPr>
            <w:tcW w:w="7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Indefinite</w:t>
            </w:r>
          </w:p>
        </w:tc>
        <w:tc>
          <w:tcPr>
            <w:tcW w:w="4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7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9"/>
        </w:trPr>
        <w:tc>
          <w:tcPr>
            <w:tcW w:w="45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8"/>
        </w:trPr>
        <w:tc>
          <w:tcPr>
            <w:tcW w:w="4580" w:type="dxa"/>
            <w:vAlign w:val="bottom"/>
            <w:tcBorders>
              <w:bottom w:val="single" w:sz="8" w:color="auto"/>
            </w:tcBorders>
            <w:shd w:val="clear" w:color="auto" w:fill="CCEEFF"/>
          </w:tcPr>
          <w:p>
            <w:pPr>
              <w:spacing w:after="0"/>
              <w:rPr>
                <w:sz w:val="20"/>
                <w:szCs w:val="20"/>
                <w:color w:val="auto"/>
              </w:rPr>
            </w:pPr>
          </w:p>
        </w:tc>
        <w:tc>
          <w:tcPr>
            <w:tcW w:w="42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16,579</w:t>
            </w: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51,141</w:t>
            </w: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16"/>
          <w:szCs w:val="16"/>
          <w:color w:val="auto"/>
        </w:rPr>
        <w:t>In addition, we also have general business tax credit carryforwards of approximately $0.8 million that are available to reduce future U.S. federal and state income taxes. The general business tax credits are non-refundable and are due to expire between the years 2026-2038.</w:t>
      </w:r>
    </w:p>
    <w:p>
      <w:pPr>
        <w:spacing w:after="0" w:line="155" w:lineRule="exact"/>
        <w:rPr>
          <w:sz w:val="20"/>
          <w:szCs w:val="20"/>
          <w:color w:val="auto"/>
        </w:rPr>
      </w:pPr>
    </w:p>
    <w:p>
      <w:pPr>
        <w:jc w:val="both"/>
        <w:ind w:firstLine="238"/>
        <w:spacing w:after="0" w:line="250" w:lineRule="auto"/>
        <w:rPr>
          <w:sz w:val="20"/>
          <w:szCs w:val="20"/>
          <w:color w:val="auto"/>
        </w:rPr>
      </w:pPr>
      <w:r>
        <w:rPr>
          <w:rFonts w:ascii="Arial" w:cs="Arial" w:eastAsia="Arial" w:hAnsi="Arial"/>
          <w:sz w:val="16"/>
          <w:szCs w:val="16"/>
          <w:color w:val="auto"/>
        </w:rPr>
        <w:t>The valuation allowance at December 31, 2020 was approximately $32.8 million. The valuation allowance for deferred tax assets as of December 31, 2019 and December 31, 2018 was $27.7 million and $27.3 million respectively. The net change in the total valuation allowance was an increase of $5.1 million during 2020 and an increase of $0.4 million during 2019. Of the total increase of $5.1 million in 2020, $3.6 million was recognized within income tax expense and $1.5 million was recognized in Other Comprehensive Income. Of the total increase of $0.4 million in 2019, $Nil resulted in a current year income tax expense, and $0.4 million was recognized in Other Comprehensive Income.</w:t>
      </w:r>
    </w:p>
    <w:p>
      <w:pPr>
        <w:spacing w:after="0" w:line="149" w:lineRule="exact"/>
        <w:rPr>
          <w:sz w:val="20"/>
          <w:szCs w:val="20"/>
          <w:color w:val="auto"/>
        </w:rPr>
      </w:pPr>
    </w:p>
    <w:p>
      <w:pPr>
        <w:jc w:val="both"/>
        <w:ind w:firstLine="189"/>
        <w:spacing w:after="0" w:line="248" w:lineRule="auto"/>
        <w:rPr>
          <w:sz w:val="20"/>
          <w:szCs w:val="20"/>
          <w:color w:val="auto"/>
        </w:rPr>
      </w:pPr>
      <w:r>
        <w:rPr>
          <w:rFonts w:ascii="Arial" w:cs="Arial" w:eastAsia="Arial" w:hAnsi="Arial"/>
          <w:sz w:val="16"/>
          <w:szCs w:val="16"/>
          <w:color w:val="auto"/>
        </w:rPr>
        <w:t>The valuation allowances at December 31, 2020 and December 31, 2019 were primarily related to operating loss and tax credit carry forwards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w:t>
      </w:r>
    </w:p>
    <w:p>
      <w:pPr>
        <w:spacing w:after="0" w:line="154" w:lineRule="exact"/>
        <w:rPr>
          <w:sz w:val="20"/>
          <w:szCs w:val="20"/>
          <w:color w:val="auto"/>
        </w:rPr>
      </w:pPr>
    </w:p>
    <w:p>
      <w:pPr>
        <w:jc w:val="both"/>
        <w:ind w:firstLine="208"/>
        <w:spacing w:after="0" w:line="248" w:lineRule="auto"/>
        <w:rPr>
          <w:sz w:val="20"/>
          <w:szCs w:val="20"/>
          <w:color w:val="auto"/>
        </w:rPr>
      </w:pPr>
      <w:r>
        <w:rPr>
          <w:rFonts w:ascii="Arial" w:cs="Arial" w:eastAsia="Arial" w:hAnsi="Arial"/>
          <w:sz w:val="16"/>
          <w:szCs w:val="16"/>
          <w:color w:val="auto"/>
        </w:rPr>
        <w:t>The Company has recognized a deferred tax liability of $0.9 million (2019: $5.4 million) for investments in foreign subsidiaries where the Company does not consider the earnings to be indefinitely reinvested. For the deferred tax liability not recognized in respect of temporary differences related to investments in foreign subsidiaries which are considered to be indefinitely reinvested, it is not practicable to calculate the exact unrecognized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6" w:name="page137"/>
    <w:bookmarkEnd w:id="136"/>
    <w:p>
      <w:pPr>
        <w:ind w:left="180"/>
        <w:spacing w:after="0"/>
        <w:rPr>
          <w:sz w:val="20"/>
          <w:szCs w:val="20"/>
          <w:color w:val="auto"/>
        </w:rPr>
      </w:pPr>
      <w:r>
        <w:rPr>
          <w:rFonts w:ascii="Arial" w:cs="Arial" w:eastAsia="Arial" w:hAnsi="Arial"/>
          <w:sz w:val="16"/>
          <w:szCs w:val="16"/>
          <w:color w:val="auto"/>
        </w:rPr>
        <w:t>A reconciliation of the beginning and ending amount of total unrecognized tax benefits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0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r>
      <w:tr>
        <w:trPr>
          <w:trHeight w:val="209"/>
        </w:trPr>
        <w:tc>
          <w:tcPr>
            <w:tcW w:w="5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at start of year</w:t>
            </w:r>
          </w:p>
        </w:tc>
        <w:tc>
          <w:tcPr>
            <w:tcW w:w="2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23,720</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Increase related to prior year tax positions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2,084</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related to prior year tax positions</w:t>
            </w:r>
          </w:p>
        </w:tc>
        <w:tc>
          <w:tcPr>
            <w:tcW w:w="2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w:t>
            </w: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Increase related to current year tax positions</w:t>
            </w:r>
          </w:p>
        </w:tc>
        <w:tc>
          <w:tcPr>
            <w:tcW w:w="2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2,931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3,065</w:t>
            </w: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20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2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Lapse of statute of limitations</w:t>
            </w:r>
          </w:p>
        </w:tc>
        <w:tc>
          <w:tcPr>
            <w:tcW w:w="20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(2,770)</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w:t>
            </w:r>
          </w:p>
        </w:tc>
      </w:tr>
      <w:tr>
        <w:trPr>
          <w:trHeight w:val="40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at end of year</w:t>
            </w:r>
          </w:p>
        </w:tc>
        <w:tc>
          <w:tcPr>
            <w:tcW w:w="2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21,433</w:t>
            </w: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relevant statute of limitations for unrecognized tax benefits totaling $3.2 million could potentially expire during 2021.</w:t>
      </w:r>
    </w:p>
    <w:p>
      <w:pPr>
        <w:spacing w:after="0" w:line="248" w:lineRule="exact"/>
        <w:rPr>
          <w:sz w:val="20"/>
          <w:szCs w:val="20"/>
          <w:color w:val="auto"/>
        </w:rPr>
      </w:pPr>
    </w:p>
    <w:p>
      <w:pPr>
        <w:jc w:val="both"/>
        <w:ind w:firstLine="194"/>
        <w:spacing w:after="0" w:line="251" w:lineRule="auto"/>
        <w:rPr>
          <w:sz w:val="20"/>
          <w:szCs w:val="20"/>
          <w:color w:val="auto"/>
        </w:rPr>
      </w:pPr>
      <w:r>
        <w:rPr>
          <w:rFonts w:ascii="Arial" w:cs="Arial" w:eastAsia="Arial" w:hAnsi="Arial"/>
          <w:sz w:val="16"/>
          <w:szCs w:val="16"/>
          <w:color w:val="auto"/>
        </w:rPr>
        <w:t>Included in the balance of total unrecognized tax benefits at December 31, 2020 were potential benefits of $19.1 million, which if recognized, would affect the effective rate on income tax from continuing operations. The balance of total unrecognized tax benefits at December 31, 2019 and December 31, 2018 included potential benefits which, if recognized, would affect the effective rate of income tax from continuing operations of $20.2 million and $21.4 million respectively.</w:t>
      </w:r>
    </w:p>
    <w:p>
      <w:pPr>
        <w:spacing w:after="0" w:line="229" w:lineRule="exact"/>
        <w:rPr>
          <w:sz w:val="20"/>
          <w:szCs w:val="20"/>
          <w:color w:val="auto"/>
        </w:rPr>
      </w:pPr>
    </w:p>
    <w:p>
      <w:pPr>
        <w:jc w:val="both"/>
        <w:ind w:firstLine="217"/>
        <w:spacing w:after="0" w:line="253" w:lineRule="auto"/>
        <w:rPr>
          <w:sz w:val="20"/>
          <w:szCs w:val="20"/>
          <w:color w:val="auto"/>
        </w:rPr>
      </w:pPr>
      <w:r>
        <w:rPr>
          <w:rFonts w:ascii="Arial" w:cs="Arial" w:eastAsia="Arial" w:hAnsi="Arial"/>
          <w:sz w:val="16"/>
          <w:szCs w:val="16"/>
          <w:color w:val="auto"/>
        </w:rPr>
        <w:t>Interest and penalties recognized during the year ended December 31, 2020 amounted to a net release of $0.6 million (2019: Nil, 2018: net expense of $1.3 million) and are included within the income tax expense. Total accrued interest and penalties as of December 31, 2020 and December 31, 2019 were $0.5 million and $1.1 million respectively and are included in closing income taxes payable at those dates.</w:t>
      </w:r>
    </w:p>
    <w:p>
      <w:pPr>
        <w:spacing w:after="0" w:line="228" w:lineRule="exact"/>
        <w:rPr>
          <w:sz w:val="20"/>
          <w:szCs w:val="20"/>
          <w:color w:val="auto"/>
        </w:rPr>
      </w:pPr>
    </w:p>
    <w:p>
      <w:pPr>
        <w:jc w:val="both"/>
        <w:ind w:firstLine="215"/>
        <w:spacing w:after="0" w:line="251" w:lineRule="auto"/>
        <w:rPr>
          <w:sz w:val="20"/>
          <w:szCs w:val="20"/>
          <w:color w:val="auto"/>
        </w:rPr>
      </w:pPr>
      <w:r>
        <w:rPr>
          <w:rFonts w:ascii="Arial" w:cs="Arial" w:eastAsia="Arial" w:hAnsi="Arial"/>
          <w:sz w:val="16"/>
          <w:szCs w:val="16"/>
          <w:color w:val="auto"/>
        </w:rPr>
        <w:t>Our major tax jurisdictions are the United States and Ireland. We may potentially be subjected to tax audits in both our major jurisdictions. In the United States, tax periods open to audit include the years ended December 31, 2017, December 31, 2018, December 31, 2019 and December 31, 2020. In Ireland, tax periods open to audit include the years ended December 31, 2016, December 31, 2017, December 31, 2018, December 31, 2019 and December 31, 2020. During such audits, local tax authorities may challenge the positions taken by us in our tax returns.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20"/>
                <w:szCs w:val="20"/>
                <w:color w:val="auto"/>
              </w:rPr>
            </w:pPr>
            <w:r>
              <w:rPr>
                <w:rFonts w:ascii="Arial" w:cs="Arial" w:eastAsia="Arial" w:hAnsi="Arial"/>
                <w:sz w:val="16"/>
                <w:szCs w:val="16"/>
                <w:b w:val="1"/>
                <w:bCs w:val="1"/>
                <w:color w:val="auto"/>
              </w:rPr>
              <w:t>14. Restructuring charges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32"/>
        </w:trPr>
        <w:tc>
          <w:tcPr>
            <w:tcW w:w="6900" w:type="dxa"/>
            <w:vAlign w:val="bottom"/>
          </w:tcPr>
          <w:p>
            <w:pPr>
              <w:ind w:left="660"/>
              <w:spacing w:after="0"/>
              <w:rPr>
                <w:sz w:val="20"/>
                <w:szCs w:val="20"/>
                <w:color w:val="auto"/>
              </w:rPr>
            </w:pPr>
            <w:r>
              <w:rPr>
                <w:rFonts w:ascii="Arial" w:cs="Arial" w:eastAsia="Arial" w:hAnsi="Arial"/>
                <w:sz w:val="16"/>
                <w:szCs w:val="16"/>
                <w:color w:val="auto"/>
              </w:rPr>
              <w:t>Restructuring recognized during the year ended December 31, 2020 comprise:</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4"/>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Year Ended</w:t>
            </w: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560" w:type="dxa"/>
            <w:vAlign w:val="bottom"/>
          </w:tcPr>
          <w:p>
            <w:pPr>
              <w:jc w:val="right"/>
              <w:ind w:right="179"/>
              <w:spacing w:after="0" w:line="156" w:lineRule="exact"/>
              <w:rPr>
                <w:sz w:val="20"/>
                <w:szCs w:val="20"/>
                <w:color w:val="auto"/>
              </w:rPr>
            </w:pPr>
            <w:r>
              <w:rPr>
                <w:rFonts w:ascii="Arial" w:cs="Arial" w:eastAsia="Arial" w:hAnsi="Arial"/>
                <w:sz w:val="16"/>
                <w:szCs w:val="16"/>
                <w:b w:val="1"/>
                <w:bCs w:val="1"/>
                <w:color w:val="auto"/>
              </w:rPr>
              <w:t>December 31,</w:t>
            </w: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shd w:val="clear" w:color="auto" w:fill="CCEEFF"/>
          </w:tcPr>
          <w:p>
            <w:pPr>
              <w:spacing w:after="0"/>
              <w:rPr>
                <w:sz w:val="18"/>
                <w:szCs w:val="18"/>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12,490</w:t>
            </w:r>
          </w:p>
        </w:tc>
      </w:tr>
      <w:tr>
        <w:trPr>
          <w:trHeight w:val="40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charge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12,490</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i w:val="1"/>
          <w:iCs w:val="1"/>
          <w:color w:val="auto"/>
        </w:rPr>
        <w:t>Restructuring charges</w:t>
      </w:r>
    </w:p>
    <w:p>
      <w:pPr>
        <w:spacing w:after="0" w:line="264" w:lineRule="exact"/>
        <w:rPr>
          <w:sz w:val="20"/>
          <w:szCs w:val="20"/>
          <w:color w:val="auto"/>
        </w:rPr>
      </w:pPr>
    </w:p>
    <w:p>
      <w:pPr>
        <w:jc w:val="both"/>
        <w:ind w:firstLine="177"/>
        <w:spacing w:after="0" w:line="251" w:lineRule="auto"/>
        <w:rPr>
          <w:sz w:val="20"/>
          <w:szCs w:val="20"/>
          <w:color w:val="auto"/>
        </w:rPr>
      </w:pPr>
      <w:r>
        <w:rPr>
          <w:rFonts w:ascii="Arial" w:cs="Arial" w:eastAsia="Arial" w:hAnsi="Arial"/>
          <w:sz w:val="16"/>
          <w:szCs w:val="16"/>
          <w:color w:val="auto"/>
        </w:rPr>
        <w:t xml:space="preserve">A restructuring charge of $18.1 million was recognized during the year ended December 31, 2020 under a restructuring plan adopted following a review of operations. The restructuring plan reflected resource rationalization across the business to improve resource utilization, resulting in a charge of $11.4 million and office consolidation resulting in a charge for onerous lease obligation of $6.7 million, including the recognition of an impairment of right of use assets of $5.4 million (see </w:t>
      </w:r>
      <w:r>
        <w:rPr>
          <w:rFonts w:ascii="Arial" w:cs="Arial" w:eastAsia="Arial" w:hAnsi="Arial"/>
          <w:sz w:val="16"/>
          <w:szCs w:val="16"/>
          <w:i w:val="1"/>
          <w:iCs w:val="1"/>
          <w:color w:val="auto"/>
        </w:rPr>
        <w:t>note 22 - Operating Leases</w:t>
      </w:r>
      <w:r>
        <w:rPr>
          <w:rFonts w:ascii="Arial" w:cs="Arial" w:eastAsia="Arial" w:hAnsi="Arial"/>
          <w:sz w:val="16"/>
          <w:szCs w:val="16"/>
          <w:color w:val="auto"/>
        </w:rPr>
        <w:t>) and provision for other related costs of $1.3 million.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leases</w:t>
            </w:r>
          </w:p>
        </w:tc>
        <w:tc>
          <w:tcPr>
            <w:tcW w:w="5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64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Initial restructuring charge recorded</w:t>
            </w:r>
          </w:p>
        </w:tc>
        <w:tc>
          <w:tcPr>
            <w:tcW w:w="24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6,698</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0" w:type="dxa"/>
            <w:vAlign w:val="bottom"/>
          </w:tcPr>
          <w:p>
            <w:pPr>
              <w:spacing w:after="0"/>
              <w:rPr>
                <w:sz w:val="1"/>
                <w:szCs w:val="1"/>
                <w:color w:val="auto"/>
              </w:rPr>
            </w:pPr>
          </w:p>
        </w:tc>
      </w:tr>
      <w:tr>
        <w:trPr>
          <w:trHeight w:val="21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charge</w:t>
            </w:r>
          </w:p>
        </w:tc>
        <w:tc>
          <w:tcPr>
            <w:tcW w:w="2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6,698</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18,089</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3"/>
        </w:trPr>
        <w:tc>
          <w:tcPr>
            <w:tcW w:w="4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Workforce</w:t>
            </w: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Onerous lease</w:t>
            </w: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reductions</w:t>
            </w:r>
          </w:p>
        </w:tc>
        <w:tc>
          <w:tcPr>
            <w:tcW w:w="20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64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liability</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liability</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restructuring provision</w:t>
            </w:r>
          </w:p>
        </w:tc>
        <w:tc>
          <w:tcPr>
            <w:tcW w:w="2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11,391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6,698</w:t>
            </w:r>
          </w:p>
        </w:tc>
        <w:tc>
          <w:tcPr>
            <w:tcW w:w="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18,089</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Utilization</w:t>
            </w:r>
          </w:p>
        </w:tc>
        <w:tc>
          <w:tcPr>
            <w:tcW w:w="2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(6,987)</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(1,309)</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(8,296)</w:t>
            </w:r>
          </w:p>
        </w:tc>
        <w:tc>
          <w:tcPr>
            <w:tcW w:w="0" w:type="dxa"/>
            <w:vAlign w:val="bottom"/>
          </w:tcPr>
          <w:p>
            <w:pPr>
              <w:spacing w:after="0"/>
              <w:rPr>
                <w:sz w:val="1"/>
                <w:szCs w:val="1"/>
                <w:color w:val="auto"/>
              </w:rPr>
            </w:pPr>
          </w:p>
        </w:tc>
      </w:tr>
      <w:tr>
        <w:trPr>
          <w:trHeight w:val="213"/>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2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5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at December 31, 2020</w:t>
            </w:r>
          </w:p>
        </w:tc>
        <w:tc>
          <w:tcPr>
            <w:tcW w:w="2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5,714</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10,118</w:t>
            </w:r>
          </w:p>
        </w:tc>
        <w:tc>
          <w:tcPr>
            <w:tcW w:w="0" w:type="dxa"/>
            <w:vAlign w:val="bottom"/>
          </w:tcPr>
          <w:p>
            <w:pPr>
              <w:spacing w:after="0"/>
              <w:rPr>
                <w:sz w:val="1"/>
                <w:szCs w:val="1"/>
                <w:color w:val="auto"/>
              </w:rPr>
            </w:pPr>
          </w:p>
        </w:tc>
      </w:tr>
      <w:tr>
        <w:trPr>
          <w:trHeight w:val="24"/>
        </w:trPr>
        <w:tc>
          <w:tcPr>
            <w:tcW w:w="4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Future minimum lease payments (including related costs), associated with the 2020 restructuring plan, under the non-cancelable onerous leases as of December 31, 2020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shd w:val="clear" w:color="auto" w:fill="CCEEFF"/>
          </w:tcPr>
          <w:p>
            <w:pPr>
              <w:spacing w:after="0"/>
              <w:rPr>
                <w:sz w:val="16"/>
                <w:szCs w:val="16"/>
                <w:color w:val="auto"/>
              </w:rPr>
            </w:pPr>
          </w:p>
        </w:tc>
        <w:tc>
          <w:tcPr>
            <w:tcW w:w="48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6"/>
        </w:trPr>
        <w:tc>
          <w:tcPr>
            <w:tcW w:w="49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5"/>
        </w:trPr>
        <w:tc>
          <w:tcPr>
            <w:tcW w:w="49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2022</w:t>
            </w:r>
          </w:p>
        </w:tc>
        <w:tc>
          <w:tcPr>
            <w:tcW w:w="48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1,896</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8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2024</w:t>
            </w:r>
          </w:p>
        </w:tc>
        <w:tc>
          <w:tcPr>
            <w:tcW w:w="48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8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48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 (including related costs)</w:t>
            </w:r>
          </w:p>
        </w:tc>
        <w:tc>
          <w:tcPr>
            <w:tcW w:w="48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48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r>
      <w:tr>
        <w:trPr>
          <w:trHeight w:val="238"/>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48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862"/>
        </w:trPr>
        <w:tc>
          <w:tcPr>
            <w:tcW w:w="4980" w:type="dxa"/>
            <w:vAlign w:val="bottom"/>
          </w:tcPr>
          <w:p>
            <w:pPr>
              <w:spacing w:after="0"/>
              <w:rPr>
                <w:sz w:val="24"/>
                <w:szCs w:val="24"/>
                <w:color w:val="auto"/>
              </w:rPr>
            </w:pPr>
          </w:p>
        </w:tc>
        <w:tc>
          <w:tcPr>
            <w:tcW w:w="4880" w:type="dxa"/>
            <w:vAlign w:val="bottom"/>
          </w:tcPr>
          <w:p>
            <w:pPr>
              <w:jc w:val="right"/>
              <w:ind w:right="4019"/>
              <w:spacing w:after="0"/>
              <w:rPr>
                <w:sz w:val="20"/>
                <w:szCs w:val="20"/>
                <w:color w:val="auto"/>
              </w:rPr>
            </w:pPr>
            <w:r>
              <w:rPr>
                <w:rFonts w:ascii="Arial" w:cs="Arial" w:eastAsia="Arial" w:hAnsi="Arial"/>
                <w:sz w:val="16"/>
                <w:szCs w:val="16"/>
                <w:color w:val="auto"/>
              </w:rPr>
              <w:t>136</w:t>
            </w:r>
          </w:p>
        </w:tc>
        <w:tc>
          <w:tcPr>
            <w:tcW w:w="1380" w:type="dxa"/>
            <w:vAlign w:val="bottom"/>
          </w:tcPr>
          <w:p>
            <w:pPr>
              <w:spacing w:after="0"/>
              <w:rPr>
                <w:sz w:val="24"/>
                <w:szCs w:val="24"/>
                <w:color w:val="auto"/>
              </w:rPr>
            </w:pPr>
          </w:p>
        </w:tc>
      </w:tr>
      <w:tr>
        <w:trPr>
          <w:trHeight w:val="108"/>
        </w:trPr>
        <w:tc>
          <w:tcPr>
            <w:tcW w:w="498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i w:val="1"/>
          <w:iCs w:val="1"/>
          <w:color w:val="auto"/>
        </w:rPr>
        <w:t>Prior Period Restructuring Charges</w:t>
      </w:r>
    </w:p>
    <w:p>
      <w:pPr>
        <w:spacing w:after="0" w:line="210" w:lineRule="exact"/>
        <w:rPr>
          <w:sz w:val="20"/>
          <w:szCs w:val="20"/>
          <w:color w:val="auto"/>
        </w:rPr>
      </w:pPr>
    </w:p>
    <w:p>
      <w:pPr>
        <w:jc w:val="both"/>
        <w:ind w:firstLine="171"/>
        <w:spacing w:after="0" w:line="251" w:lineRule="auto"/>
        <w:rPr>
          <w:sz w:val="20"/>
          <w:szCs w:val="20"/>
          <w:color w:val="auto"/>
        </w:rPr>
      </w:pPr>
      <w:r>
        <w:rPr>
          <w:rFonts w:ascii="Arial" w:cs="Arial" w:eastAsia="Arial" w:hAnsi="Arial"/>
          <w:sz w:val="16"/>
          <w:szCs w:val="16"/>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utilizations, resulting in a charge of $9.7 million and office consolidation resulting in the recognition of an onerous lease obligation of $2.8 million. No additional charge was recorded during the twelve months ended December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Workforce</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Onerous</w:t>
            </w:r>
          </w:p>
        </w:tc>
        <w:tc>
          <w:tcPr>
            <w:tcW w:w="4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470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reductions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Lease</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provision recognized</w:t>
            </w:r>
          </w:p>
        </w:tc>
        <w:tc>
          <w:tcPr>
            <w:tcW w:w="2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12,490</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Utilized</w:t>
            </w:r>
          </w:p>
        </w:tc>
        <w:tc>
          <w:tcPr>
            <w:tcW w:w="2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2018</w:t>
            </w:r>
          </w:p>
        </w:tc>
        <w:tc>
          <w:tcPr>
            <w:tcW w:w="2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Utilized</w:t>
            </w:r>
          </w:p>
        </w:tc>
        <w:tc>
          <w:tcPr>
            <w:tcW w:w="2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(3,554)</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2019</w:t>
            </w:r>
          </w:p>
        </w:tc>
        <w:tc>
          <w:tcPr>
            <w:tcW w:w="26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Utilized</w:t>
            </w:r>
          </w:p>
        </w:tc>
        <w:tc>
          <w:tcPr>
            <w:tcW w:w="2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38"/>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December 31, 2020</w:t>
            </w:r>
          </w:p>
        </w:tc>
        <w:tc>
          <w:tcPr>
            <w:tcW w:w="2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 December 31, 2020 $7.2 million is included within other liabilities and $3.5 million within non-current other liabilities.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6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6"/>
          <w:szCs w:val="16"/>
          <w:color w:val="auto"/>
        </w:rPr>
        <w:t>On April 20, 2020, an individual named Chrystal Miller (“Miller”) who previously worked for a subsidiary of the Company, ICON Clinical Research LLC (“ICON Clinical”), filed a putative class action lawsuit, Chrystal Miller v. ICON plc et al., in the Superior Court of California, County of San Mateo. Her lawsuit was brought against the Company, ICON Clinical, DOCS Global, Inc., a subsidiary of the Company, and an individual former employee of ICON Clinical (collectively, “the ICON defendants”). The complaint alleges that the ICON defendants violated the California Labor Code and the California Business &amp; Professions Code by failing to pay overtime wages, provide meal and rest periods, provide accurate, itemized wage statements, and timely pay all final wages to Clinical Research Associates employed in California since April 20, 2016. The suit seeks monetary damages, interest, injunctive relief, and attorneys’ fees and costs. On June 22, 2020, the case was removed to the U.S. District Court, Northern District of California. On November 4, 2020, the federal court remanded the case to San Mateo Superior Court. On December 23, 2020, ICON Clinical filed a cross-complaint against Miller alleging causes of action for fraud, negligent misrepresentation, conversion, breach of contract, and accounting. The ICON defendants deny the allegations that they have acted unlawfully and are vigorously defending the lawsuit.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264" w:lineRule="exact"/>
        <w:rPr>
          <w:sz w:val="20"/>
          <w:szCs w:val="20"/>
          <w:color w:val="auto"/>
        </w:rPr>
      </w:pPr>
    </w:p>
    <w:p>
      <w:pPr>
        <w:jc w:val="both"/>
        <w:ind w:firstLine="197"/>
        <w:spacing w:after="0" w:line="253" w:lineRule="auto"/>
        <w:rPr>
          <w:sz w:val="20"/>
          <w:szCs w:val="20"/>
          <w:color w:val="auto"/>
        </w:rPr>
      </w:pPr>
      <w:r>
        <w:rPr>
          <w:rFonts w:ascii="Arial" w:cs="Arial" w:eastAsia="Arial" w:hAnsi="Arial"/>
          <w:sz w:val="16"/>
          <w:szCs w:val="16"/>
          <w:color w:val="auto"/>
        </w:rPr>
        <w:t xml:space="preserve">The Company has several non-cancelable operating leases, primarily for facilities, that expire over the next twelve years. These leases generally contain renewal options and require the Company to pay all executory costs such as maintenance and insurance. See </w:t>
      </w:r>
      <w:r>
        <w:rPr>
          <w:rFonts w:ascii="Arial" w:cs="Arial" w:eastAsia="Arial" w:hAnsi="Arial"/>
          <w:sz w:val="16"/>
          <w:szCs w:val="16"/>
          <w:i w:val="1"/>
          <w:iCs w:val="1"/>
          <w:color w:val="auto"/>
        </w:rPr>
        <w:t>note 22 - Operating leases</w:t>
      </w:r>
      <w:r>
        <w:rPr>
          <w:rFonts w:ascii="Arial" w:cs="Arial" w:eastAsia="Arial" w:hAnsi="Arial"/>
          <w:sz w:val="16"/>
          <w:szCs w:val="16"/>
          <w:color w:val="auto"/>
        </w:rPr>
        <w:t xml:space="preserve"> for rental expense pursuant to ASC 842 for the years ended December 31, 2020 and December 31, 2019 and future minimum rental commitments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color w:val="auto"/>
        </w:rPr>
        <w:t>16. Disaggregation of 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ind w:left="180"/>
              <w:spacing w:after="0"/>
              <w:rPr>
                <w:sz w:val="20"/>
                <w:szCs w:val="20"/>
                <w:color w:val="auto"/>
              </w:rPr>
            </w:pPr>
            <w:r>
              <w:rPr>
                <w:rFonts w:ascii="Arial" w:cs="Arial" w:eastAsia="Arial" w:hAnsi="Arial"/>
                <w:sz w:val="16"/>
                <w:szCs w:val="16"/>
                <w:color w:val="auto"/>
              </w:rPr>
              <w:t>Revenue disaggregated by customer profile is as follows:</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5"/>
        </w:trPr>
        <w:tc>
          <w:tcPr>
            <w:tcW w:w="7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156"/>
        </w:trPr>
        <w:tc>
          <w:tcPr>
            <w:tcW w:w="7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7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7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Top client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337,904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350,287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352,335</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2-5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754,906</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704,963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671,723</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350,865</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347,832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385,741</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501,643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529,713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461,351</w:t>
            </w:r>
          </w:p>
        </w:tc>
      </w:tr>
      <w:tr>
        <w:trPr>
          <w:trHeight w:val="21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851,970</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873,044</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724,627</w:t>
            </w:r>
          </w:p>
        </w:tc>
      </w:tr>
      <w:tr>
        <w:trPr>
          <w:trHeight w:val="234"/>
        </w:trPr>
        <w:tc>
          <w:tcPr>
            <w:tcW w:w="7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$2,797,288</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$2,805,839</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$2,595,777</w:t>
            </w:r>
          </w:p>
        </w:tc>
      </w:tr>
      <w:tr>
        <w:trPr>
          <w:trHeight w:val="20"/>
        </w:trPr>
        <w:tc>
          <w:tcPr>
            <w:tcW w:w="7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customers have similar profiles and economic characteristics, and therefore have similar degrees of risk and growth opportunities.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Accounts receivable, unbilled revenue (contract assets) and unearned revenue or payments on account (contract liabilities)</w:t>
      </w:r>
    </w:p>
    <w:p>
      <w:pPr>
        <w:spacing w:after="0" w:line="2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receivable and unbilled revenue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tcBorders>
            <w:shd w:val="clear" w:color="auto" w:fill="CCEEFF"/>
          </w:tcPr>
          <w:p>
            <w:pPr>
              <w:spacing w:after="0"/>
              <w:rPr>
                <w:sz w:val="18"/>
                <w:szCs w:val="18"/>
                <w:color w:val="auto"/>
              </w:rPr>
            </w:pPr>
          </w:p>
        </w:tc>
        <w:tc>
          <w:tcPr>
            <w:tcW w:w="44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3"/>
          </w:tcPr>
          <w:p>
            <w:pPr>
              <w:jc w:val="right"/>
              <w:ind w:right="758"/>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Billed services (accounts receivable)</w:t>
            </w: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722,420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Unbilled services (unbilled revenue)</w:t>
            </w:r>
          </w:p>
        </w:tc>
        <w:tc>
          <w:tcPr>
            <w:tcW w:w="1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428,684</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and unbilled revenue</w:t>
            </w: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1,151,104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6"/>
                <w:szCs w:val="16"/>
                <w:color w:val="auto"/>
              </w:rPr>
              <w:t>Allowance for credit losses (note 18)</w:t>
            </w: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(7,149)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shd w:val="clear" w:color="auto" w:fill="CCEEFF"/>
          </w:tcPr>
          <w:p>
            <w:pPr>
              <w:spacing w:after="0"/>
              <w:rPr>
                <w:sz w:val="19"/>
                <w:szCs w:val="19"/>
                <w:color w:val="auto"/>
              </w:rPr>
            </w:pPr>
          </w:p>
        </w:tc>
        <w:tc>
          <w:tcPr>
            <w:tcW w:w="4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Provision for doubtful debts (note 18)</w:t>
            </w:r>
          </w:p>
        </w:tc>
        <w:tc>
          <w:tcPr>
            <w:tcW w:w="1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Accounts receivable and unbilled revenue, net</w:t>
            </w:r>
          </w:p>
        </w:tc>
        <w:tc>
          <w:tcPr>
            <w:tcW w:w="1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1,143,955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40" w:type="dxa"/>
            <w:vAlign w:val="bottom"/>
          </w:tcPr>
          <w:p>
            <w:pPr>
              <w:spacing w:after="0"/>
              <w:rPr>
                <w:sz w:val="24"/>
                <w:szCs w:val="24"/>
                <w:color w:val="auto"/>
              </w:rPr>
            </w:pPr>
          </w:p>
        </w:tc>
        <w:tc>
          <w:tcPr>
            <w:tcW w:w="8280" w:type="dxa"/>
            <w:vAlign w:val="bottom"/>
            <w:gridSpan w:val="5"/>
          </w:tcPr>
          <w:p>
            <w:pPr>
              <w:ind w:left="14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4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24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4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Unbilled services (unbilled revenue)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428,684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422,769</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5,915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4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Unearned revenue (payments on account)</w:t>
            </w:r>
          </w:p>
        </w:tc>
        <w:tc>
          <w:tcPr>
            <w:tcW w:w="1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(660,883)</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(366,988)</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(293,895)</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80.1 %</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4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Net balance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55,781</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(287,980)</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516.3 %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both"/>
        <w:ind w:firstLine="188"/>
        <w:spacing w:after="0" w:line="25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30"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0" w:name="page141"/>
    <w:bookmarkEnd w:id="140"/>
    <w:p>
      <w:pPr>
        <w:jc w:val="both"/>
        <w:ind w:firstLine="235"/>
        <w:spacing w:after="0" w:line="251" w:lineRule="auto"/>
        <w:rPr>
          <w:sz w:val="20"/>
          <w:szCs w:val="20"/>
          <w:color w:val="auto"/>
        </w:rPr>
      </w:pPr>
      <w:r>
        <w:rPr>
          <w:rFonts w:ascii="Arial" w:cs="Arial" w:eastAsia="Arial" w:hAnsi="Arial"/>
          <w:sz w:val="16"/>
          <w:szCs w:val="16"/>
          <w:color w:val="auto"/>
        </w:rPr>
        <w:t xml:space="preserve">The Company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Amounts owed to investigators and others in respect of reimbursable expenses at December 31, 2020 and December 31, 2019 were $138.2 million and $142.6 million (see </w:t>
      </w:r>
      <w:r>
        <w:rPr>
          <w:rFonts w:ascii="Arial" w:cs="Arial" w:eastAsia="Arial" w:hAnsi="Arial"/>
          <w:sz w:val="16"/>
          <w:szCs w:val="16"/>
          <w:i w:val="1"/>
          <w:iCs w:val="1"/>
          <w:color w:val="auto"/>
        </w:rPr>
        <w:t>note 7 - Other liabilities</w:t>
      </w:r>
      <w:r>
        <w:rPr>
          <w:rFonts w:ascii="Arial" w:cs="Arial" w:eastAsia="Arial" w:hAnsi="Arial"/>
          <w:sz w:val="16"/>
          <w:szCs w:val="16"/>
          <w:color w:val="auto"/>
        </w:rPr>
        <w:t>).</w:t>
      </w:r>
    </w:p>
    <w:p>
      <w:pPr>
        <w:spacing w:after="0" w:line="229" w:lineRule="exact"/>
        <w:rPr>
          <w:sz w:val="20"/>
          <w:szCs w:val="20"/>
          <w:color w:val="auto"/>
        </w:rPr>
      </w:pPr>
    </w:p>
    <w:p>
      <w:pPr>
        <w:jc w:val="both"/>
        <w:ind w:firstLine="188"/>
        <w:spacing w:after="0" w:line="249" w:lineRule="auto"/>
        <w:rPr>
          <w:sz w:val="20"/>
          <w:szCs w:val="20"/>
          <w:color w:val="auto"/>
        </w:rPr>
      </w:pPr>
      <w:r>
        <w:rPr>
          <w:rFonts w:ascii="Arial" w:cs="Arial" w:eastAsia="Arial" w:hAnsi="Arial"/>
          <w:sz w:val="16"/>
          <w:szCs w:val="16"/>
          <w:color w:val="auto"/>
        </w:rPr>
        <w:t>Unbilled services as at December 31, 2020 increased by $5.9 million as compared to December 31, 2019. Unearned revenue increased by $293.9 million over the same period resulting in a decrease of $288.0 million in the net balance of unbilled services and unearned revenue or payments on account between December 31, 2019 and December 31, 2020.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recognized exceeds the amount billed to the customer.</w:t>
      </w:r>
    </w:p>
    <w:p>
      <w:pPr>
        <w:spacing w:after="0" w:line="232" w:lineRule="exact"/>
        <w:rPr>
          <w:sz w:val="20"/>
          <w:szCs w:val="20"/>
          <w:color w:val="auto"/>
        </w:rPr>
      </w:pPr>
    </w:p>
    <w:p>
      <w:pPr>
        <w:jc w:val="both"/>
        <w:ind w:right="20" w:firstLine="257"/>
        <w:spacing w:after="0" w:line="260" w:lineRule="auto"/>
        <w:rPr>
          <w:sz w:val="20"/>
          <w:szCs w:val="20"/>
          <w:color w:val="auto"/>
        </w:rPr>
      </w:pPr>
      <w:r>
        <w:rPr>
          <w:rFonts w:ascii="Arial" w:cs="Arial" w:eastAsia="Arial" w:hAnsi="Arial"/>
          <w:sz w:val="16"/>
          <w:szCs w:val="16"/>
          <w:color w:val="auto"/>
        </w:rPr>
        <w:t>The credit loss expense recognized on the Group's receivables and unbilled services was $2.9 million and $0.4 million for the twelve months ended December 31, 2020 and 2019, respectively.</w:t>
      </w:r>
    </w:p>
    <w:p>
      <w:pPr>
        <w:spacing w:after="0" w:line="222" w:lineRule="exact"/>
        <w:rPr>
          <w:sz w:val="20"/>
          <w:szCs w:val="20"/>
          <w:color w:val="auto"/>
        </w:rPr>
      </w:pPr>
    </w:p>
    <w:p>
      <w:pPr>
        <w:jc w:val="both"/>
        <w:ind w:firstLine="298"/>
        <w:spacing w:after="0" w:line="253" w:lineRule="auto"/>
        <w:rPr>
          <w:sz w:val="20"/>
          <w:szCs w:val="20"/>
          <w:color w:val="auto"/>
        </w:rPr>
      </w:pPr>
      <w:r>
        <w:rPr>
          <w:rFonts w:ascii="Arial" w:cs="Arial" w:eastAsia="Arial" w:hAnsi="Arial"/>
          <w:sz w:val="16"/>
          <w:szCs w:val="16"/>
          <w:color w:val="auto"/>
        </w:rPr>
        <w:t>As of December 31, 2020 approximately $6.3 billion of revenue is expected to be recognized in the future in respect of unsatisfied performance obligations. The Company expects to recognize revenue on approximately 42% of the unrealized performance obligation over the next twelve months, with the remainder recognized thereafter over the duration of the customer contracts.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Provision for Credit Losses</w:t>
      </w:r>
    </w:p>
    <w:p>
      <w:pPr>
        <w:spacing w:after="0" w:line="241" w:lineRule="exact"/>
        <w:rPr>
          <w:sz w:val="20"/>
          <w:szCs w:val="20"/>
          <w:color w:val="auto"/>
        </w:rPr>
      </w:pPr>
    </w:p>
    <w:p>
      <w:pPr>
        <w:jc w:val="both"/>
        <w:ind w:right="20" w:firstLine="184"/>
        <w:spacing w:after="0" w:line="260" w:lineRule="auto"/>
        <w:rPr>
          <w:sz w:val="20"/>
          <w:szCs w:val="20"/>
          <w:color w:val="auto"/>
        </w:rPr>
      </w:pPr>
      <w:r>
        <w:rPr>
          <w:rFonts w:ascii="Arial" w:cs="Arial" w:eastAsia="Arial" w:hAnsi="Arial"/>
          <w:sz w:val="16"/>
          <w:szCs w:val="16"/>
          <w:color w:val="auto"/>
        </w:rPr>
        <w:t>The Company does business with most major international pharmaceutical companies. Provision for credit losses at December 31, 2020 and provision for doubtful debts at December 31, 2019 comprises: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5400" w:type="dxa"/>
            <w:vAlign w:val="bottom"/>
            <w:tcBorders>
              <w:bottom w:val="single" w:sz="8" w:color="auto"/>
            </w:tcBorders>
            <w:shd w:val="clear" w:color="auto" w:fill="CCEEFF"/>
          </w:tcPr>
          <w:p>
            <w:pPr>
              <w:spacing w:after="0"/>
              <w:rPr>
                <w:sz w:val="18"/>
                <w:szCs w:val="18"/>
                <w:color w:val="auto"/>
              </w:rPr>
            </w:pPr>
          </w:p>
        </w:tc>
        <w:tc>
          <w:tcPr>
            <w:tcW w:w="3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09"/>
        </w:trPr>
        <w:tc>
          <w:tcPr>
            <w:tcW w:w="54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3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8,889</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Amounts used during the year</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(2,561)</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provided during the year</w:t>
            </w:r>
          </w:p>
        </w:tc>
        <w:tc>
          <w:tcPr>
            <w:tcW w:w="3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w:t>
            </w:r>
          </w:p>
        </w:tc>
      </w:tr>
      <w:tr>
        <w:trPr>
          <w:trHeight w:val="213"/>
        </w:trPr>
        <w:tc>
          <w:tcPr>
            <w:tcW w:w="5400" w:type="dxa"/>
            <w:vAlign w:val="bottom"/>
          </w:tcPr>
          <w:p>
            <w:pPr>
              <w:ind w:left="20"/>
              <w:spacing w:after="0"/>
              <w:rPr>
                <w:sz w:val="20"/>
                <w:szCs w:val="20"/>
                <w:color w:val="auto"/>
              </w:rPr>
            </w:pPr>
            <w:r>
              <w:rPr>
                <w:rFonts w:ascii="Arial" w:cs="Arial" w:eastAsia="Arial" w:hAnsi="Arial"/>
                <w:sz w:val="16"/>
                <w:szCs w:val="16"/>
                <w:color w:val="auto"/>
              </w:rPr>
              <w:t>Amounts released during the year</w:t>
            </w:r>
          </w:p>
        </w:tc>
        <w:tc>
          <w:tcPr>
            <w:tcW w:w="3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(3,226)</w:t>
            </w:r>
          </w:p>
        </w:tc>
      </w:tr>
      <w:tr>
        <w:trPr>
          <w:trHeight w:val="22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w:t>
            </w:r>
          </w:p>
        </w:tc>
        <w:tc>
          <w:tcPr>
            <w:tcW w:w="3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37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Closing provision</w:t>
            </w:r>
          </w:p>
        </w:tc>
        <w:tc>
          <w:tcPr>
            <w:tcW w:w="3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7,380</w:t>
            </w:r>
          </w:p>
        </w:tc>
      </w:tr>
      <w:tr>
        <w:trPr>
          <w:trHeight w:val="24"/>
        </w:trPr>
        <w:tc>
          <w:tcPr>
            <w:tcW w:w="54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Business Segment and Geographical Information</w:t>
      </w:r>
    </w:p>
    <w:p>
      <w:pPr>
        <w:spacing w:after="0" w:line="268" w:lineRule="exact"/>
        <w:rPr>
          <w:sz w:val="20"/>
          <w:szCs w:val="20"/>
          <w:color w:val="auto"/>
        </w:rPr>
      </w:pPr>
    </w:p>
    <w:p>
      <w:pPr>
        <w:jc w:val="both"/>
        <w:ind w:firstLine="334"/>
        <w:spacing w:after="0" w:line="24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predominately through internal growth, together with a number of strategic acquisitions to enhance its expertise and capabilities in certain areas of the clinical development process.</w:t>
      </w:r>
    </w:p>
    <w:p>
      <w:pPr>
        <w:spacing w:after="0" w:line="232" w:lineRule="exact"/>
        <w:rPr>
          <w:sz w:val="20"/>
          <w:szCs w:val="20"/>
          <w:color w:val="auto"/>
        </w:rPr>
      </w:pPr>
    </w:p>
    <w:p>
      <w:pPr>
        <w:jc w:val="both"/>
        <w:ind w:firstLine="188"/>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228" w:lineRule="exact"/>
        <w:rPr>
          <w:sz w:val="20"/>
          <w:szCs w:val="20"/>
          <w:color w:val="auto"/>
        </w:rPr>
      </w:pPr>
    </w:p>
    <w:p>
      <w:pPr>
        <w:jc w:val="both"/>
        <w:ind w:firstLine="227"/>
        <w:spacing w:after="0" w:line="260" w:lineRule="auto"/>
        <w:rPr>
          <w:sz w:val="20"/>
          <w:szCs w:val="20"/>
          <w:color w:val="auto"/>
        </w:rPr>
      </w:pPr>
      <w:r>
        <w:rPr>
          <w:rFonts w:ascii="Arial" w:cs="Arial" w:eastAsia="Arial" w:hAnsi="Arial"/>
          <w:sz w:val="16"/>
          <w:szCs w:val="16"/>
          <w:color w:val="auto"/>
        </w:rPr>
        <w:t>The Company operates as one business segment, which is the provision of outsourced development services on a global basis to the pharmaceutical, biotechnology and medical devices industries.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Revenues and income from operations in Ireland are a function of our global contracting model and the Group’s transfer 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1" w:name="page142"/>
    <w:bookmarkEnd w:id="141"/>
    <w:p>
      <w:pPr>
        <w:jc w:val="both"/>
        <w:ind w:firstLine="286"/>
        <w:spacing w:after="0" w:line="250" w:lineRule="auto"/>
        <w:rPr>
          <w:sz w:val="20"/>
          <w:szCs w:val="20"/>
          <w:color w:val="auto"/>
        </w:rPr>
      </w:pPr>
      <w:r>
        <w:rPr>
          <w:rFonts w:ascii="Arial" w:cs="Arial" w:eastAsia="Arial" w:hAnsi="Arial"/>
          <w:sz w:val="16"/>
          <w:szCs w:val="16"/>
          <w:color w:val="auto"/>
        </w:rPr>
        <w:t>Given ICON Clinical Research Limited's ("ICON Ireland") role in the development and management of the Group, it's ownership of key intellectual property, customer relationships, its key role in the mitigation of risks faced by the Group, plus the responsibility for maintaining the Group's global network, ICON Ireland acts as the Group entrepreneur and enters into the majority of the Group's customer contracts. As such, ICON Ireland remunerates most of the other operating entities ("cost plus service providers") in the ICON Group on the basis of a guaranteed cost plus mark-up for the services they perform in each of their local territories.</w:t>
      </w:r>
    </w:p>
    <w:p>
      <w:pPr>
        <w:spacing w:after="0" w:line="23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6"/>
          <w:szCs w:val="16"/>
          <w:color w:val="auto"/>
        </w:rPr>
        <w:t>The cost plus mark-up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200" w:lineRule="exact"/>
        <w:rPr>
          <w:sz w:val="20"/>
          <w:szCs w:val="20"/>
          <w:color w:val="auto"/>
        </w:rPr>
      </w:pPr>
    </w:p>
    <w:p>
      <w:pPr>
        <w:spacing w:after="0" w:line="219" w:lineRule="exact"/>
        <w:rPr>
          <w:sz w:val="20"/>
          <w:szCs w:val="20"/>
          <w:color w:val="auto"/>
        </w:rPr>
      </w:pPr>
    </w:p>
    <w:p>
      <w:pPr>
        <w:jc w:val="both"/>
        <w:ind w:firstLine="315"/>
        <w:spacing w:after="0" w:line="251" w:lineRule="auto"/>
        <w:rPr>
          <w:sz w:val="20"/>
          <w:szCs w:val="20"/>
          <w:color w:val="auto"/>
        </w:rPr>
      </w:pPr>
      <w:r>
        <w:rPr>
          <w:rFonts w:ascii="Arial" w:cs="Arial" w:eastAsia="Arial" w:hAnsi="Arial"/>
          <w:sz w:val="16"/>
          <w:szCs w:val="16"/>
          <w:color w:val="auto"/>
        </w:rPr>
        <w:t>Under this method, the residual operating profits (or losses) of the Group, once the cost plus service providers have been paid their respective intercompany service fee, are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229"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6"/>
          <w:szCs w:val="16"/>
          <w:color w:val="auto"/>
        </w:rPr>
        <w:t>The Company's areas of operation outside of Ireland include the United States, United Kingdom, Austria, Belgium, Bulgaria, Czech Republic, France, Germany, Hungary, Italy, Latvia, Poland, Portugal, Romania, Russia, Serbia, Spain, Sweden, The Netherlands, Turkey, Ukraine, Canada, Argentina, Brazil, Chile, Colombia, Mexico, Peru, China (including Hong Kong), India, Israel, Japan, Singapore, South Korea, The Philippines, Taiwan, Thailand, Australia, New Zealand and South Africa.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have been no changes to the basis of segmentation or the measurement basis for the segment results since the prior year.</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Reportable segment information at December 31, 2020 and December 31, 2019 and for the years ended December 31, 2020, December 31, 2019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The distribution of revenue by geographical area was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1,181,292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1,252,834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1,066,200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416,884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388,916</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379,883</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925,563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892,497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894,978</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273,549</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271,592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254,716</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2,797,288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2,805,839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2,595,777</w:t>
            </w:r>
          </w:p>
        </w:tc>
      </w:tr>
      <w:tr>
        <w:trPr>
          <w:trHeight w:val="23"/>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including restructuring, by geographical area was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276,478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314,287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257,089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36,280</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58,018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60,272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58,561</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21,239</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20,850</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21,427</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391,500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433,406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373,357</w:t>
            </w:r>
          </w:p>
        </w:tc>
      </w:tr>
      <w:tr>
        <w:trPr>
          <w:trHeight w:val="24"/>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c) The distribution of income from operations, excluding restructuring, by geographical area was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295,360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314,287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269,196</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36,904</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57,680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60,272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58,340</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20,850</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21,407</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409,589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433,406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385,847</w:t>
            </w:r>
          </w:p>
        </w:tc>
      </w:tr>
      <w:tr>
        <w:trPr>
          <w:trHeight w:val="24"/>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ind w:firstLine="8"/>
        <w:spacing w:after="0" w:line="260" w:lineRule="auto"/>
        <w:tabs>
          <w:tab w:leader="none" w:pos="199"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distribution of long-lived assets (including operating right-of-use assets (year ended December 31, 2020 and 2019)), net, by geographical area was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4720" w:type="dxa"/>
            <w:vAlign w:val="bottom"/>
            <w:tcBorders>
              <w:bottom w:val="single" w:sz="8" w:color="auto"/>
            </w:tcBorders>
            <w:shd w:val="clear" w:color="auto" w:fill="CCEEFF"/>
          </w:tcPr>
          <w:p>
            <w:pPr>
              <w:spacing w:after="0"/>
              <w:rPr>
                <w:sz w:val="18"/>
                <w:szCs w:val="18"/>
                <w:color w:val="auto"/>
              </w:rPr>
            </w:pPr>
          </w:p>
        </w:tc>
        <w:tc>
          <w:tcPr>
            <w:tcW w:w="38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r>
      <w:tr>
        <w:trPr>
          <w:trHeight w:val="209"/>
        </w:trPr>
        <w:tc>
          <w:tcPr>
            <w:tcW w:w="47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118,361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110,522</w:t>
            </w: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36,723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41,970</w:t>
            </w: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65,152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72,578</w:t>
            </w:r>
          </w:p>
        </w:tc>
      </w:tr>
      <w:tr>
        <w:trPr>
          <w:trHeight w:val="22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44,994</w:t>
            </w:r>
          </w:p>
        </w:tc>
      </w:tr>
      <w:tr>
        <w:trPr>
          <w:trHeight w:val="400"/>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258,904</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270,064</w:t>
            </w:r>
          </w:p>
        </w:tc>
      </w:tr>
      <w:tr>
        <w:trPr>
          <w:trHeight w:val="20"/>
        </w:trPr>
        <w:tc>
          <w:tcPr>
            <w:tcW w:w="47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20" w:firstLine="8"/>
        <w:spacing w:after="0" w:line="260" w:lineRule="auto"/>
        <w:tabs>
          <w:tab w:leader="none" w:pos="19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distribution of depreciation, amortization and reduction in carrying value of operating right-of-use assets (year ended December 31, 2020 and 2019 only) by geographical area was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20" w:type="dxa"/>
            <w:vAlign w:val="bottom"/>
            <w:gridSpan w:val="2"/>
          </w:tcPr>
          <w:p>
            <w:pPr>
              <w:jc w:val="right"/>
              <w:ind w:right="20"/>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33,516</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30,635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33,922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11,872</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12,995</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100,017</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91,922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65,916</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6900" w:type="dxa"/>
            <w:vAlign w:val="bottom"/>
          </w:tcPr>
          <w:p>
            <w:pPr>
              <w:spacing w:after="0"/>
              <w:rPr>
                <w:sz w:val="20"/>
                <w:szCs w:val="20"/>
                <w:color w:val="auto"/>
              </w:rPr>
            </w:pPr>
            <w:r>
              <w:rPr>
                <w:rFonts w:ascii="Arial" w:cs="Arial" w:eastAsia="Arial" w:hAnsi="Arial"/>
                <w:sz w:val="16"/>
                <w:szCs w:val="16"/>
                <w:color w:val="auto"/>
              </w:rPr>
              <w:t>f) The distribution of total assets by geographical area was as follows: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3"/>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Year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1,675,980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1,323,181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671,218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909,202</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179,206</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3,435,606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11"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type w:val="continuous"/>
        </w:sectPr>
      </w:pPr>
    </w:p>
    <w:bookmarkStart w:id="143" w:name="page144"/>
    <w:bookmarkEnd w:id="143"/>
    <w:p>
      <w:pPr>
        <w:ind w:firstLine="8"/>
        <w:spacing w:after="0" w:line="260" w:lineRule="auto"/>
        <w:tabs>
          <w:tab w:leader="none" w:pos="2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distribution of capital expenditures (including operating right-of-use assets (year ended December 31, 2020 and 2019 only)) by geographical area was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5"/>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29,309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32,526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30,942</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14,347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18,638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9,311</w:t>
            </w:r>
          </w:p>
        </w:tc>
      </w:tr>
      <w:tr>
        <w:trPr>
          <w:trHeight w:val="226"/>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10,201</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15,010</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5,554</w:t>
            </w:r>
          </w:p>
        </w:tc>
      </w:tr>
      <w:tr>
        <w:trPr>
          <w:trHeight w:val="375"/>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80,145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48,397</w:t>
            </w:r>
          </w:p>
        </w:tc>
      </w:tr>
      <w:tr>
        <w:trPr>
          <w:trHeight w:val="23"/>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h) The following table sets forth the clients which represented 10% or more of the Company's revenue in each of the periods set out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209"/>
        </w:trPr>
        <w:tc>
          <w:tcPr>
            <w:tcW w:w="6620" w:type="dxa"/>
            <w:vAlign w:val="bottom"/>
          </w:tcPr>
          <w:p>
            <w:pPr>
              <w:spacing w:after="0"/>
              <w:rPr>
                <w:sz w:val="18"/>
                <w:szCs w:val="18"/>
                <w:color w:val="auto"/>
              </w:rPr>
            </w:pPr>
          </w:p>
        </w:tc>
        <w:tc>
          <w:tcPr>
            <w:tcW w:w="4620" w:type="dxa"/>
            <w:vAlign w:val="bottom"/>
            <w:gridSpan w:val="7"/>
          </w:tcPr>
          <w:p>
            <w:pPr>
              <w:jc w:val="right"/>
              <w:spacing w:after="0"/>
              <w:rPr>
                <w:sz w:val="20"/>
                <w:szCs w:val="20"/>
                <w:color w:val="auto"/>
              </w:rPr>
            </w:pPr>
            <w:r>
              <w:rPr>
                <w:rFonts w:ascii="Arial" w:cs="Arial" w:eastAsia="Arial" w:hAnsi="Arial"/>
                <w:sz w:val="16"/>
                <w:szCs w:val="16"/>
                <w:b w:val="1"/>
                <w:bCs w:val="1"/>
                <w:color w:val="auto"/>
              </w:rPr>
              <w:t>December 31, 2020 December 31, 2019 December 31, 2018</w:t>
            </w:r>
          </w:p>
        </w:tc>
      </w:tr>
      <w:tr>
        <w:trPr>
          <w:trHeight w:val="217"/>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 A</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12 %</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Client B</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&lt;10%</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10 %</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&lt;10%</w:t>
            </w:r>
          </w:p>
        </w:tc>
      </w:tr>
      <w:tr>
        <w:trPr>
          <w:trHeight w:val="534"/>
        </w:trPr>
        <w:tc>
          <w:tcPr>
            <w:tcW w:w="6620" w:type="dxa"/>
            <w:vAlign w:val="bottom"/>
          </w:tcPr>
          <w:p>
            <w:pPr>
              <w:spacing w:after="0"/>
              <w:rPr>
                <w:sz w:val="20"/>
                <w:szCs w:val="20"/>
                <w:color w:val="auto"/>
              </w:rPr>
            </w:pPr>
            <w:r>
              <w:rPr>
                <w:rFonts w:ascii="Arial" w:cs="Arial" w:eastAsia="Arial" w:hAnsi="Arial"/>
                <w:sz w:val="16"/>
                <w:szCs w:val="16"/>
                <w:color w:val="auto"/>
              </w:rPr>
              <w:t>i) The distribution of interest income by geographical area was as follows: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3"/>
        </w:trPr>
        <w:tc>
          <w:tcPr>
            <w:tcW w:w="6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5"/>
        </w:trPr>
        <w:tc>
          <w:tcPr>
            <w:tcW w:w="6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r>
      <w:tr>
        <w:trPr>
          <w:trHeight w:val="217"/>
        </w:trPr>
        <w:tc>
          <w:tcPr>
            <w:tcW w:w="6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Ireland</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3,674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2,620</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U.S.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26"/>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37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6,859</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4,759</w:t>
            </w:r>
          </w:p>
        </w:tc>
      </w:tr>
      <w:tr>
        <w:trPr>
          <w:trHeight w:val="23"/>
        </w:trPr>
        <w:tc>
          <w:tcPr>
            <w:tcW w:w="6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73"/>
        </w:trPr>
        <w:tc>
          <w:tcPr>
            <w:tcW w:w="6620" w:type="dxa"/>
            <w:vAlign w:val="bottom"/>
          </w:tcPr>
          <w:p>
            <w:pPr>
              <w:spacing w:after="0"/>
              <w:rPr>
                <w:sz w:val="20"/>
                <w:szCs w:val="20"/>
                <w:color w:val="auto"/>
              </w:rPr>
            </w:pPr>
            <w:r>
              <w:rPr>
                <w:rFonts w:ascii="Arial" w:cs="Arial" w:eastAsia="Arial" w:hAnsi="Arial"/>
                <w:sz w:val="16"/>
                <w:szCs w:val="16"/>
                <w:color w:val="auto"/>
              </w:rPr>
              <w:t>j) The distribution of the income tax charge by geographical area was as follows: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3"/>
        </w:trPr>
        <w:tc>
          <w:tcPr>
            <w:tcW w:w="6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5"/>
        </w:trPr>
        <w:tc>
          <w:tcPr>
            <w:tcW w:w="6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r>
      <w:tr>
        <w:trPr>
          <w:trHeight w:val="156"/>
        </w:trPr>
        <w:tc>
          <w:tcPr>
            <w:tcW w:w="6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3"/>
                <w:szCs w:val="13"/>
                <w:color w:val="auto"/>
              </w:rPr>
            </w:pPr>
          </w:p>
        </w:tc>
        <w:tc>
          <w:tcPr>
            <w:tcW w:w="132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r>
      <w:tr>
        <w:trPr>
          <w:trHeight w:val="215"/>
        </w:trPr>
        <w:tc>
          <w:tcPr>
            <w:tcW w:w="6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r>
      <w:tr>
        <w:trPr>
          <w:trHeight w:val="210"/>
        </w:trPr>
        <w:tc>
          <w:tcPr>
            <w:tcW w:w="6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Ireland</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30,616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38,788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29,096</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13"/>
        </w:trPr>
        <w:tc>
          <w:tcPr>
            <w:tcW w:w="6620" w:type="dxa"/>
            <w:vAlign w:val="bottom"/>
          </w:tcPr>
          <w:p>
            <w:pPr>
              <w:ind w:left="20"/>
              <w:spacing w:after="0"/>
              <w:rPr>
                <w:sz w:val="20"/>
                <w:szCs w:val="20"/>
                <w:color w:val="auto"/>
              </w:rPr>
            </w:pPr>
            <w:r>
              <w:rPr>
                <w:rFonts w:ascii="Arial" w:cs="Arial" w:eastAsia="Arial" w:hAnsi="Arial"/>
                <w:sz w:val="16"/>
                <w:szCs w:val="16"/>
                <w:color w:val="auto"/>
              </w:rPr>
              <w:t>U.S.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3,761</w:t>
            </w:r>
          </w:p>
        </w:tc>
      </w:tr>
      <w:tr>
        <w:trPr>
          <w:trHeight w:val="226"/>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5,050</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9,535</w:t>
            </w:r>
          </w:p>
        </w:tc>
      </w:tr>
      <w:tr>
        <w:trPr>
          <w:trHeight w:val="37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51,133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41,958</w:t>
            </w:r>
          </w:p>
        </w:tc>
      </w:tr>
      <w:tr>
        <w:trPr>
          <w:trHeight w:val="24"/>
        </w:trPr>
        <w:tc>
          <w:tcPr>
            <w:tcW w:w="6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20"/>
                <w:szCs w:val="20"/>
                <w:color w:val="auto"/>
              </w:rPr>
            </w:pPr>
            <w:r>
              <w:rPr>
                <w:rFonts w:ascii="Arial" w:cs="Arial" w:eastAsia="Arial" w:hAnsi="Arial"/>
                <w:sz w:val="16"/>
                <w:szCs w:val="16"/>
                <w:b w:val="1"/>
                <w:bCs w:val="1"/>
                <w:color w:val="auto"/>
              </w:rPr>
              <w:t>20. Supplemental Disclosure of Cash Flow Information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20" w:type="dxa"/>
            <w:vAlign w:val="bottom"/>
            <w:gridSpan w:val="2"/>
          </w:tcPr>
          <w:p>
            <w:pPr>
              <w:jc w:val="right"/>
              <w:ind w:right="20"/>
              <w:spacing w:after="0" w:line="156"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6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4"/>
        </w:trPr>
        <w:tc>
          <w:tcPr>
            <w:tcW w:w="6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paid for interest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13,059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13,060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27,604</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29,836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18,558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6900" w:type="dxa"/>
            <w:vAlign w:val="bottom"/>
          </w:tcPr>
          <w:p>
            <w:pPr>
              <w:spacing w:after="0"/>
              <w:rPr>
                <w:sz w:val="20"/>
                <w:szCs w:val="20"/>
                <w:color w:val="auto"/>
              </w:rPr>
            </w:pPr>
            <w:r>
              <w:rPr>
                <w:rFonts w:ascii="Arial" w:cs="Arial" w:eastAsia="Arial" w:hAnsi="Arial"/>
                <w:sz w:val="16"/>
                <w:szCs w:val="16"/>
                <w:b w:val="1"/>
                <w:bCs w:val="1"/>
                <w:color w:val="auto"/>
              </w:rPr>
              <w:t>21. Accumulated Other Comprehensive Income</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6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gridSpan w:val="3"/>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gridSpan w:val="3"/>
            <w:shd w:val="clear" w:color="auto" w:fill="CCEEFF"/>
          </w:tcPr>
          <w:p>
            <w:pPr>
              <w:jc w:val="center"/>
              <w:ind w:right="78"/>
              <w:spacing w:after="0"/>
              <w:rPr>
                <w:sz w:val="20"/>
                <w:szCs w:val="20"/>
                <w:color w:val="auto"/>
              </w:rPr>
            </w:pPr>
            <w:r>
              <w:rPr>
                <w:rFonts w:ascii="Arial" w:cs="Arial" w:eastAsia="Arial" w:hAnsi="Arial"/>
                <w:sz w:val="16"/>
                <w:szCs w:val="16"/>
                <w:b w:val="1"/>
                <w:bCs w:val="1"/>
                <w:color w:val="auto"/>
                <w:w w:val="99"/>
              </w:rPr>
              <w:t>Year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jc w:val="center"/>
              <w:ind w:right="78"/>
              <w:spacing w:after="0"/>
              <w:rPr>
                <w:sz w:val="20"/>
                <w:szCs w:val="20"/>
                <w:color w:val="auto"/>
              </w:rPr>
            </w:pPr>
            <w:r>
              <w:rPr>
                <w:rFonts w:ascii="Arial" w:cs="Arial" w:eastAsia="Arial" w:hAnsi="Arial"/>
                <w:sz w:val="16"/>
                <w:szCs w:val="16"/>
                <w:b w:val="1"/>
                <w:bCs w:val="1"/>
                <w:color w:val="auto"/>
                <w:w w:val="99"/>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Currency translation adjustments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(15,894)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impact on long term funding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(9,329)</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(7,726)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Actuarial loss on defined benefit pension plan (note 9)</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ind w:left="740"/>
              <w:spacing w:after="0"/>
              <w:rPr>
                <w:sz w:val="20"/>
                <w:szCs w:val="20"/>
                <w:color w:val="auto"/>
              </w:rPr>
            </w:pPr>
            <w:r>
              <w:rPr>
                <w:rFonts w:ascii="Arial" w:cs="Arial" w:eastAsia="Arial" w:hAnsi="Arial"/>
                <w:sz w:val="16"/>
                <w:szCs w:val="16"/>
                <w:color w:val="auto"/>
              </w:rPr>
              <w:t>(9,364)</w:t>
            </w:r>
          </w:p>
        </w:tc>
        <w:tc>
          <w:tcPr>
            <w:tcW w:w="240" w:type="dxa"/>
            <w:vAlign w:val="bottom"/>
          </w:tcPr>
          <w:p>
            <w:pPr>
              <w:spacing w:after="0"/>
              <w:rPr>
                <w:sz w:val="18"/>
                <w:szCs w:val="18"/>
                <w:color w:val="auto"/>
              </w:rPr>
            </w:pPr>
          </w:p>
        </w:tc>
        <w:tc>
          <w:tcPr>
            <w:tcW w:w="1200" w:type="dxa"/>
            <w:vAlign w:val="bottom"/>
          </w:tcPr>
          <w:p>
            <w:pPr>
              <w:ind w:left="660"/>
              <w:spacing w:after="0"/>
              <w:rPr>
                <w:sz w:val="20"/>
                <w:szCs w:val="20"/>
                <w:color w:val="auto"/>
              </w:rPr>
            </w:pPr>
            <w:r>
              <w:rPr>
                <w:rFonts w:ascii="Arial" w:cs="Arial" w:eastAsia="Arial" w:hAnsi="Arial"/>
                <w:sz w:val="16"/>
                <w:szCs w:val="16"/>
                <w:color w:val="auto"/>
              </w:rPr>
              <w:t>(5,226)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capital gain – investments (note 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Realized gain on interest rate hedge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4,658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gain on interest rate hedge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(4,658)</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(3,733)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6"/>
                <w:szCs w:val="16"/>
                <w:color w:val="auto"/>
              </w:rPr>
              <w:t>Loss on interest rate hedge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loss on interest rate hedge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6900" w:type="dxa"/>
            <w:vAlign w:val="bottom"/>
          </w:tcPr>
          <w:p>
            <w:pPr>
              <w:spacing w:after="0"/>
              <w:rPr>
                <w:sz w:val="20"/>
                <w:szCs w:val="20"/>
                <w:color w:val="auto"/>
              </w:rPr>
            </w:pPr>
            <w:r>
              <w:rPr>
                <w:rFonts w:ascii="Arial" w:cs="Arial" w:eastAsia="Arial" w:hAnsi="Arial"/>
                <w:sz w:val="16"/>
                <w:szCs w:val="16"/>
                <w:b w:val="1"/>
                <w:bCs w:val="1"/>
                <w:color w:val="auto"/>
              </w:rPr>
              <w:t>22. Operating leases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900" w:type="dxa"/>
            <w:vAlign w:val="bottom"/>
          </w:tcPr>
          <w:p>
            <w:pPr>
              <w:ind w:left="180"/>
              <w:spacing w:after="0"/>
              <w:rPr>
                <w:sz w:val="20"/>
                <w:szCs w:val="20"/>
                <w:color w:val="auto"/>
              </w:rPr>
            </w:pPr>
            <w:r>
              <w:rPr>
                <w:rFonts w:ascii="Arial" w:cs="Arial" w:eastAsia="Arial" w:hAnsi="Arial"/>
                <w:sz w:val="16"/>
                <w:szCs w:val="16"/>
                <w:color w:val="auto"/>
              </w:rPr>
              <w:t>Lease costs recorded under operating leases were as follows: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gridSpan w:val="4"/>
            <w:shd w:val="clear" w:color="auto" w:fill="CCEEFF"/>
          </w:tcPr>
          <w:p>
            <w:pPr>
              <w:ind w:left="88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156"/>
        </w:trPr>
        <w:tc>
          <w:tcPr>
            <w:tcW w:w="6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6" w:lineRule="exact"/>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3"/>
                <w:szCs w:val="13"/>
                <w:color w:val="auto"/>
              </w:rPr>
            </w:pPr>
          </w:p>
        </w:tc>
        <w:tc>
          <w:tcPr>
            <w:tcW w:w="1220" w:type="dxa"/>
            <w:vAlign w:val="bottom"/>
            <w:gridSpan w:val="2"/>
          </w:tcPr>
          <w:p>
            <w:pPr>
              <w:jc w:val="right"/>
              <w:ind w:right="20"/>
              <w:spacing w:after="0" w:line="156"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6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gridSpan w:val="4"/>
            <w:shd w:val="clear" w:color="auto" w:fill="CCEEFF"/>
          </w:tcPr>
          <w:p>
            <w:pPr>
              <w:ind w:left="76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740"/>
              <w:spacing w:after="0"/>
              <w:rPr>
                <w:sz w:val="20"/>
                <w:szCs w:val="20"/>
                <w:color w:val="auto"/>
              </w:rPr>
            </w:pPr>
            <w:r>
              <w:rPr>
                <w:rFonts w:ascii="Arial" w:cs="Arial" w:eastAsia="Arial" w:hAnsi="Arial"/>
                <w:sz w:val="16"/>
                <w:szCs w:val="16"/>
                <w:color w:val="auto"/>
              </w:rPr>
              <w:t>31,088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34,759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from sub-leases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w w:val="96"/>
              </w:rPr>
              <w:t>(940)</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234"/>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operating lease costs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30,148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32,998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Of the total cost of $30.1 million incurred in the year ended December 31, 2020, $27.6 million is recorded within selling, general and administration costs and $2.5 million is recorded within direct costs. Of the total cost of $33.0 million incurred in the year ended December 31, 2019, $30.5 million is recorded within selling, general and administration costs and $2.5 million is recorded within direct costs.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During the years ended December 31, 2020 and December 31, 2019, the Group did not incur any costs related to variable lease payments.</w:t>
      </w:r>
    </w:p>
    <w:p>
      <w:pPr>
        <w:spacing w:after="0" w:line="167" w:lineRule="exact"/>
        <w:rPr>
          <w:sz w:val="20"/>
          <w:szCs w:val="20"/>
          <w:color w:val="auto"/>
        </w:rPr>
      </w:pPr>
    </w:p>
    <w:p>
      <w:pPr>
        <w:jc w:val="both"/>
        <w:ind w:firstLine="187"/>
        <w:spacing w:after="0" w:line="249" w:lineRule="auto"/>
        <w:rPr>
          <w:sz w:val="20"/>
          <w:szCs w:val="20"/>
          <w:color w:val="auto"/>
        </w:rPr>
      </w:pPr>
      <w:r>
        <w:rPr>
          <w:rFonts w:ascii="Arial" w:cs="Arial" w:eastAsia="Arial" w:hAnsi="Arial"/>
          <w:sz w:val="16"/>
          <w:szCs w:val="16"/>
          <w:color w:val="auto"/>
        </w:rPr>
        <w:t xml:space="preserve">The adoption of ASC 842 resulted in the recognition of operating right-of-use assets and lease liabilities of $106.5 million at January 1, 2019. Right-of-use assets obtained, in exchange for lease obligations, net of early termination options now reasonably certain to be exercised, during the years ended December 31, 2020 and December 31, 2019 totaled $12.1 million and $29.5 million, respectively. During the year ended December 31, 2020, office consolidations resulted in the recognition of an onerous lease obligation. The right-of-use assets related to these offices have been impaired to the extent they are considered onerous and a loss of $5.4 million was recorded (see </w:t>
      </w:r>
      <w:r>
        <w:rPr>
          <w:rFonts w:ascii="Arial" w:cs="Arial" w:eastAsia="Arial" w:hAnsi="Arial"/>
          <w:sz w:val="16"/>
          <w:szCs w:val="16"/>
          <w:i w:val="1"/>
          <w:iCs w:val="1"/>
          <w:color w:val="auto"/>
        </w:rPr>
        <w:t>note 14 - Restructuring charges</w:t>
      </w:r>
      <w:r>
        <w:rPr>
          <w:rFonts w:ascii="Arial" w:cs="Arial" w:eastAsia="Arial" w:hAnsi="Arial"/>
          <w:sz w:val="16"/>
          <w:szCs w:val="16"/>
          <w:color w:val="auto"/>
        </w:rPr>
        <w:t>). No impairment losses were recognized during the year ended December 31, 2019.</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December 31, 2020 were 4.45 years and 2.53%,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and weighted-average discount rate at December 31, 2019 were 5.19 years and 2.91%, respectively.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Future minimum lease payments under non-cancelable leases as of December 31, 2020 were as follows: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r>
      <w:tr>
        <w:trPr>
          <w:trHeight w:val="215"/>
        </w:trPr>
        <w:tc>
          <w:tcPr>
            <w:tcW w:w="58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58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(in thousands)</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2021</w:t>
            </w:r>
          </w:p>
        </w:tc>
        <w:tc>
          <w:tcPr>
            <w:tcW w:w="3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26,164</w:t>
            </w:r>
          </w:p>
        </w:tc>
      </w:tr>
      <w:tr>
        <w:trPr>
          <w:trHeight w:val="219"/>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3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21,510</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2023</w:t>
            </w:r>
          </w:p>
        </w:tc>
        <w:tc>
          <w:tcPr>
            <w:tcW w:w="3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16,108</w:t>
            </w:r>
          </w:p>
        </w:tc>
      </w:tr>
      <w:tr>
        <w:trPr>
          <w:trHeight w:val="219"/>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34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10,165</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2025</w:t>
            </w:r>
          </w:p>
        </w:tc>
        <w:tc>
          <w:tcPr>
            <w:tcW w:w="3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6,046</w:t>
            </w:r>
          </w:p>
        </w:tc>
      </w:tr>
      <w:tr>
        <w:trPr>
          <w:trHeight w:val="226"/>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Thereafter</w:t>
            </w:r>
          </w:p>
        </w:tc>
        <w:tc>
          <w:tcPr>
            <w:tcW w:w="34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10,490</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Total future minimum lease payments</w:t>
            </w:r>
          </w:p>
        </w:tc>
        <w:tc>
          <w:tcPr>
            <w:tcW w:w="3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90,483</w:t>
            </w:r>
          </w:p>
        </w:tc>
      </w:tr>
      <w:tr>
        <w:trPr>
          <w:trHeight w:val="226"/>
        </w:trPr>
        <w:tc>
          <w:tcPr>
            <w:tcW w:w="5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Lease imputed interest</w:t>
            </w:r>
          </w:p>
        </w:tc>
        <w:tc>
          <w:tcPr>
            <w:tcW w:w="34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(5,348)</w:t>
            </w:r>
          </w:p>
        </w:tc>
      </w:tr>
      <w:tr>
        <w:trPr>
          <w:trHeight w:val="213"/>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3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85,135</w:t>
            </w:r>
          </w:p>
        </w:tc>
      </w:tr>
      <w:tr>
        <w:trPr>
          <w:trHeight w:val="23"/>
        </w:trPr>
        <w:tc>
          <w:tcPr>
            <w:tcW w:w="58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18" w:lineRule="exact"/>
        <w:rPr>
          <w:sz w:val="20"/>
          <w:szCs w:val="20"/>
          <w:color w:val="auto"/>
        </w:rPr>
      </w:pPr>
    </w:p>
    <w:p>
      <w:pPr>
        <w:jc w:val="both"/>
        <w:ind w:right="20" w:firstLine="232"/>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$24.3 million and $28.3 million have been included in other liabilities as at December 31, 2020 and December 31, 2019,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Debt – Senior Notes</w:t>
      </w:r>
    </w:p>
    <w:p>
      <w:pPr>
        <w:spacing w:after="0" w:line="25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As at December 31, 2020 and December 31, 2019, the Company had an outstanding principal amount of indebtedness of $350.0 million under a $350.0 million Note Purchase and Guarantee Agreement. On December 15, 2015, ICON Investments Five Unlimited Company issued Senior Notes, '2015 Senior Notes' for aggregate gross proceeds of $350.0 million in a private placement. The 2015 Senior Notes matured on December 15, 2020 and this debt was repaid in full. On December 8, 2020, ICON Investments Five Unlimited Company issued new senior notes, '2020 Senior Notes' for aggregate gross proceeds of $350.0 million in a private placement which was guaranteed by ICON plc and ICON Global Treasury Unlimited Company, a subsidiary of the Company. The 2020 Senior Notes were issued in two tranches; Series A Notes of $275.0 million which will mature on December 8, 2023 and Series B Notes of $75.0 million which will mature on December 8, 2025.</w:t>
      </w:r>
    </w:p>
    <w:p>
      <w:pPr>
        <w:spacing w:after="0" w:line="24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The interest rate in respect of the 2015 Senior Notes was fixed at 3.64% for the five year term. The interest cost was recognized in interest expense in the period since drawdown. In October 2015, the Company entered into an interest rate hedge in respect of the planned issuance of the 2015 Senior Notes in December 2015. The interest rate hedge matured in November 2015 when the interest rate on the 2015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cash proceeds ($4.6 million), representing the realized gain on the interest rate hedge, were received on maturity in November 2015 and are recorded within Other Comprehensive Income. The realized gain was amortized to the Consolidated Statements of Operations over the term of the 2015 Senior Notes (net against interest payable).</w:t>
      </w:r>
    </w:p>
    <w:p>
      <w:pPr>
        <w:spacing w:after="0" w:line="21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 xml:space="preserve">The interest rate in respect of the 2020 Senior Notes is fixed at 2.32% and 2.43% for Series A Notes and Series B Notes respectively. The interest is payable semi-annually on the 2020 Senior Notes on each June 8 and December 8; this will commence on June 8, 2021 and the interest cost in the period since drawdown was recognized in interest expense. The Company entered into an interest rate hedge in respect of the planned issuance of the 2020 Senior Notes in June 2020. The interest rate hedge matured in July 2020 when the interest rates on the 2020 Senior Notes were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There was a cash outflow ($0.9 million) on maturity in July 2020, representing the realized loss on the interest rate hedge. This was recorded within Other Comprehensive Income and the realized loss is amortized to the Consolidated Statement of Operations over the term of the 2020 Senior Notes.</w:t>
      </w:r>
    </w:p>
    <w:p>
      <w:pPr>
        <w:spacing w:after="0" w:line="2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6"/>
          <w:szCs w:val="16"/>
          <w:color w:val="auto"/>
        </w:rPr>
        <w:t>The 2020 Senior Notes agreement also includes certain financial covenants that require compliance with a consolidated leverage ratio and a maximum amount of priority debt, each of which are defined in the Note Purchase and Guarantee Agreement. The Company was in compliance with these covenants at December 31, 2020.</w:t>
      </w:r>
    </w:p>
    <w:p>
      <w:pPr>
        <w:spacing w:after="0" w:line="228" w:lineRule="exact"/>
        <w:rPr>
          <w:sz w:val="20"/>
          <w:szCs w:val="20"/>
          <w:color w:val="auto"/>
        </w:rPr>
      </w:pPr>
    </w:p>
    <w:p>
      <w:pPr>
        <w:jc w:val="both"/>
        <w:ind w:right="20" w:firstLine="222"/>
        <w:spacing w:after="0" w:line="260" w:lineRule="auto"/>
        <w:rPr>
          <w:sz w:val="20"/>
          <w:szCs w:val="20"/>
          <w:color w:val="auto"/>
        </w:rPr>
      </w:pPr>
      <w:r>
        <w:rPr>
          <w:rFonts w:ascii="Arial" w:cs="Arial" w:eastAsia="Arial" w:hAnsi="Arial"/>
          <w:sz w:val="16"/>
          <w:szCs w:val="16"/>
          <w:color w:val="auto"/>
        </w:rPr>
        <w:t>The Senior Notes have not been registered under the Securities Act of 1933, as amended, and may not be offered or sold in the United States absent registration or an applicable exemption from registration requirements.</w:t>
      </w:r>
    </w:p>
    <w:p>
      <w:pPr>
        <w:spacing w:after="0" w:line="209" w:lineRule="exact"/>
        <w:rPr>
          <w:sz w:val="20"/>
          <w:szCs w:val="20"/>
          <w:color w:val="auto"/>
        </w:rPr>
      </w:pPr>
    </w:p>
    <w:p>
      <w:pPr>
        <w:ind w:right="160" w:firstLine="648"/>
        <w:spacing w:after="0" w:line="242" w:lineRule="auto"/>
        <w:rPr>
          <w:sz w:val="20"/>
          <w:szCs w:val="20"/>
          <w:color w:val="auto"/>
        </w:rPr>
      </w:pPr>
      <w:r>
        <w:rPr>
          <w:rFonts w:ascii="Arial" w:cs="Arial" w:eastAsia="Arial" w:hAnsi="Arial"/>
          <w:sz w:val="16"/>
          <w:szCs w:val="16"/>
          <w:color w:val="auto"/>
        </w:rPr>
        <w:t>We hereby agree to furnish to the SEC, upon its request, a copy of any instrument defining the rights of holders of long-term debt of the Company or of its subsidiaries for which consolidated or unconsolidated financial statements are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color w:val="auto"/>
        </w:rPr>
        <w:t>24. Impact of New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adopted during fiscal year ended December 31, 2020 (or previously)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Measurement of Credit Losses on Financial Instruments</w:t>
      </w:r>
    </w:p>
    <w:p>
      <w:pPr>
        <w:spacing w:after="0" w:line="23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 (Topic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previous incurred loss impairment approach with a methodology to reflect expected credit losses and requires consideration of a broader range of reasonable and supportable information to explain credit loss estimates. The updated guidance was applied on a modified retrospective approach and was effective for the Group for fiscal years, and interim periods within those fiscal years, beginning after December 15, 2019. The adoption of ASU 2016-13 did not have a significant impact on the financial statements.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Fair Value Measurement</w:t>
      </w:r>
    </w:p>
    <w:p>
      <w:pPr>
        <w:spacing w:after="0" w:line="23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 Disclosure Framework (Topic 820)'</w:t>
      </w:r>
      <w:r>
        <w:rPr>
          <w:rFonts w:ascii="Arial" w:cs="Arial" w:eastAsia="Arial" w:hAnsi="Arial"/>
          <w:sz w:val="16"/>
          <w:szCs w:val="16"/>
          <w:color w:val="auto"/>
        </w:rPr>
        <w:t>. The updated guidance requires entities to disclose changes in unrealized gains and losses for the period included in other comprehensive income for recurring Level 3 fair value measurements and the range and weighted average of significant unobservable inputs used to develop Level 3 fair value measurements. Amendments in this guidance also require disclosure of transfers into and out of Level 3 of the fair value hierarchy, purchases and issues of Level 3 assets and liabilities, and clarify that the measurement uncertainty disclosure is about the uncertainty in measurement as of the reporting date. The guidance removed requirements to disclose the amounts and reasons for transfers between Level 1 and Level 2, policy for timing between of transfers between levels, and the valuation processes for Level 3 fair value measurements. The updated guidance is effective for the Group for fiscal years, and interim periods within those fiscal years, beginning after December 15, 2019. The adoption of ASU 2018-13 did not have a significant impact on the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Other Pronouncements</w:t>
      </w:r>
    </w:p>
    <w:p>
      <w:pPr>
        <w:spacing w:after="0" w:line="197" w:lineRule="exact"/>
        <w:rPr>
          <w:sz w:val="20"/>
          <w:szCs w:val="20"/>
          <w:color w:val="auto"/>
        </w:rPr>
      </w:pPr>
    </w:p>
    <w:p>
      <w:pPr>
        <w:jc w:val="both"/>
        <w:ind w:firstLine="260"/>
        <w:spacing w:after="0" w:line="242" w:lineRule="auto"/>
        <w:rPr>
          <w:sz w:val="20"/>
          <w:szCs w:val="20"/>
          <w:color w:val="auto"/>
        </w:rPr>
      </w:pPr>
      <w:r>
        <w:rPr>
          <w:rFonts w:ascii="Arial" w:cs="Arial" w:eastAsia="Arial" w:hAnsi="Arial"/>
          <w:sz w:val="16"/>
          <w:szCs w:val="16"/>
          <w:color w:val="auto"/>
        </w:rPr>
        <w:t>We have reviewed the FASB issued Accounting Standards Update (ASU) accounting pronouncements and interpretations thereof that have effective dates during the periods reported. The following relevant ASUs have also been adopted in 2020:</w:t>
      </w:r>
    </w:p>
    <w:p>
      <w:pPr>
        <w:spacing w:after="0" w:line="2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 xml:space="preserve">ASU 2020-04 </w:t>
      </w:r>
      <w:r>
        <w:rPr>
          <w:rFonts w:ascii="Arial" w:cs="Arial" w:eastAsia="Arial" w:hAnsi="Arial"/>
          <w:sz w:val="16"/>
          <w:szCs w:val="16"/>
          <w:i w:val="1"/>
          <w:iCs w:val="1"/>
          <w:color w:val="auto"/>
        </w:rPr>
        <w:t>'Reference Rate Reform (Topic 848) - Facilitation of the Effects of Reference Rate Reform on Financial Reporting'</w:t>
      </w:r>
      <w:r>
        <w:rPr>
          <w:rFonts w:ascii="Arial" w:cs="Arial" w:eastAsia="Arial" w:hAnsi="Arial"/>
          <w:sz w:val="16"/>
          <w:szCs w:val="16"/>
          <w:color w:val="auto"/>
        </w:rPr>
        <w:t xml:space="preserve"> provides optional expedients and exceptions for applying US GAAP to contracts, hedging relationships, and other transactions affected by the reference rate reform. The amendments apply only to contracts and transactions that reference LIBOR or another reference rate expected to be discontinued as part of the reform. This ASU was issued on March 12, 2020 and applies only to contracts or transactions entered into or evaluated before December 31, 2022. This ASU was effective and adopted upon issuance. The adoption of ASU 2020-04 did not have a significant impact on the financial statements.</w:t>
      </w: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 (Topic 350)'</w:t>
      </w:r>
      <w:r>
        <w:rPr>
          <w:rFonts w:ascii="Arial" w:cs="Arial" w:eastAsia="Arial" w:hAnsi="Arial"/>
          <w:sz w:val="16"/>
          <w:szCs w:val="16"/>
          <w:color w:val="auto"/>
        </w:rPr>
        <w:t>. The amendments in the update align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is effective for the Group for fiscal years beginning after December 15, 2019 and for interim periods within those fiscal years and was applied prospectively to all relevant implementation costs incurred after the adoption date. The adoption of ASU 2018-15 did not have a significant impact on the financial statements.</w:t>
      </w:r>
    </w:p>
    <w:p>
      <w:pPr>
        <w:spacing w:after="0" w:line="368"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In November 2019, the FASB issued ASU 2019-08 </w:t>
      </w:r>
      <w:r>
        <w:rPr>
          <w:rFonts w:ascii="Arial" w:cs="Arial" w:eastAsia="Arial" w:hAnsi="Arial"/>
          <w:sz w:val="16"/>
          <w:szCs w:val="16"/>
          <w:i w:val="1"/>
          <w:iCs w:val="1"/>
          <w:color w:val="auto"/>
        </w:rPr>
        <w:t>'Codification Improvements—Share-Based Consideration Payable to a Customer'</w:t>
      </w:r>
      <w:r>
        <w:rPr>
          <w:rFonts w:ascii="Arial" w:cs="Arial" w:eastAsia="Arial" w:hAnsi="Arial"/>
          <w:sz w:val="16"/>
          <w:szCs w:val="16"/>
          <w:color w:val="auto"/>
        </w:rPr>
        <w:t>. The amendments in this update require that an entity measure and classify share-based payment awards granted to a customer by applying the guidance in ASC 718. The amount recorded as a reduction of the transaction price is required to be measured on the basis of the grant-date fair value of the share-based payment award in accordance with ASC 718. The grant date is the date at which a grantor (supplier) and a grantee (customer) reach a mutual understanding of the key terms and conditions of a share-based payment award. The classification and subsequent measurement of the award are subject to the guidance in ASC 718 unless the share-based payment award is subsequently modified and the grantee is no longer a customer. The amendments in this update are effective for the Group for fiscal years beginning after December 15, 2019. The adoption of ASU 2019-08 did not have a significant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7" w:name="page148"/>
    <w:bookmarkEnd w:id="147"/>
    <w:p>
      <w:pPr>
        <w:jc w:val="both"/>
        <w:ind w:firstLine="648"/>
        <w:spacing w:after="0" w:line="234"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 - Retirement Benefits - Defined Benefit Plans (Topic 715)'</w:t>
      </w:r>
      <w:r>
        <w:rPr>
          <w:rFonts w:ascii="Arial" w:cs="Arial" w:eastAsia="Arial" w:hAnsi="Arial"/>
          <w:sz w:val="16"/>
          <w:szCs w:val="16"/>
          <w:color w:val="auto"/>
        </w:rPr>
        <w:t>. The updated guidance requires additional disclosures of weighted-average interest credit rates for cash balance plans and an explanation of the reasons for significant gains and losses related to changes in the benefit obligation. Amendments in the guidance also clarify the requirement to disclose the projected benefit obligation (PBO) and fair value of plan assets for plans with PBOs in excess of plan assets. The same disclosure is needed for the accumulated benefit obligation</w:t>
      </w:r>
    </w:p>
    <w:p>
      <w:pPr>
        <w:jc w:val="both"/>
        <w:spacing w:after="0" w:line="234" w:lineRule="auto"/>
        <w:rPr>
          <w:sz w:val="20"/>
          <w:szCs w:val="20"/>
          <w:color w:val="auto"/>
        </w:rPr>
      </w:pPr>
      <w:r>
        <w:rPr>
          <w:rFonts w:ascii="Arial" w:cs="Arial" w:eastAsia="Arial" w:hAnsi="Arial"/>
          <w:sz w:val="16"/>
          <w:szCs w:val="16"/>
          <w:color w:val="auto"/>
        </w:rPr>
        <w:t>(ABO) and fair value of plan assets for plans with ABOs in excess of plan assets. The guidance removes certain previous disclosure requirements no longer considered cost beneficial. The amendments are effective for fiscal years ending after December 15, 2020, with early adoption permitted. The adoption of ASU 2018-14 did not to have a significant impact on the financial statements.</w:t>
      </w:r>
    </w:p>
    <w:p>
      <w:pPr>
        <w:spacing w:after="0" w:line="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Simplifying the test for goodwill impairment'</w:t>
      </w:r>
      <w:r>
        <w:rPr>
          <w:rFonts w:ascii="Arial" w:cs="Arial" w:eastAsia="Arial" w:hAnsi="Arial"/>
          <w:sz w:val="16"/>
          <w:szCs w:val="16"/>
          <w:color w:val="auto"/>
        </w:rPr>
        <w:t xml:space="preserve"> which requires an entity to no longer perform a hypothetical purchase price allocation to measure goodwill impairment. Instead, impairment will be measured using the difference between the carrying amount and the fair value of the reporting unit. The ASU is effective for public businesses, that are SEC filers, for annual and interim periods in fiscal years beginning after December 15, 2019, with early adoption permitted. The company early adopted this ASU from January 1, 2018. The adoption of this ASU did not have a significant impact on the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which will be adopted during fiscal year ended December 31, 2021</w:t>
      </w:r>
    </w:p>
    <w:p>
      <w:pPr>
        <w:spacing w:after="0" w:line="171" w:lineRule="exact"/>
        <w:rPr>
          <w:sz w:val="20"/>
          <w:szCs w:val="20"/>
          <w:color w:val="auto"/>
        </w:rPr>
      </w:pPr>
    </w:p>
    <w:p>
      <w:pPr>
        <w:jc w:val="both"/>
        <w:ind w:firstLine="252"/>
        <w:spacing w:after="0" w:line="236" w:lineRule="auto"/>
        <w:rPr>
          <w:sz w:val="20"/>
          <w:szCs w:val="20"/>
          <w:color w:val="auto"/>
        </w:rPr>
      </w:pPr>
      <w:r>
        <w:rPr>
          <w:rFonts w:ascii="Arial" w:cs="Arial" w:eastAsia="Arial" w:hAnsi="Arial"/>
          <w:sz w:val="16"/>
          <w:szCs w:val="16"/>
          <w:color w:val="auto"/>
        </w:rPr>
        <w:t xml:space="preserve">In August 2020, the FASB issues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which removes the separation models in ASC 470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convertible debt with cash conversion features and convertible instruments with beneficial conversion features. The ASU also removes from ASC 815 </w:t>
      </w: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xml:space="preserve"> certain conditions for equity classification for contracts on an entity’s own equity. This ASU can be adopted using either the retrospective approach or the modified retrospective approach and is effective for the Group for fiscal years ending after December 15, 2021. The guidance may be early adopted for fiscal years beginning after December 15, 2020, and interim periods within those fiscal years. This ASU is not expected to have a significant impact on the financial statements.</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The amendments in this update simplify the accounting for income taxes by removing certain exceptions to the general principles in Topic 740. The amendments also improve consistent application of GAAP for other areas of Topic 740 by clarifying and amending existing guidance. The Company will adopt the amendments in this ASU on a prospective basis, except where the required method of adoption is retrospective or modified retrospective. ASU 2019-12 is effective for the Company for fiscal years commencing on or after December 15, 2020. This ASU is not expected to have a significant impact on the financial statements.</w:t>
      </w:r>
    </w:p>
    <w:p>
      <w:pPr>
        <w:spacing w:after="0" w:line="20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323), and Derivatives and Hedging (Topic 815)</w:t>
      </w:r>
      <w:r>
        <w:rPr>
          <w:rFonts w:ascii="Arial" w:cs="Arial" w:eastAsia="Arial" w:hAnsi="Arial"/>
          <w:sz w:val="16"/>
          <w:szCs w:val="16"/>
          <w:color w:val="auto"/>
        </w:rPr>
        <w:t>'. ASU 2020-01 states any equity security transitioning from the alternative method of accounting under Topic</w:t>
      </w:r>
      <w:r>
        <w:rPr>
          <w:rFonts w:ascii="Arial" w:cs="Arial" w:eastAsia="Arial" w:hAnsi="Arial"/>
          <w:sz w:val="16"/>
          <w:szCs w:val="16"/>
          <w:i w:val="1"/>
          <w:iCs w:val="1"/>
          <w:color w:val="auto"/>
        </w:rPr>
        <w:t xml:space="preserve"> </w:t>
      </w:r>
      <w:r>
        <w:rPr>
          <w:rFonts w:ascii="Arial" w:cs="Arial" w:eastAsia="Arial" w:hAnsi="Arial"/>
          <w:sz w:val="16"/>
          <w:szCs w:val="16"/>
          <w:color w:val="auto"/>
        </w:rPr>
        <w:t>321 to the equity method, or vice versa, due to an observable transaction will be remeasured immediately before the transition. In addition, the ASU clarifies the accounting for certain non-derivative forward contracts or purchased call options to acquire equity securities stating such instruments will be measured using the fair value principles of Topic 321 before settlement or exercise. The ASU is effective for fiscal years beginning after December 15, 2020, and will be applied on a prospective basis. Early adoption is permitted. The adoption of this ASU is not expected to have a significant impact of the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other new accounting pronouncements</w:t>
      </w:r>
    </w:p>
    <w:p>
      <w:pPr>
        <w:spacing w:after="0" w:line="174" w:lineRule="exact"/>
        <w:rPr>
          <w:sz w:val="20"/>
          <w:szCs w:val="20"/>
          <w:color w:val="auto"/>
        </w:rPr>
      </w:pPr>
    </w:p>
    <w:p>
      <w:pPr>
        <w:jc w:val="both"/>
        <w:ind w:firstLine="184"/>
        <w:spacing w:after="0" w:line="260" w:lineRule="auto"/>
        <w:rPr>
          <w:sz w:val="20"/>
          <w:szCs w:val="20"/>
          <w:color w:val="auto"/>
        </w:rPr>
      </w:pPr>
      <w:r>
        <w:rPr>
          <w:rFonts w:ascii="Arial" w:cs="Arial" w:eastAsia="Arial" w:hAnsi="Arial"/>
          <w:sz w:val="16"/>
          <w:szCs w:val="16"/>
          <w:color w:val="auto"/>
        </w:rPr>
        <w:t>No other new accounting pronouncement issued or effective has had, or is expected to have, a significant impact on the Company’s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Related Parties</w:t>
      </w:r>
    </w:p>
    <w:p>
      <w:pPr>
        <w:spacing w:after="0" w:line="268" w:lineRule="exact"/>
        <w:rPr>
          <w:sz w:val="20"/>
          <w:szCs w:val="20"/>
          <w:color w:val="auto"/>
        </w:rPr>
      </w:pPr>
    </w:p>
    <w:p>
      <w:pPr>
        <w:jc w:val="both"/>
        <w:ind w:firstLine="189"/>
        <w:spacing w:after="0" w:line="251" w:lineRule="auto"/>
        <w:rPr>
          <w:sz w:val="20"/>
          <w:szCs w:val="20"/>
          <w:color w:val="auto"/>
        </w:rPr>
      </w:pPr>
      <w:r>
        <w:rPr>
          <w:rFonts w:ascii="Arial" w:cs="Arial" w:eastAsia="Arial" w:hAnsi="Arial"/>
          <w:sz w:val="16"/>
          <w:szCs w:val="16"/>
          <w:color w:val="auto"/>
        </w:rPr>
        <w:t>Subsidiaries of the Company earned revenue of $321,000 (December 31, 2019: $95,000) from DS Biopharma Limited (formerly Dignity Sciences Limited) during the year. Dr. John Climax is Chief Executive Officer and a Director and shareholder of DS Biopharma Limited. $41,000 was recorded as due from DS Biopharma Limited at December 31, 2020 (December 31, 2019: $36,000). Dr Ronan Lambe resigned as a Director of ICON plc on July 24, 2018. The contract terms were agreed on an arm’s length basis.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24, 2020, a subsidiary of the Company, ICON Clinical Research Limited, entered into an agreement to jointly establish a new company, Oncacare, with a third party. The Company has invested $4.9 million to obtain a 49% interest in the voting share capital of Oncacare, of which, $2.5 million has been paid with the remainder to be paid in the next twelve months. This balance remains outstanding at the year ended December 31, 2020. The majority investor has the right to sell the 51% majority voting share capital exclusively to the Company in an eighteen month period, commencing January 1, 2023 and ICON also has the right to acquire the 51% majority voting share capital from August 1,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color w:val="auto"/>
        </w:rPr>
        <w:t>26. Net income per ordinary share</w:t>
      </w:r>
    </w:p>
    <w:p>
      <w:pPr>
        <w:spacing w:after="0" w:line="187" w:lineRule="exact"/>
        <w:rPr>
          <w:sz w:val="20"/>
          <w:szCs w:val="20"/>
          <w:color w:val="auto"/>
        </w:rPr>
      </w:pPr>
    </w:p>
    <w:p>
      <w:pPr>
        <w:jc w:val="both"/>
        <w:ind w:firstLine="269"/>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141" w:lineRule="exact"/>
        <w:rPr>
          <w:sz w:val="20"/>
          <w:szCs w:val="20"/>
          <w:color w:val="auto"/>
        </w:rPr>
      </w:pPr>
    </w:p>
    <w:p>
      <w:pPr>
        <w:jc w:val="both"/>
        <w:ind w:firstLine="242"/>
        <w:spacing w:after="0" w:line="253"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167" w:lineRule="exact"/>
        <w:rPr>
          <w:sz w:val="20"/>
          <w:szCs w:val="20"/>
          <w:color w:val="auto"/>
        </w:rPr>
      </w:pPr>
    </w:p>
    <w:p>
      <w:pPr>
        <w:jc w:val="both"/>
        <w:ind w:firstLine="208"/>
        <w:spacing w:after="0" w:line="260" w:lineRule="auto"/>
        <w:rPr>
          <w:sz w:val="20"/>
          <w:szCs w:val="20"/>
          <w:color w:val="auto"/>
        </w:rPr>
      </w:pPr>
      <w:r>
        <w:rPr>
          <w:rFonts w:ascii="Arial" w:cs="Arial" w:eastAsia="Arial" w:hAnsi="Arial"/>
          <w:sz w:val="16"/>
          <w:szCs w:val="16"/>
          <w:color w:val="auto"/>
        </w:rPr>
        <w:t>Basic and diluted net income per ordinary share attributable to the Group includes the adjustment to reflect the accretion of the noncontrolling interest in MeDiNova to its redemption value.</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December 31, 2020</w:t>
            </w:r>
          </w:p>
        </w:tc>
        <w:tc>
          <w:tcPr>
            <w:tcW w:w="19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 2019</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171"/>
        </w:trPr>
        <w:tc>
          <w:tcPr>
            <w:tcW w:w="5560" w:type="dxa"/>
            <w:vAlign w:val="bottom"/>
          </w:tcPr>
          <w:p>
            <w:pPr>
              <w:ind w:left="20"/>
              <w:spacing w:after="0" w:line="171" w:lineRule="exact"/>
              <w:rPr>
                <w:sz w:val="20"/>
                <w:szCs w:val="20"/>
                <w:color w:val="auto"/>
              </w:rPr>
            </w:pPr>
            <w:r>
              <w:rPr>
                <w:rFonts w:ascii="Arial" w:cs="Arial" w:eastAsia="Arial" w:hAnsi="Arial"/>
                <w:sz w:val="16"/>
                <w:szCs w:val="16"/>
                <w:color w:val="auto"/>
              </w:rPr>
              <w:t>Weighted average number of ordinary shares outstanding for basic net</w:t>
            </w:r>
          </w:p>
        </w:tc>
        <w:tc>
          <w:tcPr>
            <w:tcW w:w="20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98"/>
        </w:trPr>
        <w:tc>
          <w:tcPr>
            <w:tcW w:w="5560" w:type="dxa"/>
            <w:vAlign w:val="bottom"/>
          </w:tcPr>
          <w:p>
            <w:pPr>
              <w:ind w:left="20"/>
              <w:spacing w:after="0"/>
              <w:rPr>
                <w:sz w:val="20"/>
                <w:szCs w:val="20"/>
                <w:color w:val="auto"/>
              </w:rPr>
            </w:pPr>
            <w:r>
              <w:rPr>
                <w:rFonts w:ascii="Arial" w:cs="Arial" w:eastAsia="Arial" w:hAnsi="Arial"/>
                <w:sz w:val="16"/>
                <w:szCs w:val="16"/>
                <w:color w:val="auto"/>
              </w:rPr>
              <w:t>income per ordinary share</w:t>
            </w:r>
          </w:p>
        </w:tc>
        <w:tc>
          <w:tcPr>
            <w:tcW w:w="2060" w:type="dxa"/>
            <w:vAlign w:val="bottom"/>
          </w:tcPr>
          <w:p>
            <w:pPr>
              <w:jc w:val="right"/>
              <w:ind w:right="199"/>
              <w:spacing w:after="0"/>
              <w:rPr>
                <w:sz w:val="20"/>
                <w:szCs w:val="20"/>
                <w:color w:val="auto"/>
              </w:rPr>
            </w:pPr>
            <w:r>
              <w:rPr>
                <w:rFonts w:ascii="Arial" w:cs="Arial" w:eastAsia="Arial" w:hAnsi="Arial"/>
                <w:sz w:val="16"/>
                <w:szCs w:val="16"/>
                <w:color w:val="auto"/>
              </w:rPr>
              <w:t>52,859,911</w:t>
            </w:r>
          </w:p>
        </w:tc>
        <w:tc>
          <w:tcPr>
            <w:tcW w:w="1900" w:type="dxa"/>
            <w:vAlign w:val="bottom"/>
          </w:tcPr>
          <w:p>
            <w:pPr>
              <w:jc w:val="right"/>
              <w:ind w:right="199"/>
              <w:spacing w:after="0"/>
              <w:rPr>
                <w:sz w:val="20"/>
                <w:szCs w:val="20"/>
                <w:color w:val="auto"/>
              </w:rPr>
            </w:pPr>
            <w:r>
              <w:rPr>
                <w:rFonts w:ascii="Arial" w:cs="Arial" w:eastAsia="Arial" w:hAnsi="Arial"/>
                <w:sz w:val="16"/>
                <w:szCs w:val="16"/>
                <w:color w:val="auto"/>
              </w:rPr>
              <w:t>53,859,537</w:t>
            </w:r>
          </w:p>
        </w:tc>
        <w:tc>
          <w:tcPr>
            <w:tcW w:w="1700" w:type="dxa"/>
            <w:vAlign w:val="bottom"/>
          </w:tcPr>
          <w:p>
            <w:pPr>
              <w:jc w:val="right"/>
              <w:spacing w:after="0"/>
              <w:rPr>
                <w:sz w:val="20"/>
                <w:szCs w:val="20"/>
                <w:color w:val="auto"/>
              </w:rPr>
            </w:pPr>
            <w:r>
              <w:rPr>
                <w:rFonts w:ascii="Arial" w:cs="Arial" w:eastAsia="Arial" w:hAnsi="Arial"/>
                <w:sz w:val="16"/>
                <w:szCs w:val="16"/>
                <w:color w:val="auto"/>
              </w:rPr>
              <w:t>54,118,764</w:t>
            </w:r>
          </w:p>
        </w:tc>
      </w:tr>
      <w:tr>
        <w:trPr>
          <w:trHeight w:val="22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dilutive share options outstanding</w:t>
            </w:r>
          </w:p>
        </w:tc>
        <w:tc>
          <w:tcPr>
            <w:tcW w:w="2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423,674</w:t>
            </w:r>
          </w:p>
        </w:tc>
        <w:tc>
          <w:tcPr>
            <w:tcW w:w="19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473,924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671,899</w:t>
            </w:r>
          </w:p>
        </w:tc>
      </w:tr>
      <w:tr>
        <w:trPr>
          <w:trHeight w:val="177"/>
        </w:trPr>
        <w:tc>
          <w:tcPr>
            <w:tcW w:w="5560" w:type="dxa"/>
            <w:vAlign w:val="bottom"/>
          </w:tcPr>
          <w:p>
            <w:pPr>
              <w:ind w:left="20"/>
              <w:spacing w:after="0" w:line="178" w:lineRule="exact"/>
              <w:rPr>
                <w:sz w:val="20"/>
                <w:szCs w:val="20"/>
                <w:color w:val="auto"/>
              </w:rPr>
            </w:pPr>
            <w:r>
              <w:rPr>
                <w:rFonts w:ascii="Arial" w:cs="Arial" w:eastAsia="Arial" w:hAnsi="Arial"/>
                <w:sz w:val="16"/>
                <w:szCs w:val="16"/>
                <w:color w:val="auto"/>
              </w:rPr>
              <w:t>Weighted average number of ordinary shares outstanding for diluted net</w:t>
            </w:r>
          </w:p>
        </w:tc>
        <w:tc>
          <w:tcPr>
            <w:tcW w:w="20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98"/>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per ordinary share</w:t>
            </w:r>
          </w:p>
        </w:tc>
        <w:tc>
          <w:tcPr>
            <w:tcW w:w="2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53,283,585</w:t>
            </w:r>
          </w:p>
        </w:tc>
        <w:tc>
          <w:tcPr>
            <w:tcW w:w="1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54,333,461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54,790,663</w:t>
            </w:r>
          </w:p>
        </w:tc>
      </w:tr>
      <w:tr>
        <w:trPr>
          <w:trHeight w:val="24"/>
        </w:trPr>
        <w:tc>
          <w:tcPr>
            <w:tcW w:w="55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9" w:lineRule="exact"/>
        <w:rPr>
          <w:sz w:val="20"/>
          <w:szCs w:val="20"/>
          <w:color w:val="auto"/>
        </w:rPr>
      </w:pPr>
    </w:p>
    <w:p>
      <w:pPr>
        <w:ind w:right="140" w:firstLine="177"/>
        <w:spacing w:after="0" w:line="260" w:lineRule="auto"/>
        <w:rPr>
          <w:sz w:val="20"/>
          <w:szCs w:val="20"/>
          <w:color w:val="auto"/>
        </w:rPr>
      </w:pPr>
      <w:r>
        <w:rPr>
          <w:rFonts w:ascii="Arial" w:cs="Arial" w:eastAsia="Arial" w:hAnsi="Arial"/>
          <w:sz w:val="16"/>
          <w:szCs w:val="16"/>
          <w:color w:val="auto"/>
        </w:rPr>
        <w:t>The reconciliation between net income attributable to the Group per the Statement of Operating Income and the net income used to calculate net income per ordinary share attributable to the Group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December 31,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209"/>
        </w:trPr>
        <w:tc>
          <w:tcPr>
            <w:tcW w:w="5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20" w:type="dxa"/>
            <w:vAlign w:val="bottom"/>
          </w:tcPr>
          <w:p>
            <w:pPr>
              <w:jc w:val="right"/>
              <w:ind w:right="31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332,331</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373,986</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322,656</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adjustment to redemption amount</w:t>
            </w:r>
          </w:p>
        </w:tc>
        <w:tc>
          <w:tcPr>
            <w:tcW w:w="7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(4,522)</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50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Net income attributable to the Group (including NCI redemption</w:t>
            </w:r>
          </w:p>
        </w:tc>
        <w:tc>
          <w:tcPr>
            <w:tcW w:w="7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23"/>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adjustment)</w:t>
            </w:r>
          </w:p>
        </w:tc>
        <w:tc>
          <w:tcPr>
            <w:tcW w:w="7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327,809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368,938</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322,656</w:t>
            </w:r>
          </w:p>
        </w:tc>
      </w:tr>
      <w:tr>
        <w:trPr>
          <w:trHeight w:val="20"/>
        </w:trPr>
        <w:tc>
          <w:tcPr>
            <w:tcW w:w="5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2018</w:t>
            </w:r>
          </w:p>
        </w:tc>
      </w:tr>
      <w:tr>
        <w:trPr>
          <w:trHeight w:val="155"/>
        </w:trPr>
        <w:tc>
          <w:tcPr>
            <w:tcW w:w="532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Net income per Ordinary Share attributable to the Group (including</w:t>
            </w:r>
          </w:p>
        </w:tc>
        <w:tc>
          <w:tcPr>
            <w:tcW w:w="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NCI redemption adjustment):</w:t>
            </w: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6.15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6.79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67"/>
        </w:trPr>
        <w:tc>
          <w:tcPr>
            <w:tcW w:w="53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b w:val="1"/>
          <w:bCs w:val="1"/>
          <w:color w:val="auto"/>
        </w:rPr>
        <w:t>27. Subsequent Events</w:t>
      </w:r>
    </w:p>
    <w:p>
      <w:pPr>
        <w:spacing w:after="0" w:line="25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On February 24, 2021, ICON plc announced it has entered into a Merger Agreement to acquire PRA Health Sciences, Inc. (‘PRA’) in a cash and stock transaction valued at approximately $12 billion. The per share merger consideration consists of $80 in cash and 0.4125 shares of ICON stock. The boards of directors of both companies have approved the acquisition. Subject to receipt of regulatory clearances and approval by shareholders of both companies, the acquisition is expected to close in the third quarter of 2021, and upon completion, ICON shareholders will own approximately 66% of the combined company and PRA shareholders will own approximately 34% of the combined company.</w:t>
      </w:r>
    </w:p>
    <w:p>
      <w:pPr>
        <w:spacing w:after="0" w:line="22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In conjunction with the execution of the Merger Agreement, ICON entered into a commitment letter with Citigroup Global Markets Inc. (“Citi”) pursuant to which Citi has committed to provide to ICON a senior secured revolving credit facility in an aggregate principal amount of up to $300.0 million and a senior secured bridge loan facility in an aggregate principal amount of up to $6,060.0 million to, among other things, finance ICON’s obligations in respect of the transactions contemplated by the Merger Agreement. The effectiveness of such credit facilities is subject to the occurrence of customary closing conditions, including the consummation of the Merger.</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Company has evaluated subsequent events from the Balance Sheet date through February 24, 2021, the date at which the consolidated financial statements were available to be issued. Other than the matters described above, the Company has determined that there are no items to disclose.</w:t>
      </w:r>
    </w:p>
    <w:p>
      <w:pPr>
        <w:spacing w:after="0" w:line="378"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Impact of change in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Measurement of Credit Losses on Financial Instruments</w:t>
      </w:r>
    </w:p>
    <w:p>
      <w:pPr>
        <w:spacing w:after="0" w:line="16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 (Topic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previous incurred loss impairment approach with a methodology to reflect expected credit losses and requires consideration of a broader range of reasonable and supportable information to explain credit loss estimates. The updated guidance was applied on a modified retrospective approach and was effective for the Group for fiscal years, and interim periods within those fiscal years, beginning after December 15, 2019. The Company applied the requirements of the new standard from January 1, 2020 and no adjustment was required to opening retained earnings as of that date.</w:t>
      </w:r>
    </w:p>
    <w:p>
      <w:pPr>
        <w:spacing w:after="0" w:line="1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The Company's estimate of expected credit losses considers historical credit loss information that is adjusted, where necessary, for current conditions and reasonable and supportable forecasts. Historical credit loss experience provides the basis for the estimation of expected credit losses. The Company's receivables and unbilled services are predominantly due from large and mid-tier pharmaceutical and biotechnology companies that share similar risk characteristics. The Company monitors their portfolio of receivables and unbilled services for any deterioration in current or expected credit quality (for example, expected delinquency level), and adjusts the allowance for credit losses as required.</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Changes in the allowance for credit losses are recorded as a provision for (or reversal of) credit loss expense in the Consolidated Statement of Operations. Losses are charged against the allowance when management believes the uncollectibility of a previously provisioned amount is confirmed.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21" w:lineRule="exact"/>
        <w:rPr>
          <w:sz w:val="20"/>
          <w:szCs w:val="20"/>
          <w:color w:val="auto"/>
        </w:rPr>
      </w:pPr>
    </w:p>
    <w:p>
      <w:pPr>
        <w:jc w:val="both"/>
        <w:ind w:firstLine="202"/>
        <w:spacing w:after="0" w:line="249" w:lineRule="auto"/>
        <w:rPr>
          <w:sz w:val="20"/>
          <w:szCs w:val="20"/>
          <w:color w:val="auto"/>
        </w:rPr>
      </w:pPr>
      <w:r>
        <w:rPr>
          <w:rFonts w:ascii="Arial" w:cs="Arial" w:eastAsia="Arial" w:hAnsi="Arial"/>
          <w:sz w:val="16"/>
          <w:szCs w:val="16"/>
          <w:color w:val="auto"/>
        </w:rPr>
        <w:t>The new leasing standard (ASU No. 2016-02 '</w:t>
      </w:r>
      <w:r>
        <w:rPr>
          <w:rFonts w:ascii="Arial" w:cs="Arial" w:eastAsia="Arial" w:hAnsi="Arial"/>
          <w:sz w:val="16"/>
          <w:szCs w:val="16"/>
          <w:i w:val="1"/>
          <w:iCs w:val="1"/>
          <w:color w:val="auto"/>
        </w:rPr>
        <w:t>Leases</w:t>
      </w:r>
      <w:r>
        <w:rPr>
          <w:rFonts w:ascii="Arial" w:cs="Arial" w:eastAsia="Arial" w:hAnsi="Arial"/>
          <w:sz w:val="16"/>
          <w:szCs w:val="16"/>
          <w:color w:val="auto"/>
        </w:rPr>
        <w:t>') was issued in February 2016. ASC 842 '</w:t>
      </w:r>
      <w:r>
        <w:rPr>
          <w:rFonts w:ascii="Arial" w:cs="Arial" w:eastAsia="Arial" w:hAnsi="Arial"/>
          <w:sz w:val="16"/>
          <w:szCs w:val="16"/>
          <w:i w:val="1"/>
          <w:iCs w:val="1"/>
          <w:color w:val="auto"/>
        </w:rPr>
        <w:t>Leases</w:t>
      </w:r>
      <w:r>
        <w:rPr>
          <w:rFonts w:ascii="Arial" w:cs="Arial" w:eastAsia="Arial" w:hAnsi="Arial"/>
          <w:sz w:val="16"/>
          <w:szCs w:val="16"/>
          <w:color w:val="auto"/>
        </w:rPr>
        <w:t>' (ASC 842) supersedes the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(ASC 840)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 In July 2018, the FASB issued ASU No. 2018-11 '</w:t>
      </w:r>
      <w:r>
        <w:rPr>
          <w:rFonts w:ascii="Arial" w:cs="Arial" w:eastAsia="Arial" w:hAnsi="Arial"/>
          <w:sz w:val="16"/>
          <w:szCs w:val="16"/>
          <w:i w:val="1"/>
          <w:iCs w:val="1"/>
          <w:color w:val="auto"/>
        </w:rPr>
        <w:t>Leases (Topic 842): 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w:t>
      </w:r>
      <w:r>
        <w:rPr>
          <w:rFonts w:ascii="Arial" w:cs="Arial" w:eastAsia="Arial" w:hAnsi="Arial"/>
          <w:sz w:val="16"/>
          <w:szCs w:val="16"/>
          <w:color w:val="auto"/>
        </w:rPr>
        <w:t>', which provides the option to adopt the standard retrospectively for each prior period presented, as initially set out in ASU No. 2016-02, or as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adoption date with a cumulative-effect adjustment to the opening balance of retained earnings.</w:t>
      </w:r>
    </w:p>
    <w:p>
      <w:pPr>
        <w:spacing w:after="0" w:line="3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ASC 842 became effective for ICON plc with effect from January 1, 2019. ICON adopted the new standard as of January 1, 2019 under the cumulative effect adjustment approach. Under this transition method, the new standard is applied from January 1, 2019 without restatement of comparative period amounts. Results for the year ended December 31, 2018 are therefore presented under the previous leasing accounting principles, ASC 840. Operating lease liabilities and right-of-use assets have been recorded on the Consolidated Balance Sheets as at January 1, 2019 of $106.5 million.</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is no impact of adopting ASC 842 on opening retained earnings at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b w:val="1"/>
          <w:bCs w:val="1"/>
          <w:color w:val="auto"/>
        </w:rPr>
        <w:t>SIGNATURES</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10795</wp:posOffset>
            </wp:positionV>
            <wp:extent cx="30346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3034665" cy="17145"/>
                    </a:xfrm>
                    <a:prstGeom prst="rect">
                      <a:avLst/>
                    </a:prstGeom>
                    <a:noFill/>
                  </pic:spPr>
                </pic:pic>
              </a:graphicData>
            </a:graphic>
          </wp:anchor>
        </w:drawing>
      </w:r>
    </w:p>
    <w:p>
      <w:pPr>
        <w:spacing w:after="0" w:line="3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Brendan Brennan</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Chief Financial Officer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24, 2021</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80" w:type="dxa"/>
            <w:vAlign w:val="bottom"/>
          </w:tcPr>
          <w:p>
            <w:pPr>
              <w:ind w:left="3180"/>
              <w:spacing w:after="0"/>
              <w:rPr>
                <w:sz w:val="20"/>
                <w:szCs w:val="20"/>
                <w:color w:val="auto"/>
              </w:rPr>
            </w:pPr>
            <w:r>
              <w:rPr>
                <w:rFonts w:ascii="Arial" w:cs="Arial" w:eastAsia="Arial" w:hAnsi="Arial"/>
                <w:sz w:val="18"/>
                <w:szCs w:val="18"/>
                <w:b w:val="1"/>
                <w:bCs w:val="1"/>
                <w:color w:val="auto"/>
              </w:rPr>
              <w:t>INDEX TO EXHIBITS</w:t>
            </w:r>
          </w:p>
        </w:tc>
      </w:tr>
      <w:tr>
        <w:trPr>
          <w:trHeight w:val="515"/>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948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6"/>
                <w:szCs w:val="16"/>
                <w:color w:val="auto"/>
              </w:rPr>
              <w:t>Number</w:t>
            </w:r>
          </w:p>
        </w:tc>
        <w:tc>
          <w:tcPr>
            <w:tcW w:w="9480" w:type="dxa"/>
            <w:vAlign w:val="bottom"/>
          </w:tcPr>
          <w:p>
            <w:pPr>
              <w:ind w:left="360"/>
              <w:spacing w:after="0"/>
              <w:rPr>
                <w:sz w:val="20"/>
                <w:szCs w:val="20"/>
                <w:color w:val="auto"/>
              </w:rPr>
            </w:pPr>
            <w:r>
              <w:rPr>
                <w:rFonts w:ascii="Arial" w:cs="Arial" w:eastAsia="Arial" w:hAnsi="Arial"/>
                <w:sz w:val="16"/>
                <w:szCs w:val="16"/>
                <w:color w:val="auto"/>
              </w:rPr>
              <w:t>Title</w:t>
            </w:r>
          </w:p>
        </w:tc>
      </w:tr>
      <w:tr>
        <w:trPr>
          <w:trHeight w:val="453"/>
        </w:trPr>
        <w:tc>
          <w:tcPr>
            <w:tcW w:w="320" w:type="dxa"/>
            <w:vAlign w:val="bottom"/>
            <w:gridSpan w:val="2"/>
          </w:tcPr>
          <w:p>
            <w:pPr>
              <w:ind w:left="20"/>
              <w:spacing w:after="0"/>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2.1</w:t>
              </w:r>
            </w:hyperlink>
          </w:p>
        </w:tc>
        <w:tc>
          <w:tcPr>
            <w:tcW w:w="1260" w:type="dxa"/>
            <w:vAlign w:val="bottom"/>
          </w:tcPr>
          <w:p>
            <w:pPr>
              <w:spacing w:after="0"/>
              <w:rPr>
                <w:sz w:val="24"/>
                <w:szCs w:val="24"/>
                <w:color w:val="auto"/>
              </w:rPr>
            </w:pPr>
          </w:p>
        </w:tc>
        <w:tc>
          <w:tcPr>
            <w:tcW w:w="9480" w:type="dxa"/>
            <w:vAlign w:val="bottom"/>
          </w:tcPr>
          <w:p>
            <w:pPr>
              <w:ind w:left="360"/>
              <w:spacing w:after="0"/>
              <w:rPr>
                <w:sz w:val="20"/>
                <w:szCs w:val="20"/>
                <w:color w:val="auto"/>
              </w:rPr>
            </w:pPr>
            <w:r>
              <w:rPr>
                <w:rFonts w:ascii="Arial" w:cs="Arial" w:eastAsia="Arial" w:hAnsi="Arial"/>
                <w:sz w:val="16"/>
                <w:szCs w:val="16"/>
                <w:color w:val="auto"/>
              </w:rPr>
              <w:t>Agreement and Plan of Merger, dated as of February 24, 2021, by and among ICON plc, ICON US Holdings Inc., Indigo Merger</w:t>
            </w: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80" w:type="dxa"/>
            <w:vAlign w:val="bottom"/>
          </w:tcPr>
          <w:p>
            <w:pPr>
              <w:ind w:left="360"/>
              <w:spacing w:after="0" w:line="162" w:lineRule="exact"/>
              <w:rPr>
                <w:sz w:val="20"/>
                <w:szCs w:val="20"/>
                <w:color w:val="auto"/>
              </w:rPr>
            </w:pPr>
            <w:r>
              <w:rPr>
                <w:rFonts w:ascii="Arial" w:cs="Arial" w:eastAsia="Arial" w:hAnsi="Arial"/>
                <w:sz w:val="16"/>
                <w:szCs w:val="16"/>
                <w:color w:val="auto"/>
              </w:rPr>
              <w:t>Sub, Inc and PRA Health Sciences, Inc. (incorporated by reference to exhibit 2.1 to the Form 6K (file No. 333-08704) filed on</w:t>
            </w:r>
          </w:p>
        </w:tc>
      </w:t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80" w:type="dxa"/>
            <w:vAlign w:val="bottom"/>
          </w:tcPr>
          <w:p>
            <w:pPr>
              <w:ind w:left="360"/>
              <w:spacing w:after="0"/>
              <w:rPr>
                <w:sz w:val="20"/>
                <w:szCs w:val="20"/>
                <w:color w:val="auto"/>
              </w:rPr>
            </w:pPr>
            <w:r>
              <w:rPr>
                <w:rFonts w:ascii="Arial" w:cs="Arial" w:eastAsia="Arial" w:hAnsi="Arial"/>
                <w:sz w:val="16"/>
                <w:szCs w:val="16"/>
                <w:color w:val="auto"/>
              </w:rPr>
              <w:t>February 24, 2021.</w:t>
            </w:r>
          </w:p>
        </w:tc>
      </w:tr>
      <w:tr>
        <w:trPr>
          <w:trHeight w:val="451"/>
        </w:trPr>
        <w:tc>
          <w:tcPr>
            <w:tcW w:w="20" w:type="dxa"/>
            <w:vAlign w:val="bottom"/>
          </w:tcPr>
          <w:p>
            <w:pPr>
              <w:spacing w:after="0"/>
              <w:rPr>
                <w:sz w:val="24"/>
                <w:szCs w:val="24"/>
                <w:color w:val="auto"/>
              </w:rPr>
            </w:pPr>
          </w:p>
        </w:tc>
        <w:tc>
          <w:tcPr>
            <w:tcW w:w="300" w:type="dxa"/>
            <w:vAlign w:val="bottom"/>
            <w:tcBorders>
              <w:bottom w:val="single" w:sz="8" w:color="0000FF"/>
            </w:tcBorders>
          </w:tcPr>
          <w:p>
            <w:pPr>
              <w:spacing w:after="0"/>
              <w:rPr>
                <w:rFonts w:ascii="Arial" w:cs="Arial" w:eastAsia="Arial" w:hAnsi="Arial"/>
                <w:sz w:val="16"/>
                <w:szCs w:val="16"/>
                <w:color w:val="0000FF"/>
                <w:w w:val="98"/>
              </w:rPr>
            </w:pPr>
            <w:hyperlink w:anchor="page153">
              <w:r>
                <w:rPr>
                  <w:rFonts w:ascii="Arial" w:cs="Arial" w:eastAsia="Arial" w:hAnsi="Arial"/>
                  <w:sz w:val="16"/>
                  <w:szCs w:val="16"/>
                  <w:color w:val="0000FF"/>
                  <w:w w:val="98"/>
                </w:rPr>
                <w:t>2.</w:t>
              </w:r>
            </w:hyperlink>
            <w:r>
              <w:rPr>
                <w:rFonts w:ascii="Arial" w:cs="Arial" w:eastAsia="Arial" w:hAnsi="Arial"/>
                <w:sz w:val="16"/>
                <w:szCs w:val="16"/>
                <w:u w:val="single" w:color="auto"/>
                <w:color w:val="0000FF"/>
                <w:w w:val="98"/>
              </w:rPr>
              <w:t>2*</w:t>
            </w:r>
          </w:p>
        </w:tc>
        <w:tc>
          <w:tcPr>
            <w:tcW w:w="1260" w:type="dxa"/>
            <w:vAlign w:val="bottom"/>
          </w:tcPr>
          <w:p>
            <w:pPr>
              <w:spacing w:after="0"/>
              <w:rPr>
                <w:sz w:val="24"/>
                <w:szCs w:val="24"/>
                <w:color w:val="auto"/>
              </w:rPr>
            </w:pPr>
          </w:p>
        </w:tc>
        <w:tc>
          <w:tcPr>
            <w:tcW w:w="9480" w:type="dxa"/>
            <w:vAlign w:val="bottom"/>
          </w:tcPr>
          <w:p>
            <w:pPr>
              <w:ind w:left="360"/>
              <w:spacing w:after="0"/>
              <w:rPr>
                <w:sz w:val="20"/>
                <w:szCs w:val="20"/>
                <w:color w:val="auto"/>
              </w:rPr>
            </w:pPr>
            <w:r>
              <w:rPr>
                <w:rFonts w:ascii="Arial" w:cs="Arial" w:eastAsia="Arial" w:hAnsi="Arial"/>
                <w:sz w:val="16"/>
                <w:szCs w:val="16"/>
                <w:color w:val="auto"/>
              </w:rPr>
              <w:t>Description of Securities Registered Under Section 12 of the Exchange Act.</w:t>
            </w:r>
          </w:p>
        </w:tc>
      </w:tr>
      <w:tr>
        <w:trPr>
          <w:trHeight w:val="468"/>
        </w:trPr>
        <w:tc>
          <w:tcPr>
            <w:tcW w:w="320" w:type="dxa"/>
            <w:vAlign w:val="bottom"/>
            <w:gridSpan w:val="2"/>
          </w:tcPr>
          <w:p>
            <w:pPr>
              <w:ind w:left="20"/>
              <w:spacing w:after="0"/>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3.1</w:t>
              </w:r>
            </w:hyperlink>
          </w:p>
        </w:tc>
        <w:tc>
          <w:tcPr>
            <w:tcW w:w="1260" w:type="dxa"/>
            <w:vAlign w:val="bottom"/>
          </w:tcPr>
          <w:p>
            <w:pPr>
              <w:spacing w:after="0"/>
              <w:rPr>
                <w:sz w:val="24"/>
                <w:szCs w:val="24"/>
                <w:color w:val="auto"/>
              </w:rPr>
            </w:pPr>
          </w:p>
        </w:tc>
        <w:tc>
          <w:tcPr>
            <w:tcW w:w="9480" w:type="dxa"/>
            <w:vAlign w:val="bottom"/>
          </w:tcPr>
          <w:p>
            <w:pPr>
              <w:ind w:left="360"/>
              <w:spacing w:after="0"/>
              <w:rPr>
                <w:sz w:val="20"/>
                <w:szCs w:val="20"/>
                <w:color w:val="auto"/>
              </w:rPr>
            </w:pPr>
            <w:r>
              <w:rPr>
                <w:rFonts w:ascii="Arial" w:cs="Arial" w:eastAsia="Arial" w:hAnsi="Arial"/>
                <w:sz w:val="16"/>
                <w:szCs w:val="16"/>
                <w:color w:val="auto"/>
              </w:rPr>
              <w:t>Description of the Constitution of the Company (incorporated by reference to exhibit 99.2 to the Form 6K (File No. 333-08704)</w:t>
            </w:r>
          </w:p>
        </w:tc>
      </w:t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80" w:type="dxa"/>
            <w:vAlign w:val="bottom"/>
          </w:tcPr>
          <w:p>
            <w:pPr>
              <w:ind w:left="360"/>
              <w:spacing w:after="0"/>
              <w:rPr>
                <w:sz w:val="20"/>
                <w:szCs w:val="20"/>
                <w:color w:val="auto"/>
              </w:rPr>
            </w:pPr>
            <w:r>
              <w:rPr>
                <w:rFonts w:ascii="Arial" w:cs="Arial" w:eastAsia="Arial" w:hAnsi="Arial"/>
                <w:sz w:val="16"/>
                <w:szCs w:val="16"/>
                <w:color w:val="auto"/>
              </w:rPr>
              <w:t>filed on July 25, 2016).</w:t>
            </w:r>
          </w:p>
        </w:tc>
      </w:tr>
      <w:tr>
        <w:trPr>
          <w:trHeight w:val="486"/>
        </w:trPr>
        <w:tc>
          <w:tcPr>
            <w:tcW w:w="1580" w:type="dxa"/>
            <w:vAlign w:val="bottom"/>
            <w:gridSpan w:val="3"/>
          </w:tcPr>
          <w:p>
            <w:pPr>
              <w:ind w:left="20"/>
              <w:spacing w:after="0"/>
              <w:rPr>
                <w:rFonts w:ascii="Arial" w:cs="Arial" w:eastAsia="Arial" w:hAnsi="Arial"/>
                <w:sz w:val="16"/>
                <w:szCs w:val="16"/>
                <w:u w:val="single" w:color="auto"/>
                <w:color w:val="0000FF"/>
              </w:rPr>
            </w:pPr>
            <w:hyperlink w:anchor="page155">
              <w:r>
                <w:rPr>
                  <w:rFonts w:ascii="Arial" w:cs="Arial" w:eastAsia="Arial" w:hAnsi="Arial"/>
                  <w:sz w:val="16"/>
                  <w:szCs w:val="16"/>
                  <w:u w:val="single" w:color="auto"/>
                  <w:color w:val="0000FF"/>
                </w:rPr>
                <w:t>12.1*</w:t>
              </w:r>
            </w:hyperlink>
          </w:p>
        </w:tc>
        <w:tc>
          <w:tcPr>
            <w:tcW w:w="9480" w:type="dxa"/>
            <w:vAlign w:val="bottom"/>
          </w:tcPr>
          <w:p>
            <w:pPr>
              <w:ind w:left="360"/>
              <w:spacing w:after="0"/>
              <w:rPr>
                <w:sz w:val="20"/>
                <w:szCs w:val="20"/>
                <w:color w:val="auto"/>
              </w:rPr>
            </w:pPr>
            <w:r>
              <w:rPr>
                <w:rFonts w:ascii="Arial" w:cs="Arial" w:eastAsia="Arial" w:hAnsi="Arial"/>
                <w:sz w:val="16"/>
                <w:szCs w:val="16"/>
                <w:color w:val="auto"/>
              </w:rPr>
              <w:t>Section 302 certifications.</w:t>
            </w:r>
          </w:p>
        </w:tc>
      </w:tr>
      <w:tr>
        <w:trPr>
          <w:trHeight w:val="432"/>
        </w:trPr>
        <w:tc>
          <w:tcPr>
            <w:tcW w:w="1580" w:type="dxa"/>
            <w:vAlign w:val="bottom"/>
            <w:gridSpan w:val="3"/>
          </w:tcPr>
          <w:p>
            <w:pPr>
              <w:ind w:left="20"/>
              <w:spacing w:after="0"/>
              <w:rPr>
                <w:rFonts w:ascii="Arial" w:cs="Arial" w:eastAsia="Arial" w:hAnsi="Arial"/>
                <w:sz w:val="16"/>
                <w:szCs w:val="16"/>
                <w:u w:val="single" w:color="auto"/>
                <w:color w:val="0000FF"/>
              </w:rPr>
            </w:pPr>
            <w:hyperlink w:anchor="page157">
              <w:r>
                <w:rPr>
                  <w:rFonts w:ascii="Arial" w:cs="Arial" w:eastAsia="Arial" w:hAnsi="Arial"/>
                  <w:sz w:val="16"/>
                  <w:szCs w:val="16"/>
                  <w:u w:val="single" w:color="auto"/>
                  <w:color w:val="0000FF"/>
                </w:rPr>
                <w:t>12.2*</w:t>
              </w:r>
            </w:hyperlink>
          </w:p>
        </w:tc>
        <w:tc>
          <w:tcPr>
            <w:tcW w:w="9480" w:type="dxa"/>
            <w:vAlign w:val="bottom"/>
          </w:tcPr>
          <w:p>
            <w:pPr>
              <w:ind w:left="360"/>
              <w:spacing w:after="0"/>
              <w:rPr>
                <w:sz w:val="20"/>
                <w:szCs w:val="20"/>
                <w:color w:val="auto"/>
              </w:rPr>
            </w:pPr>
            <w:r>
              <w:rPr>
                <w:rFonts w:ascii="Arial" w:cs="Arial" w:eastAsia="Arial" w:hAnsi="Arial"/>
                <w:sz w:val="16"/>
                <w:szCs w:val="16"/>
                <w:color w:val="auto"/>
              </w:rPr>
              <w:t>Section 906 certifications.</w:t>
            </w:r>
          </w:p>
        </w:tc>
      </w:tr>
      <w:tr>
        <w:trPr>
          <w:trHeight w:val="432"/>
        </w:trPr>
        <w:tc>
          <w:tcPr>
            <w:tcW w:w="1580" w:type="dxa"/>
            <w:vAlign w:val="bottom"/>
            <w:gridSpan w:val="3"/>
          </w:tcPr>
          <w:p>
            <w:pPr>
              <w:ind w:left="20"/>
              <w:spacing w:after="0"/>
              <w:rPr>
                <w:sz w:val="20"/>
                <w:szCs w:val="20"/>
                <w:color w:val="auto"/>
              </w:rPr>
            </w:pPr>
            <w:r>
              <w:rPr>
                <w:rFonts w:ascii="Arial" w:cs="Arial" w:eastAsia="Arial" w:hAnsi="Arial"/>
                <w:sz w:val="16"/>
                <w:szCs w:val="16"/>
                <w:color w:val="auto"/>
              </w:rPr>
              <w:t>21.1</w:t>
            </w:r>
          </w:p>
        </w:tc>
        <w:tc>
          <w:tcPr>
            <w:tcW w:w="9480" w:type="dxa"/>
            <w:vAlign w:val="bottom"/>
          </w:tcPr>
          <w:p>
            <w:pPr>
              <w:ind w:left="360"/>
              <w:spacing w:after="0"/>
              <w:rPr>
                <w:sz w:val="20"/>
                <w:szCs w:val="20"/>
                <w:color w:val="auto"/>
              </w:rPr>
            </w:pPr>
            <w:r>
              <w:rPr>
                <w:rFonts w:ascii="Arial" w:cs="Arial" w:eastAsia="Arial" w:hAnsi="Arial"/>
                <w:sz w:val="16"/>
                <w:szCs w:val="16"/>
                <w:color w:val="auto"/>
              </w:rPr>
              <w:t>List of Subsidiaries (incorporated by reference to Item 4 of Form 20-F filed herewith).</w:t>
            </w:r>
          </w:p>
        </w:tc>
      </w:tr>
      <w:tr>
        <w:trPr>
          <w:trHeight w:val="432"/>
        </w:trPr>
        <w:tc>
          <w:tcPr>
            <w:tcW w:w="1580" w:type="dxa"/>
            <w:vAlign w:val="bottom"/>
            <w:gridSpan w:val="3"/>
          </w:tcPr>
          <w:p>
            <w:pPr>
              <w:ind w:left="20"/>
              <w:spacing w:after="0"/>
              <w:rPr>
                <w:rFonts w:ascii="Arial" w:cs="Arial" w:eastAsia="Arial" w:hAnsi="Arial"/>
                <w:sz w:val="16"/>
                <w:szCs w:val="16"/>
                <w:u w:val="single" w:color="auto"/>
                <w:color w:val="0000FF"/>
              </w:rPr>
            </w:pPr>
            <w:hyperlink w:anchor="page159">
              <w:r>
                <w:rPr>
                  <w:rFonts w:ascii="Arial" w:cs="Arial" w:eastAsia="Arial" w:hAnsi="Arial"/>
                  <w:sz w:val="16"/>
                  <w:szCs w:val="16"/>
                  <w:u w:val="single" w:color="auto"/>
                  <w:color w:val="0000FF"/>
                </w:rPr>
                <w:t>23.1*</w:t>
              </w:r>
            </w:hyperlink>
          </w:p>
        </w:tc>
        <w:tc>
          <w:tcPr>
            <w:tcW w:w="9480" w:type="dxa"/>
            <w:vAlign w:val="bottom"/>
          </w:tcPr>
          <w:p>
            <w:pPr>
              <w:ind w:left="360"/>
              <w:spacing w:after="0"/>
              <w:rPr>
                <w:sz w:val="20"/>
                <w:szCs w:val="20"/>
                <w:color w:val="auto"/>
              </w:rPr>
            </w:pPr>
            <w:r>
              <w:rPr>
                <w:rFonts w:ascii="Arial" w:cs="Arial" w:eastAsia="Arial" w:hAnsi="Arial"/>
                <w:sz w:val="16"/>
                <w:szCs w:val="16"/>
                <w:color w:val="auto"/>
              </w:rPr>
              <w:t>Consent of KPMG, Independent Registered Public Accounting Firm.</w:t>
            </w:r>
          </w:p>
        </w:tc>
      </w:tr>
      <w:tr>
        <w:trPr>
          <w:trHeight w:val="486"/>
        </w:trPr>
        <w:tc>
          <w:tcPr>
            <w:tcW w:w="1580" w:type="dxa"/>
            <w:vAlign w:val="bottom"/>
            <w:gridSpan w:val="3"/>
          </w:tcPr>
          <w:p>
            <w:pPr>
              <w:ind w:left="20"/>
              <w:spacing w:after="0"/>
              <w:rPr>
                <w:sz w:val="20"/>
                <w:szCs w:val="20"/>
                <w:color w:val="auto"/>
              </w:rPr>
            </w:pPr>
            <w:r>
              <w:rPr>
                <w:rFonts w:ascii="Arial" w:cs="Arial" w:eastAsia="Arial" w:hAnsi="Arial"/>
                <w:sz w:val="16"/>
                <w:szCs w:val="16"/>
                <w:color w:val="auto"/>
              </w:rPr>
              <w:t>101.1*</w:t>
            </w:r>
          </w:p>
        </w:tc>
        <w:tc>
          <w:tcPr>
            <w:tcW w:w="9480" w:type="dxa"/>
            <w:vAlign w:val="bottom"/>
          </w:tcPr>
          <w:p>
            <w:pPr>
              <w:ind w:left="360"/>
              <w:spacing w:after="0"/>
              <w:rPr>
                <w:sz w:val="20"/>
                <w:szCs w:val="20"/>
                <w:color w:val="auto"/>
              </w:rPr>
            </w:pPr>
            <w:r>
              <w:rPr>
                <w:rFonts w:ascii="Arial" w:cs="Arial" w:eastAsia="Arial" w:hAnsi="Arial"/>
                <w:sz w:val="16"/>
                <w:szCs w:val="16"/>
                <w:color w:val="auto"/>
              </w:rPr>
              <w:t>Interactive Data Files (XBRL – Related Documents).</w:t>
            </w:r>
          </w:p>
        </w:tc>
      </w:tr>
      <w:tr>
        <w:trPr>
          <w:trHeight w:val="283"/>
        </w:trPr>
        <w:tc>
          <w:tcPr>
            <w:tcW w:w="1580" w:type="dxa"/>
            <w:vAlign w:val="bottom"/>
            <w:gridSpan w:val="3"/>
          </w:tcPr>
          <w:p>
            <w:pPr>
              <w:spacing w:after="0"/>
              <w:rPr>
                <w:sz w:val="20"/>
                <w:szCs w:val="20"/>
                <w:color w:val="auto"/>
              </w:rPr>
            </w:pPr>
            <w:r>
              <w:rPr>
                <w:rFonts w:ascii="Arial" w:cs="Arial" w:eastAsia="Arial" w:hAnsi="Arial"/>
                <w:sz w:val="16"/>
                <w:szCs w:val="16"/>
                <w:color w:val="auto"/>
              </w:rPr>
              <w:t>*  Filed herewith</w:t>
            </w:r>
          </w:p>
        </w:tc>
        <w:tc>
          <w:tcPr>
            <w:tcW w:w="9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060"/>
          </w:cols>
          <w:pgMar w:left="320" w:top="886" w:right="5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6"/>
          <w:szCs w:val="16"/>
          <w:b w:val="1"/>
          <w:bCs w:val="1"/>
          <w:color w:val="auto"/>
        </w:rPr>
        <w:t>Exhibit 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Securities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Registered Under Section 12 of the Exchange Act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ICON plc (“we,” “us,” and “our”) had the following series of securities registered pursuant to Section 12(b) of the Exchange Act:</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Title of each class</w:t>
            </w:r>
          </w:p>
        </w:tc>
        <w:tc>
          <w:tcPr>
            <w:tcW w:w="340" w:type="dxa"/>
            <w:vAlign w:val="bottom"/>
          </w:tcPr>
          <w:p>
            <w:pPr>
              <w:spacing w:after="0"/>
              <w:rPr>
                <w:sz w:val="18"/>
                <w:szCs w:val="18"/>
                <w:color w:val="auto"/>
              </w:rPr>
            </w:pPr>
          </w:p>
        </w:tc>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Trading symbol</w:t>
            </w:r>
          </w:p>
        </w:tc>
        <w:tc>
          <w:tcPr>
            <w:tcW w:w="340" w:type="dxa"/>
            <w:vAlign w:val="bottom"/>
          </w:tcPr>
          <w:p>
            <w:pPr>
              <w:spacing w:after="0"/>
              <w:rPr>
                <w:sz w:val="18"/>
                <w:szCs w:val="18"/>
                <w:color w:val="auto"/>
              </w:rPr>
            </w:pP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301"/>
        </w:trPr>
        <w:tc>
          <w:tcPr>
            <w:tcW w:w="4300" w:type="dxa"/>
            <w:vAlign w:val="bottom"/>
            <w:gridSpan w:val="2"/>
          </w:tcPr>
          <w:p>
            <w:pPr>
              <w:ind w:left="20"/>
              <w:spacing w:after="0"/>
              <w:rPr>
                <w:sz w:val="20"/>
                <w:szCs w:val="20"/>
                <w:color w:val="auto"/>
              </w:rPr>
            </w:pPr>
            <w:r>
              <w:rPr>
                <w:rFonts w:ascii="Arial" w:cs="Arial" w:eastAsia="Arial" w:hAnsi="Arial"/>
                <w:sz w:val="16"/>
                <w:szCs w:val="16"/>
                <w:b w:val="1"/>
                <w:bCs w:val="1"/>
                <w:color w:val="auto"/>
              </w:rPr>
              <w:t>Ordinary shares, nominal value €0.06 per share</w:t>
            </w:r>
          </w:p>
        </w:tc>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ICLR</w:t>
            </w:r>
          </w:p>
        </w:tc>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Ordinary Shares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10.General</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10.A.1. Limitations or qualifications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10.A.2. Other rights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10.A.3. Type and class of securities</w:t>
      </w:r>
    </w:p>
    <w:p>
      <w:pPr>
        <w:spacing w:after="0" w:line="79" w:lineRule="exact"/>
        <w:rPr>
          <w:sz w:val="20"/>
          <w:szCs w:val="20"/>
          <w:color w:val="auto"/>
        </w:rPr>
      </w:pPr>
    </w:p>
    <w:p>
      <w:pPr>
        <w:jc w:val="both"/>
        <w:ind w:firstLine="192"/>
        <w:spacing w:after="0" w:line="253" w:lineRule="auto"/>
        <w:rPr>
          <w:sz w:val="20"/>
          <w:szCs w:val="20"/>
          <w:color w:val="auto"/>
        </w:rPr>
      </w:pPr>
      <w:r>
        <w:rPr>
          <w:rFonts w:ascii="Arial" w:cs="Arial" w:eastAsia="Arial" w:hAnsi="Arial"/>
          <w:sz w:val="16"/>
          <w:szCs w:val="16"/>
          <w:color w:val="auto"/>
        </w:rPr>
        <w:t>Each ICON plc share has nominal value of €0.06 per share. The respective number of shares that have been issued as of December 31, 2020 is given in the Consolidated Balance Sheet of the annual report on Form 20-F for the fiscal year ended December 31, 2020. All ICON shares have equal voting rights and carry equal entitlements to dividends. No participation certificates, non-voting equity securities or profit-sharing certificates have been issued.</w:t>
      </w:r>
    </w:p>
    <w:p>
      <w:pPr>
        <w:spacing w:after="0" w:line="19" w:lineRule="exact"/>
        <w:rPr>
          <w:sz w:val="20"/>
          <w:szCs w:val="20"/>
          <w:color w:val="auto"/>
        </w:rPr>
      </w:pPr>
    </w:p>
    <w:p>
      <w:pPr>
        <w:jc w:val="center"/>
        <w:ind w:right="8860"/>
        <w:spacing w:after="0"/>
        <w:rPr>
          <w:sz w:val="20"/>
          <w:szCs w:val="20"/>
          <w:color w:val="auto"/>
        </w:rPr>
      </w:pPr>
      <w:r>
        <w:rPr>
          <w:rFonts w:ascii="Arial" w:cs="Arial" w:eastAsia="Arial" w:hAnsi="Arial"/>
          <w:sz w:val="16"/>
          <w:szCs w:val="16"/>
          <w:b w:val="1"/>
          <w:bCs w:val="1"/>
          <w:color w:val="auto"/>
        </w:rPr>
        <w:t>Item 10.A.4. Pre-emptive rights</w:t>
      </w:r>
    </w:p>
    <w:p>
      <w:pPr>
        <w:spacing w:after="0" w:line="79" w:lineRule="exact"/>
        <w:rPr>
          <w:sz w:val="20"/>
          <w:szCs w:val="20"/>
          <w:color w:val="auto"/>
        </w:rPr>
      </w:pPr>
    </w:p>
    <w:p>
      <w:pPr>
        <w:jc w:val="center"/>
        <w:ind w:right="88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10.B Memorandum and articles of association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10.B.1 Shareholder Rights, Preferences and Dividends Attaching to Shares</w:t>
      </w:r>
    </w:p>
    <w:p>
      <w:pPr>
        <w:spacing w:after="0" w:line="79" w:lineRule="exact"/>
        <w:rPr>
          <w:sz w:val="20"/>
          <w:szCs w:val="20"/>
          <w:color w:val="auto"/>
        </w:rPr>
      </w:pPr>
    </w:p>
    <w:p>
      <w:pPr>
        <w:jc w:val="both"/>
        <w:ind w:firstLine="210"/>
        <w:spacing w:after="0" w:line="248"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10.B.2. Action Necessary to Change the Rights of Shareholders</w:t>
      </w:r>
    </w:p>
    <w:p>
      <w:pPr>
        <w:spacing w:after="0" w:line="79" w:lineRule="exact"/>
        <w:rPr>
          <w:sz w:val="20"/>
          <w:szCs w:val="20"/>
          <w:color w:val="auto"/>
        </w:rPr>
      </w:pPr>
    </w:p>
    <w:p>
      <w:pPr>
        <w:jc w:val="both"/>
        <w:ind w:right="20" w:firstLine="275"/>
        <w:spacing w:after="0" w:line="260"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10.B.3 Annual and General Meetings</w:t>
      </w:r>
    </w:p>
    <w:p>
      <w:pPr>
        <w:spacing w:after="0" w:line="79" w:lineRule="exact"/>
        <w:rPr>
          <w:sz w:val="20"/>
          <w:szCs w:val="20"/>
          <w:color w:val="auto"/>
        </w:rPr>
      </w:pPr>
    </w:p>
    <w:p>
      <w:pPr>
        <w:jc w:val="both"/>
        <w:ind w:firstLine="191"/>
        <w:spacing w:after="0" w:line="250"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ectPr>
          <w:pgSz w:w="11900" w:h="16838" w:orient="portrait"/>
          <w:cols w:equalWidth="0" w:num="1">
            <w:col w:w="11240"/>
          </w:cols>
          <w:pgMar w:left="320" w:top="891" w:right="339" w:bottom="1440" w:gutter="0" w:footer="0" w:header="0"/>
        </w:sectPr>
      </w:pPr>
    </w:p>
    <w:bookmarkStart w:id="153" w:name="page154"/>
    <w:bookmarkEnd w:id="153"/>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10.B.4 Limitations on the Right to Own Shares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10.B.5 Disclosure of Share Ownership</w:t>
      </w:r>
    </w:p>
    <w:p>
      <w:pPr>
        <w:spacing w:after="0" w:line="79" w:lineRule="exact"/>
        <w:rPr>
          <w:sz w:val="20"/>
          <w:szCs w:val="20"/>
          <w:color w:val="auto"/>
        </w:rPr>
      </w:pPr>
    </w:p>
    <w:p>
      <w:pPr>
        <w:jc w:val="both"/>
        <w:ind w:firstLine="236"/>
        <w:spacing w:after="0" w:line="250"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ectPr>
          <w:pgSz w:w="11900" w:h="16838" w:orient="portrait"/>
          <w:cols w:equalWidth="0" w:num="1">
            <w:col w:w="11240"/>
          </w:cols>
          <w:pgMar w:left="320" w:top="1440"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Brendan Brennan, certify that:</w:t>
      </w:r>
    </w:p>
    <w:p>
      <w:pPr>
        <w:spacing w:after="0" w:line="248"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248" w:lineRule="exact"/>
        <w:rPr>
          <w:rFonts w:ascii="Arial" w:cs="Arial" w:eastAsia="Arial" w:hAnsi="Arial"/>
          <w:sz w:val="16"/>
          <w:szCs w:val="16"/>
          <w:color w:val="auto"/>
        </w:rPr>
      </w:pPr>
    </w:p>
    <w:p>
      <w:pPr>
        <w:ind w:right="20" w:firstLine="8"/>
        <w:spacing w:after="0" w:line="260" w:lineRule="auto"/>
        <w:tabs>
          <w:tab w:leader="none" w:pos="201"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right="20" w:firstLine="8"/>
        <w:spacing w:after="0" w:line="260" w:lineRule="auto"/>
        <w:tabs>
          <w:tab w:leader="none" w:pos="182"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53" w:lineRule="auto"/>
        <w:tabs>
          <w:tab w:leader="none" w:pos="18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jc w:val="both"/>
        <w:ind w:left="660" w:hanging="409"/>
        <w:spacing w:after="0" w:line="253" w:lineRule="auto"/>
        <w:tabs>
          <w:tab w:leader="none" w:pos="6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409"/>
        <w:spacing w:after="0" w:line="253" w:lineRule="auto"/>
        <w:tabs>
          <w:tab w:leader="none" w:pos="588"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hanging="409"/>
        <w:spacing w:after="0" w:line="260" w:lineRule="auto"/>
        <w:tabs>
          <w:tab w:leader="none" w:pos="742"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right="20" w:hanging="409"/>
        <w:spacing w:after="0" w:line="260" w:lineRule="auto"/>
        <w:tabs>
          <w:tab w:leader="none" w:pos="606"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222" w:lineRule="exact"/>
        <w:rPr>
          <w:rFonts w:ascii="Arial" w:cs="Arial" w:eastAsia="Arial" w:hAnsi="Arial"/>
          <w:sz w:val="16"/>
          <w:szCs w:val="16"/>
          <w:color w:val="auto"/>
        </w:rPr>
      </w:pPr>
    </w:p>
    <w:p>
      <w:pPr>
        <w:ind w:firstLine="8"/>
        <w:spacing w:after="0" w:line="260" w:lineRule="auto"/>
        <w:tabs>
          <w:tab w:leader="none" w:pos="2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sz w:val="20"/>
          <w:szCs w:val="20"/>
          <w:color w:val="auto"/>
        </w:rPr>
      </w:pPr>
    </w:p>
    <w:p>
      <w:pPr>
        <w:ind w:firstLine="8"/>
        <w:spacing w:after="0" w:line="260" w:lineRule="auto"/>
        <w:tabs>
          <w:tab w:leader="none" w:pos="204" w:val="left"/>
        </w:tabs>
        <w:numPr>
          <w:ilvl w:val="0"/>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firstLine="8"/>
        <w:spacing w:after="0" w:line="260" w:lineRule="auto"/>
        <w:tabs>
          <w:tab w:leader="none" w:pos="21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24, 2021</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707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Brendan Brennan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891"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302 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Steve Cutler, certify that:</w:t>
      </w:r>
    </w:p>
    <w:p>
      <w:pPr>
        <w:spacing w:after="0" w:line="248"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248" w:lineRule="exact"/>
        <w:rPr>
          <w:rFonts w:ascii="Arial" w:cs="Arial" w:eastAsia="Arial" w:hAnsi="Arial"/>
          <w:sz w:val="16"/>
          <w:szCs w:val="16"/>
          <w:color w:val="auto"/>
        </w:rPr>
      </w:pPr>
    </w:p>
    <w:p>
      <w:pPr>
        <w:ind w:right="20" w:firstLine="8"/>
        <w:spacing w:after="0" w:line="260" w:lineRule="auto"/>
        <w:tabs>
          <w:tab w:leader="none" w:pos="201"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Arial" w:cs="Arial" w:eastAsia="Arial" w:hAnsi="Arial"/>
          <w:sz w:val="16"/>
          <w:szCs w:val="16"/>
          <w:color w:val="auto"/>
        </w:rPr>
      </w:pPr>
    </w:p>
    <w:p>
      <w:pPr>
        <w:ind w:right="20" w:firstLine="8"/>
        <w:spacing w:after="0" w:line="260" w:lineRule="auto"/>
        <w:tabs>
          <w:tab w:leader="none" w:pos="182"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jc w:val="both"/>
        <w:ind w:firstLine="8"/>
        <w:spacing w:after="0" w:line="253" w:lineRule="auto"/>
        <w:tabs>
          <w:tab w:leader="none" w:pos="18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jc w:val="both"/>
        <w:ind w:left="660" w:hanging="409"/>
        <w:spacing w:after="0" w:line="253" w:lineRule="auto"/>
        <w:tabs>
          <w:tab w:leader="none" w:pos="6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hanging="409"/>
        <w:spacing w:after="0" w:line="253" w:lineRule="auto"/>
        <w:tabs>
          <w:tab w:leader="none" w:pos="588"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ind w:left="660" w:hanging="409"/>
        <w:spacing w:after="0" w:line="260" w:lineRule="auto"/>
        <w:tabs>
          <w:tab w:leader="none" w:pos="742"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right="20" w:hanging="409"/>
        <w:spacing w:after="0" w:line="260" w:lineRule="auto"/>
        <w:tabs>
          <w:tab w:leader="none" w:pos="606"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222" w:lineRule="exact"/>
        <w:rPr>
          <w:rFonts w:ascii="Arial" w:cs="Arial" w:eastAsia="Arial" w:hAnsi="Arial"/>
          <w:sz w:val="16"/>
          <w:szCs w:val="16"/>
          <w:color w:val="auto"/>
        </w:rPr>
      </w:pPr>
    </w:p>
    <w:p>
      <w:pPr>
        <w:ind w:firstLine="8"/>
        <w:spacing w:after="0" w:line="260" w:lineRule="auto"/>
        <w:tabs>
          <w:tab w:leader="none" w:pos="20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sz w:val="20"/>
          <w:szCs w:val="20"/>
          <w:color w:val="auto"/>
        </w:rPr>
      </w:pPr>
    </w:p>
    <w:p>
      <w:pPr>
        <w:ind w:firstLine="8"/>
        <w:spacing w:after="0" w:line="260" w:lineRule="auto"/>
        <w:tabs>
          <w:tab w:leader="none" w:pos="204"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firstLine="8"/>
        <w:spacing w:after="0" w:line="260" w:lineRule="auto"/>
        <w:tabs>
          <w:tab w:leader="none" w:pos="21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24,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707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Steve Cutler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89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12.2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2020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228"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840" w:firstLine="8"/>
        <w:spacing w:after="0" w:line="577" w:lineRule="auto"/>
        <w:tabs>
          <w:tab w:leader="none" w:pos="24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February 24, 2021</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707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Brendan Brennan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28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2020 as filed with the Securities and Exchange Commission on the date hereof (the "Report"), I, Steve Cutler, Chief Executive Officer of the Company, certify, pursuant to 18 U.S.C. § 1350, as adopted pursuant to § 906 of the Sarbanes-Oxley Act of 2002, that to my knowledge:</w:t>
      </w:r>
    </w:p>
    <w:p>
      <w:pPr>
        <w:spacing w:after="0" w:line="228"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840" w:firstLine="8"/>
        <w:spacing w:after="0" w:line="577" w:lineRule="auto"/>
        <w:tabs>
          <w:tab w:leader="none" w:pos="24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February 24, 2021</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9707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Steve Cutler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58" w:name="page159"/>
    <w:bookmarkEnd w:id="158"/>
    <w:p>
      <w:pPr>
        <w:ind w:left="10300"/>
        <w:spacing w:after="0"/>
        <w:rPr>
          <w:sz w:val="20"/>
          <w:szCs w:val="20"/>
          <w:color w:val="auto"/>
        </w:rPr>
      </w:pPr>
      <w:r>
        <w:rPr>
          <w:rFonts w:ascii="Arial" w:cs="Arial" w:eastAsia="Arial" w:hAnsi="Arial"/>
          <w:sz w:val="16"/>
          <w:szCs w:val="16"/>
          <w:b w:val="1"/>
          <w:bCs w:val="1"/>
          <w:color w:val="auto"/>
        </w:rPr>
        <w:t>Exhibit 23.1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248" w:lineRule="exact"/>
        <w:rPr>
          <w:sz w:val="20"/>
          <w:szCs w:val="20"/>
          <w:color w:val="auto"/>
        </w:rPr>
      </w:pPr>
    </w:p>
    <w:p>
      <w:pPr>
        <w:jc w:val="both"/>
        <w:spacing w:after="0" w:line="191" w:lineRule="exact"/>
        <w:rPr>
          <w:sz w:val="20"/>
          <w:szCs w:val="20"/>
          <w:color w:val="auto"/>
        </w:rPr>
      </w:pPr>
      <w:r>
        <w:rPr>
          <w:rFonts w:ascii="Arial" w:cs="Arial" w:eastAsia="Arial" w:hAnsi="Arial"/>
          <w:sz w:val="16"/>
          <w:szCs w:val="16"/>
          <w:color w:val="auto"/>
        </w:rPr>
        <w:t>We consent to the incorporation by reference in the registration statements (Nos. 333-231527, 333-204153, 333-190068 and 333-152802) each on Form S-8 of ICON plc of our reports dated February 24, 2021, with respect to the consolidated balance sheets of ICON plc as of December 31, 2020 and 2019, the related consolidated statements of operations, comprehensive income, shareholders’ equity and comprehensive income, and cash flows for each of the years in the three-year period ended December 31, 2020, and the related notes and the effectiveness of internal control over financial reporting as of December 31, 2020, which reports appear in the December 31, 2020 Annual Report on Form 20</w:t>
      </w:r>
      <w:r>
        <w:rPr>
          <w:rFonts w:ascii="MS PGothic" w:cs="MS PGothic" w:eastAsia="MS PGothic" w:hAnsi="MS PGothic"/>
          <w:sz w:val="16"/>
          <w:szCs w:val="16"/>
          <w:color w:val="auto"/>
        </w:rPr>
        <w:t>‑</w:t>
      </w:r>
      <w:r>
        <w:rPr>
          <w:rFonts w:ascii="Arial" w:cs="Arial" w:eastAsia="Arial" w:hAnsi="Arial"/>
          <w:sz w:val="16"/>
          <w:szCs w:val="16"/>
          <w:color w:val="auto"/>
        </w:rPr>
        <w:t>F 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 KPMG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lvl w:ilvl="1">
      <w:lvlJc w:val="left"/>
      <w:lvlText w:val="☒"/>
      <w:numFmt w:val="bullet"/>
      <w:start w:val="1"/>
    </w:lvl>
  </w:abstractNum>
  <w:abstractNum w:abstractNumId="1">
    <w:nsid w:val="51EAD36B"/>
    <w:multiLevelType w:val="hybridMultilevel"/>
    <w:lvl w:ilvl="0">
      <w:lvlJc w:val="left"/>
      <w:lvlText w:val="☐"/>
      <w:numFmt w:val="bullet"/>
      <w:start w:val="1"/>
    </w:lvl>
    <w:lvl w:ilvl="1">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upperLetter"/>
      <w:start w:val="2"/>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upperLetter"/>
      <w:start w:val="1"/>
    </w:lvl>
    <w:lvl w:ilvl="1">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lvl w:ilvl="1">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1."/>
      <w:numFmt w:val="upperLetter"/>
      <w:start w:val="1"/>
    </w:lvl>
  </w:abstractNum>
  <w:abstractNum w:abstractNumId="34">
    <w:nsid w:val="275AC794"/>
    <w:multiLevelType w:val="hybridMultilevel"/>
    <w:lvl w:ilvl="0">
      <w:lvlJc w:val="left"/>
      <w:lvlText w:val="%1."/>
      <w:numFmt w:val="upperLetter"/>
      <w:start w:val="2"/>
    </w:lvl>
  </w:abstractNum>
  <w:abstractNum w:abstractNumId="35">
    <w:nsid w:val="39386575"/>
    <w:multiLevelType w:val="hybridMultilevel"/>
    <w:lvl w:ilvl="0">
      <w:lvlJc w:val="left"/>
      <w:lvlText w:val="%1."/>
      <w:numFmt w:val="upperLetter"/>
      <w:start w:val="3"/>
    </w:lvl>
  </w:abstractNum>
  <w:abstractNum w:abstractNumId="36">
    <w:nsid w:val="1CF10FD8"/>
    <w:multiLevelType w:val="hybridMultilevel"/>
    <w:lvl w:ilvl="0">
      <w:lvlJc w:val="left"/>
      <w:lvlText w:val="%1."/>
      <w:numFmt w:val="upperLetter"/>
      <w:start w:val="4"/>
    </w:lvl>
  </w:abstractNum>
  <w:abstractNum w:abstractNumId="37">
    <w:nsid w:val="180115BE"/>
    <w:multiLevelType w:val="hybridMultilevel"/>
    <w:lvl w:ilvl="0">
      <w:lvlJc w:val="left"/>
      <w:lvlText w:val="%1."/>
      <w:numFmt w:val="upperLetter"/>
      <w:start w:val="5"/>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upperLetter"/>
      <w:start w:val="2"/>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upperLetter"/>
      <w:start w:val="5"/>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upperLetter"/>
      <w:start w:val="2"/>
    </w:lvl>
  </w:abstractNum>
  <w:abstractNum w:abstractNumId="47">
    <w:nsid w:val="7E0C57B1"/>
    <w:multiLevelType w:val="hybridMultilevel"/>
    <w:lvl w:ilvl="0">
      <w:lvlJc w:val="left"/>
      <w:lvlText w:val="%1."/>
      <w:numFmt w:val="upperLetter"/>
      <w:start w:val="1"/>
    </w:lvl>
  </w:abstractNum>
  <w:abstractNum w:abstractNumId="48">
    <w:nsid w:val="77AE35EB"/>
    <w:multiLevelType w:val="hybridMultilevel"/>
    <w:lvl w:ilvl="0">
      <w:lvlJc w:val="left"/>
      <w:lvlText w:val="(%1)"/>
      <w:numFmt w:val="lowerRoman"/>
      <w:start w:val="1"/>
    </w:lvl>
  </w:abstractNum>
  <w:abstractNum w:abstractNumId="49">
    <w:nsid w:val="579BE4F1"/>
    <w:multiLevelType w:val="hybridMultilevel"/>
    <w:lvl w:ilvl="0">
      <w:lvlJc w:val="left"/>
      <w:lvlText w:val="%1."/>
      <w:numFmt w:val="upperLetter"/>
      <w:start w:val="5"/>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upperLetter"/>
      <w:start w:val="6"/>
    </w:lvl>
  </w:abstractNum>
  <w:abstractNum w:abstractNumId="58">
    <w:nsid w:val="5DB70AE5"/>
    <w:multiLevelType w:val="hybridMultilevel"/>
    <w:lvl w:ilvl="0">
      <w:lvlJc w:val="left"/>
      <w:lvlText w:val="%1."/>
      <w:numFmt w:val="upperLetter"/>
      <w:start w:val="9"/>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endash "/>
      <w:numFmt w:val="bullet"/>
      <w:start w:val="1"/>
    </w:lvl>
  </w:abstractNum>
  <w:abstractNum w:abstractNumId="62">
    <w:nsid w:val="5F5E7FD0"/>
    <w:multiLevelType w:val="hybridMultilevel"/>
    <w:lvl w:ilvl="0">
      <w:lvlJc w:val="left"/>
      <w:lvlText w:val="(%1)"/>
      <w:numFmt w:val="lowerLetter"/>
      <w:start w:val="2"/>
    </w:lvl>
  </w:abstractNum>
  <w:abstractNum w:abstractNumId="63">
    <w:nsid w:val="98A3148"/>
    <w:multiLevelType w:val="hybridMultilevel"/>
    <w:lvl w:ilvl="0">
      <w:lvlJc w:val="left"/>
      <w:lvlText w:val="(%1)"/>
      <w:numFmt w:val="lowerLetter"/>
      <w:start w:val="3"/>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lowerLetter"/>
      <w:start w:val="4"/>
    </w:lvl>
  </w:abstractNum>
  <w:abstractNum w:abstractNumId="68">
    <w:nsid w:val="1EBA5D23"/>
    <w:multiLevelType w:val="hybridMultilevel"/>
    <w:lvl w:ilvl="0">
      <w:lvlJc w:val="left"/>
      <w:lvlText w:val="%1)"/>
      <w:numFmt w:val="lowerLetter"/>
      <w:start w:val="5"/>
    </w:lvl>
  </w:abstractNum>
  <w:abstractNum w:abstractNumId="69">
    <w:nsid w:val="661E3F1E"/>
    <w:multiLevelType w:val="hybridMultilevel"/>
    <w:lvl w:ilvl="0">
      <w:lvlJc w:val="left"/>
      <w:lvlText w:val="%1)"/>
      <w:numFmt w:val="lowerLetter"/>
      <w:start w:val="7"/>
    </w:lvl>
  </w:abstractNum>
  <w:abstractNum w:abstractNumId="70">
    <w:nsid w:val="5DC79EA8"/>
    <w:multiLevelType w:val="hybridMultilevel"/>
    <w:lvl w:ilvl="0">
      <w:lvlJc w:val="left"/>
      <w:lvlText w:val="%1."/>
      <w:numFmt w:val="decimal"/>
      <w:start w:val="28"/>
    </w:lvl>
  </w:abstractNum>
  <w:abstractNum w:abstractNumId="71">
    <w:nsid w:val="540A471C"/>
    <w:multiLevelType w:val="hybridMultilevel"/>
    <w:lvl w:ilvl="0">
      <w:lvlJc w:val="left"/>
      <w:lvlText w:val="%1."/>
      <w:numFmt w:val="decimal"/>
      <w:start w:val="1"/>
    </w:lvl>
    <w:lvl w:ilvl="1">
      <w:lvlJc w:val="left"/>
      <w:lvlText w:val="%2)"/>
      <w:numFmt w:val="lowerLetter"/>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119" Type="http://schemas.openxmlformats.org/officeDocument/2006/relationships/hyperlink" Target="https://www.sec.gov/Archives/edgar/data/1060955/000114036121006002/nc10020781x8_ex2-1.htm" TargetMode="External"/><Relationship Id="rId120" Type="http://schemas.openxmlformats.org/officeDocument/2006/relationships/hyperlink" Target="http://www.sec.gov/Archives/edgar/data/1060955/000115752316006157/a51386268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2021-02-24T16:20:46Z</dcterms:created>
  <dcterms:modified xsi:type="dcterms:W3CDTF">2021-02-24T16:20:46Z</dcterms:modified>
</cp:coreProperties>
</file>