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22"/>
          <w:szCs w:val="22"/>
          <w:color w:val="auto"/>
        </w:rPr>
        <w:t>Filed by ICON plc</w:t>
      </w:r>
    </w:p>
    <w:p>
      <w:pPr>
        <w:jc w:val="right"/>
        <w:spacing w:after="0" w:line="238" w:lineRule="auto"/>
        <w:rPr>
          <w:sz w:val="20"/>
          <w:szCs w:val="20"/>
          <w:color w:val="auto"/>
        </w:rPr>
      </w:pPr>
      <w:r>
        <w:rPr>
          <w:rFonts w:ascii="Arial" w:cs="Arial" w:eastAsia="Arial" w:hAnsi="Arial"/>
          <w:sz w:val="22"/>
          <w:szCs w:val="22"/>
          <w:color w:val="auto"/>
        </w:rPr>
        <w:t>This communication is filed pursuant to Rule 425 under the United States Securities Act of 1933</w:t>
      </w:r>
    </w:p>
    <w:p>
      <w:pPr>
        <w:jc w:val="right"/>
        <w:spacing w:after="0" w:line="230" w:lineRule="auto"/>
        <w:rPr>
          <w:sz w:val="20"/>
          <w:szCs w:val="20"/>
          <w:color w:val="auto"/>
        </w:rPr>
      </w:pPr>
      <w:r>
        <w:rPr>
          <w:rFonts w:ascii="Arial" w:cs="Arial" w:eastAsia="Arial" w:hAnsi="Arial"/>
          <w:sz w:val="22"/>
          <w:szCs w:val="22"/>
          <w:color w:val="auto"/>
        </w:rPr>
        <w:t>Subject Company: PRA Health Sciences, Inc.</w:t>
      </w:r>
    </w:p>
    <w:p>
      <w:pPr>
        <w:spacing w:after="0" w:line="1" w:lineRule="exact"/>
        <w:rPr>
          <w:sz w:val="24"/>
          <w:szCs w:val="24"/>
          <w:color w:val="auto"/>
        </w:rPr>
      </w:pPr>
    </w:p>
    <w:p>
      <w:pPr>
        <w:ind w:left="8260"/>
        <w:spacing w:after="0"/>
        <w:rPr>
          <w:sz w:val="20"/>
          <w:szCs w:val="20"/>
          <w:color w:val="auto"/>
        </w:rPr>
      </w:pPr>
      <w:r>
        <w:rPr>
          <w:rFonts w:ascii="Arial" w:cs="Arial" w:eastAsia="Arial" w:hAnsi="Arial"/>
          <w:sz w:val="19"/>
          <w:szCs w:val="19"/>
          <w:color w:val="auto"/>
        </w:rPr>
        <w:t>(Commission File No. 001-36732)</w:t>
      </w:r>
    </w:p>
    <w:p>
      <w:pPr>
        <w:spacing w:after="0" w:line="25" w:lineRule="exact"/>
        <w:rPr>
          <w:sz w:val="24"/>
          <w:szCs w:val="24"/>
          <w:color w:val="auto"/>
        </w:rPr>
      </w:pPr>
    </w:p>
    <w:p>
      <w:pPr>
        <w:ind w:left="9120"/>
        <w:spacing w:after="0"/>
        <w:rPr>
          <w:sz w:val="20"/>
          <w:szCs w:val="20"/>
          <w:color w:val="auto"/>
        </w:rPr>
      </w:pPr>
      <w:r>
        <w:rPr>
          <w:rFonts w:ascii="Arial" w:cs="Arial" w:eastAsia="Arial" w:hAnsi="Arial"/>
          <w:sz w:val="19"/>
          <w:szCs w:val="19"/>
          <w:color w:val="auto"/>
        </w:rPr>
        <w:t>Date: February 25, 2021</w:t>
      </w:r>
    </w:p>
    <w:p>
      <w:pPr>
        <w:spacing w:after="0" w:line="250" w:lineRule="exact"/>
        <w:rPr>
          <w:sz w:val="24"/>
          <w:szCs w:val="24"/>
          <w:color w:val="auto"/>
        </w:rPr>
      </w:pPr>
    </w:p>
    <w:p>
      <w:pPr>
        <w:spacing w:after="0"/>
        <w:rPr>
          <w:sz w:val="20"/>
          <w:szCs w:val="20"/>
          <w:color w:val="auto"/>
        </w:rPr>
      </w:pPr>
      <w:r>
        <w:rPr>
          <w:rFonts w:ascii="Arial" w:cs="Arial" w:eastAsia="Arial" w:hAnsi="Arial"/>
          <w:sz w:val="19"/>
          <w:szCs w:val="19"/>
          <w:color w:val="auto"/>
        </w:rPr>
        <w:t>The following communications were made available by ICON plc via Social Media as indicated below on February 25, 2021.</w:t>
      </w:r>
    </w:p>
    <w:p>
      <w:pPr>
        <w:spacing w:after="0" w:line="262"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Twitter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165100</wp:posOffset>
            </wp:positionV>
            <wp:extent cx="7132320" cy="33864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386455"/>
                    </a:xfrm>
                    <a:prstGeom prst="rect">
                      <a:avLst/>
                    </a:prstGeom>
                    <a:noFill/>
                  </pic:spPr>
                </pic:pic>
              </a:graphicData>
            </a:graphic>
          </wp:anchor>
        </w:drawing>
      </w:r>
    </w:p>
    <w:p>
      <w:pPr>
        <w:sectPr>
          <w:pgSz w:w="11900" w:h="16838" w:orient="portrait"/>
          <w:cols w:equalWidth="0" w:num="1">
            <w:col w:w="11240"/>
          </w:cols>
          <w:pgMar w:left="320" w:top="712" w:right="339" w:bottom="1440" w:gutter="0" w:footer="0" w:header="0"/>
        </w:sectPr>
      </w:pPr>
    </w:p>
    <w:bookmarkStart w:id="1" w:name="page2"/>
    <w:bookmarkEnd w:id="1"/>
    <w:p>
      <w:pPr>
        <w:spacing w:after="0"/>
        <w:rPr>
          <w:sz w:val="20"/>
          <w:szCs w:val="20"/>
          <w:color w:val="auto"/>
        </w:rPr>
      </w:pPr>
      <w:r>
        <w:rPr>
          <w:rFonts w:ascii="Arial" w:cs="Arial" w:eastAsia="Arial" w:hAnsi="Arial"/>
          <w:sz w:val="21"/>
          <w:szCs w:val="21"/>
          <w:b w:val="1"/>
          <w:bCs w:val="1"/>
          <w:color w:val="auto"/>
        </w:rPr>
        <w:t>LinkedIn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172720</wp:posOffset>
            </wp:positionV>
            <wp:extent cx="7132320" cy="35401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3540125"/>
                    </a:xfrm>
                    <a:prstGeom prst="rect">
                      <a:avLst/>
                    </a:prstGeom>
                    <a:noFill/>
                  </pic:spPr>
                </pic:pic>
              </a:graphicData>
            </a:graphic>
          </wp:anchor>
        </w:drawing>
      </w:r>
    </w:p>
    <w:p>
      <w:pPr>
        <w:sectPr>
          <w:pgSz w:w="11900" w:h="16838" w:orient="portrait"/>
          <w:cols w:equalWidth="0" w:num="1">
            <w:col w:w="10139"/>
          </w:cols>
          <w:pgMar w:left="320" w:top="598" w:right="1440" w:bottom="1440" w:gutter="0" w:footer="0" w:header="0"/>
        </w:sectPr>
      </w:pPr>
    </w:p>
    <w:bookmarkStart w:id="2" w:name="page3"/>
    <w:bookmarkEnd w:id="2"/>
    <w:p>
      <w:pPr>
        <w:spacing w:after="0"/>
        <w:rPr>
          <w:sz w:val="20"/>
          <w:szCs w:val="20"/>
          <w:color w:val="auto"/>
        </w:rPr>
      </w:pPr>
      <w:r>
        <w:rPr>
          <w:rFonts w:ascii="Arial" w:cs="Arial" w:eastAsia="Arial" w:hAnsi="Arial"/>
          <w:sz w:val="19"/>
          <w:szCs w:val="19"/>
          <w:b w:val="1"/>
          <w:bCs w:val="1"/>
          <w:color w:val="auto"/>
        </w:rPr>
        <w:t>Facebook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3075940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1007745</wp:posOffset>
            </wp:positionH>
            <wp:positionV relativeFrom="paragraph">
              <wp:posOffset>187325</wp:posOffset>
            </wp:positionV>
            <wp:extent cx="5134610" cy="24688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134610" cy="2468880"/>
                    </a:xfrm>
                    <a:prstGeom prst="rect">
                      <a:avLst/>
                    </a:prstGeom>
                    <a:noFill/>
                  </pic:spPr>
                </pic:pic>
              </a:graphicData>
            </a:graphic>
          </wp:anchor>
        </w:drawing>
      </w:r>
    </w:p>
    <w:p>
      <w:pPr>
        <w:sectPr>
          <w:pgSz w:w="11900" w:h="16838" w:orient="portrait"/>
          <w:cols w:equalWidth="0" w:num="1">
            <w:col w:w="10139"/>
          </w:cols>
          <w:pgMar w:left="320" w:top="598" w:right="1440" w:bottom="1440" w:gutter="0" w:footer="0" w:header="0"/>
        </w:sectPr>
      </w:pPr>
    </w:p>
    <w:bookmarkStart w:id="3" w:name="page4"/>
    <w:bookmarkEnd w:id="3"/>
    <w:p>
      <w:pPr>
        <w:spacing w:after="0"/>
        <w:rPr>
          <w:sz w:val="20"/>
          <w:szCs w:val="20"/>
          <w:color w:val="auto"/>
        </w:rPr>
      </w:pPr>
      <w:r>
        <w:rPr>
          <w:rFonts w:ascii="Arial" w:cs="Arial" w:eastAsia="Arial" w:hAnsi="Arial"/>
          <w:sz w:val="22"/>
          <w:szCs w:val="22"/>
          <w:b w:val="1"/>
          <w:bCs w:val="1"/>
          <w:color w:val="auto"/>
        </w:rPr>
        <w:t>Cautionary Note Regarding Forward-Looking Statements</w:t>
      </w:r>
    </w:p>
    <w:p>
      <w:pPr>
        <w:spacing w:after="0" w:line="240" w:lineRule="exact"/>
        <w:rPr>
          <w:sz w:val="20"/>
          <w:szCs w:val="20"/>
          <w:color w:val="auto"/>
        </w:rPr>
      </w:pPr>
    </w:p>
    <w:p>
      <w:pPr>
        <w:spacing w:after="0" w:line="268" w:lineRule="auto"/>
        <w:rPr>
          <w:sz w:val="20"/>
          <w:szCs w:val="20"/>
          <w:color w:val="auto"/>
        </w:rPr>
      </w:pPr>
      <w:r>
        <w:rPr>
          <w:rFonts w:ascii="Arial" w:cs="Arial" w:eastAsia="Arial" w:hAnsi="Arial"/>
          <w:sz w:val="19"/>
          <w:szCs w:val="19"/>
          <w:color w:val="auto"/>
        </w:rPr>
        <w:t>This communication contains forward-looking statements within the meaning of the Private Securities Litigation Reform Act of 1995, Section 27A of the Securities Act of 1933, as amended, and Section 21E of the Securities Exchange Act of 1934, as amended. These forward-looking statements generally include statements regarding the potential transaction between ICON public limited company, a public limited company in Ireland (“ICON”) and PRA Health Sciences, Inc., a Delaware corporation (“PRA”), including any statements regarding the expected timetable for completing the potential transaction, the ability to complete the potential transaction, the expected benefits of the potential transaction (including anticipated synergies, projected financial information and future opportunities) and any other statements regarding ICON’s and PRA’s future expectations, beliefs, plans, objectives, results of operations, financial condition and cash flows, or future events or performance. These statements are often, but not always, made through the use of words or phrases such as “anticipate,” “intend,” “plan,” “believe,” “project,” “estimate,” “expect,” “may,” “should,” “will” and similar expressions. All such forward-looking statements are based on current expectations of ICON’s and PRA’s management and therefore involve estimates and assumptions that are subject to risks, uncertainties and other factors that could cause actual results to differ materially from the results expressed in the statements. Key factors that could cause actual results to differ materially from those projected in the forward-looking statements include the ability to obtain the requisite ICON and PRA stockholder approvals; uncertainties as to the timing to consummate the potential transaction; the risk that a condition to closing the potential transaction may not be satisfied; the risk that regulatory approvals are not obtained or are obtained subject to conditions that are not anticipated by the parties; potential litigation relating to the potential transaction that could be instituted against ICON, PRA or their respective directors; the effects of disruption to ICON’s or PRA’s respective businesses; restrictions during the pendency of the potential transaction that may impact ICON’s or PRA’s ability to pursue certain business opportunities or strategic transactions; the effect of this communication on ICON’s or PRA’s stock prices; transaction costs; ICON’s ability to achieve the benefits from the proposed transaction; ICON’s ability to effectively integrate acquired operations into its own operations; the ability of ICON or PRA to retain and hire key personnel; unknown liabilities; and the diversion of management time on transaction-related issues. Other important factors that could cause actual results to differ materially from those in the forward-looking statements include the effects of industry, market, economic, political or regulatory conditions outside of ICON’s or PRA’s control (including public health crises, such as pandemics and epidemics); risks regarding PRA’s ability to maintain large customer contracts or enter into new contracts; PRA’s ability to attract suitable investigators and patients for its clinical trials; PRA’s ability to keep pace with rapid technological change; PRA’s potential liability if a patient is harmed; and the factors set forth under the heading “Risk Factors” of ICON’s Annual Report on Form 20-F and PRA’s Annual Report on Form 10-K, and in subsequent filings with the U.S. Securities and Exchange Commission (the “SEC”). These risks, as well as other risks associated with the potential transaction, are more fully discussed in the joint proxy statement/prospectus to be filed with the SEC in connection with the proposed transaction. Other unpredictable or unknown factors not discussed in this communication could also have material adverse effects on forward-looking statements. Neither ICON nor PRA assumes any obligation to update any forward-looking statements, except as required by law. Readers are cautioned not to place undue reliance on these forward-looking statements that speak only as of the date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259715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112" w:right="379" w:bottom="1440" w:gutter="0" w:footer="0" w:header="0"/>
        </w:sectPr>
      </w:pPr>
    </w:p>
    <w:bookmarkStart w:id="4" w:name="page5"/>
    <w:bookmarkEnd w:id="4"/>
    <w:p>
      <w:pPr>
        <w:spacing w:after="0"/>
        <w:rPr>
          <w:sz w:val="20"/>
          <w:szCs w:val="20"/>
          <w:color w:val="auto"/>
        </w:rPr>
      </w:pPr>
      <w:r>
        <w:rPr>
          <w:rFonts w:ascii="Arial" w:cs="Arial" w:eastAsia="Arial" w:hAnsi="Arial"/>
          <w:sz w:val="22"/>
          <w:szCs w:val="22"/>
          <w:b w:val="1"/>
          <w:bCs w:val="1"/>
          <w:color w:val="auto"/>
        </w:rPr>
        <w:t>No Offer or Solicitation</w:t>
      </w:r>
    </w:p>
    <w:p>
      <w:pPr>
        <w:spacing w:after="0" w:line="240" w:lineRule="exact"/>
        <w:rPr>
          <w:sz w:val="20"/>
          <w:szCs w:val="20"/>
          <w:color w:val="auto"/>
        </w:rPr>
      </w:pPr>
    </w:p>
    <w:p>
      <w:pPr>
        <w:ind w:right="120"/>
        <w:spacing w:after="0" w:line="287" w:lineRule="auto"/>
        <w:rPr>
          <w:sz w:val="20"/>
          <w:szCs w:val="20"/>
          <w:color w:val="auto"/>
        </w:rPr>
      </w:pPr>
      <w:r>
        <w:rPr>
          <w:rFonts w:ascii="Arial" w:cs="Arial" w:eastAsia="Arial" w:hAnsi="Arial"/>
          <w:sz w:val="19"/>
          <w:szCs w:val="19"/>
          <w:color w:val="auto"/>
        </w:rPr>
        <w:t>This communication does not constitute an offer to sell or the solicitation of an offer to buy any securities or a solicitation of any vote or approval,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w:t>
      </w:r>
    </w:p>
    <w:p>
      <w:pPr>
        <w:spacing w:after="0" w:line="16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Important Information for Investors and Stockholders</w:t>
      </w:r>
    </w:p>
    <w:p>
      <w:pPr>
        <w:spacing w:after="0" w:line="239" w:lineRule="exact"/>
        <w:rPr>
          <w:sz w:val="20"/>
          <w:szCs w:val="20"/>
          <w:color w:val="auto"/>
        </w:rPr>
      </w:pPr>
    </w:p>
    <w:p>
      <w:pPr>
        <w:ind w:right="40"/>
        <w:spacing w:after="0" w:line="271" w:lineRule="auto"/>
        <w:rPr>
          <w:sz w:val="20"/>
          <w:szCs w:val="20"/>
          <w:color w:val="auto"/>
        </w:rPr>
      </w:pPr>
      <w:r>
        <w:rPr>
          <w:rFonts w:ascii="Arial" w:cs="Arial" w:eastAsia="Arial" w:hAnsi="Arial"/>
          <w:sz w:val="19"/>
          <w:szCs w:val="19"/>
          <w:color w:val="auto"/>
        </w:rPr>
        <w:t>In connection with the potential transaction, ICON expects to file a registration statement on Form F-4 with the SEC containing a preliminary prospectus of ICON that also constitutes a preliminary proxy statement of each of ICON and PRA. After the registration statement is declared effective, each of ICON and PRA will mail a definitive joint proxy statement/prospectus to stockholders of ICON and PRA, respectively. This communication is not a substitute for the joint proxy statement/prospectus or registration statement or for any other document that ICON or PRA may file with the SEC in connection with the potential transaction. INVESTORS AND SECURITY HOLDERS OF ICON AND PRA ARE URGED TO READ THE JOINT PROXY STATEMENT/PROSPECTUS AND OTHER DOCUMENTS THAT ARE FILED OR WILL BE FILED WITH THE SEC, AS WELL AS ANY AMENDMENTS OR SUPPLEMENTS TO THESE DOCUMENTS, CAREFULLY AND IN THEIR ENTIRETY WHEN THEY BECOME AVAILABLE BECAUSE THEY WILL CONTAIN IMPORTANT INFORMATION. Investors and security holders will be able to obtain free copies of the joint proxy statement/prospectus (when available) and other documents filed with the SEC by ICON or PRA through the website maintained by the SEC at http://www.sec.gov. Copies of the documents filed with the SEC by ICON will be available free of charge on ICON’s website at https://www.iconplc.com and copies of the documents filed with the SEC by PRA will be available free of charge on PRA’s website at https://www.prahs.com/. Additionally, copies may be obtained by contacting the investor relations departments of ICON or PRA.</w:t>
      </w:r>
    </w:p>
    <w:p>
      <w:pPr>
        <w:spacing w:after="0" w:line="191" w:lineRule="exact"/>
        <w:rPr>
          <w:sz w:val="20"/>
          <w:szCs w:val="20"/>
          <w:color w:val="auto"/>
        </w:rPr>
      </w:pPr>
    </w:p>
    <w:p>
      <w:pPr>
        <w:spacing w:after="0" w:line="275" w:lineRule="auto"/>
        <w:rPr>
          <w:sz w:val="20"/>
          <w:szCs w:val="20"/>
          <w:color w:val="auto"/>
        </w:rPr>
      </w:pPr>
      <w:r>
        <w:rPr>
          <w:rFonts w:ascii="Arial" w:cs="Arial" w:eastAsia="Arial" w:hAnsi="Arial"/>
          <w:sz w:val="19"/>
          <w:szCs w:val="19"/>
          <w:color w:val="auto"/>
        </w:rPr>
        <w:t>ICON and PRA and certain of their respective directors, certain of their respective executive officers and other members of management and employees may be considered participants in the solicitation of proxies with respect to the potential transaction under the rules of the SEC. Information about the directors and executive officers of ICON is set forth in its annual report on Form 20-F, which was filed with the SEC on February 24, 2021. Information about the directors and executive officers of PRA is set forth in its proxy statement for its 2020 annual meeting of stockholders, which was filed with the SEC on April 3, 2020. These documents can be obtained free of charge from the sources indicated above. Additional information regarding the interests of such participants in the solicitation of proxies in respect of the potential transaction will be included in the registration statement and joint proxy statement/prospectus and other relevant materials to be filed with the SEC when they become available.</w:t>
      </w:r>
    </w:p>
    <w:p>
      <w:pPr>
        <w:spacing w:after="0" w:line="184" w:lineRule="exact"/>
        <w:rPr>
          <w:sz w:val="20"/>
          <w:szCs w:val="20"/>
          <w:color w:val="auto"/>
        </w:rPr>
      </w:pPr>
    </w:p>
    <w:p>
      <w:pPr>
        <w:jc w:val="both"/>
        <w:ind w:right="100"/>
        <w:spacing w:after="0" w:line="297" w:lineRule="auto"/>
        <w:rPr>
          <w:sz w:val="20"/>
          <w:szCs w:val="20"/>
          <w:color w:val="auto"/>
        </w:rPr>
      </w:pPr>
      <w:r>
        <w:rPr>
          <w:rFonts w:ascii="Arial" w:cs="Arial" w:eastAsia="Arial" w:hAnsi="Arial"/>
          <w:sz w:val="19"/>
          <w:szCs w:val="19"/>
          <w:color w:val="auto"/>
        </w:rPr>
        <w:t>The term “ICON” and such terms as “the company,” “our,” “we,” “us” and “its” may refer to ICON public limited company, one or more of its consolidated subsidiaries, or to all of them taken as a whole. All of these terms are used for convenience only and are not intended as a precise description of any of the separate companies, each of which manages its own affairs.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184150</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sectPr>
      <w:pgSz w:w="11900" w:h="16838" w:orient="portrait"/>
      <w:cols w:equalWidth="0" w:num="1">
        <w:col w:w="11240"/>
      </w:cols>
      <w:pgMar w:left="320" w:top="11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2021-02-25T13:45:13Z</dcterms:created>
  <dcterms:modified xsi:type="dcterms:W3CDTF">2021-02-25T13:45:13Z</dcterms:modified>
</cp:coreProperties>
</file>