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As filed with the Securities and Exchange Commission on April 18, 2006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9" w:gutter="0" w:footer="0" w:header="0"/>
        </w:sectPr>
      </w:pPr>
    </w:p>
    <w:p>
      <w:pPr>
        <w:spacing w:after="0" w:line="39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208280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F-3</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152400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ICON PUBLIC LIMITED COMPANY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45" w:lineRule="exact"/>
        <w:rPr>
          <w:sz w:val="24"/>
          <w:szCs w:val="24"/>
          <w:color w:val="auto"/>
        </w:rPr>
      </w:pPr>
    </w:p>
    <w:tbl>
      <w:tblPr>
        <w:tblLayout w:type="fixed"/>
        <w:tblInd w:w="1220" w:type="dxa"/>
        <w:tblCellMar>
          <w:top w:w="0" w:type="dxa"/>
          <w:left w:w="0" w:type="dxa"/>
          <w:bottom w:w="0" w:type="dxa"/>
          <w:right w:w="0" w:type="dxa"/>
        </w:tblCellMar>
      </w:tblPr>
      <w:tr>
        <w:trPr>
          <w:trHeight w:val="228"/>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Ireland</w:t>
            </w:r>
          </w:p>
        </w:tc>
        <w:tc>
          <w:tcPr>
            <w:tcW w:w="1720" w:type="dxa"/>
            <w:vAlign w:val="bottom"/>
          </w:tcPr>
          <w:p>
            <w:pPr>
              <w:spacing w:after="0"/>
              <w:rPr>
                <w:sz w:val="19"/>
                <w:szCs w:val="19"/>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8"/>
              </w:rPr>
              <w:t>Not Applicable</w:t>
            </w:r>
          </w:p>
        </w:tc>
      </w:tr>
      <w:tr>
        <w:trPr>
          <w:trHeight w:val="231"/>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1720" w:type="dxa"/>
            <w:vAlign w:val="bottom"/>
          </w:tcPr>
          <w:p>
            <w:pPr>
              <w:spacing w:after="0"/>
              <w:rPr>
                <w:sz w:val="20"/>
                <w:szCs w:val="20"/>
                <w:color w:val="auto"/>
              </w:rPr>
            </w:pPr>
          </w:p>
        </w:tc>
        <w:tc>
          <w:tcPr>
            <w:tcW w:w="3060" w:type="dxa"/>
            <w:vAlign w:val="bottom"/>
          </w:tcPr>
          <w:p>
            <w:pPr>
              <w:jc w:val="center"/>
              <w:ind w:left="778"/>
              <w:spacing w:after="0"/>
              <w:rPr>
                <w:sz w:val="20"/>
                <w:szCs w:val="20"/>
                <w:color w:val="auto"/>
              </w:rPr>
            </w:pPr>
            <w:r>
              <w:rPr>
                <w:rFonts w:ascii="Arial" w:cs="Arial" w:eastAsia="Arial" w:hAnsi="Arial"/>
                <w:sz w:val="14"/>
                <w:szCs w:val="14"/>
                <w:color w:val="auto"/>
                <w:w w:val="90"/>
              </w:rPr>
              <w:t>(I.R.S. Employer Identification Number)</w:t>
            </w:r>
          </w:p>
        </w:tc>
      </w:tr>
      <w:tr>
        <w:trPr>
          <w:trHeight w:val="498"/>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7"/>
              </w:rPr>
              <w:t>ICON plc</w:t>
            </w:r>
          </w:p>
        </w:tc>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6"/>
              </w:rPr>
              <w:t>South County Business Park</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9"/>
              </w:rPr>
              <w:t>CT Corporation System</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8"/>
              </w:rPr>
              <w:t>Leopardstown, Dublin 18</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6"/>
              </w:rPr>
              <w:t>111 Eighth Avenue</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Ireland</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9"/>
              </w:rPr>
              <w:t>New York, New York 10011</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0"/>
              </w:rPr>
              <w:t>(353) 1-291-2000</w:t>
            </w:r>
          </w:p>
        </w:tc>
        <w:tc>
          <w:tcPr>
            <w:tcW w:w="4780" w:type="dxa"/>
            <w:vAlign w:val="bottom"/>
            <w:gridSpan w:val="2"/>
          </w:tcPr>
          <w:p>
            <w:pPr>
              <w:jc w:val="center"/>
              <w:ind w:left="2472"/>
              <w:spacing w:after="0"/>
              <w:rPr>
                <w:sz w:val="20"/>
                <w:szCs w:val="20"/>
                <w:color w:val="auto"/>
              </w:rPr>
            </w:pPr>
            <w:r>
              <w:rPr>
                <w:rFonts w:ascii="Arial" w:cs="Arial" w:eastAsia="Arial" w:hAnsi="Arial"/>
                <w:sz w:val="18"/>
                <w:szCs w:val="18"/>
                <w:b w:val="1"/>
                <w:bCs w:val="1"/>
                <w:color w:val="auto"/>
                <w:w w:val="89"/>
              </w:rPr>
              <w:t>(212) 590-9332</w:t>
            </w:r>
          </w:p>
        </w:tc>
      </w:tr>
      <w:tr>
        <w:trPr>
          <w:trHeight w:val="231"/>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6"/>
              </w:rPr>
              <w:t>(Address and telephone number of Registrant’s</w:t>
            </w:r>
          </w:p>
        </w:tc>
        <w:tc>
          <w:tcPr>
            <w:tcW w:w="1720" w:type="dxa"/>
            <w:vAlign w:val="bottom"/>
          </w:tcPr>
          <w:p>
            <w:pPr>
              <w:spacing w:after="0"/>
              <w:rPr>
                <w:sz w:val="20"/>
                <w:szCs w:val="20"/>
                <w:color w:val="auto"/>
              </w:rPr>
            </w:pPr>
          </w:p>
        </w:tc>
        <w:tc>
          <w:tcPr>
            <w:tcW w:w="3060" w:type="dxa"/>
            <w:vAlign w:val="bottom"/>
          </w:tcPr>
          <w:p>
            <w:pPr>
              <w:jc w:val="center"/>
              <w:ind w:left="758"/>
              <w:spacing w:after="0"/>
              <w:rPr>
                <w:sz w:val="20"/>
                <w:szCs w:val="20"/>
                <w:color w:val="auto"/>
              </w:rPr>
            </w:pPr>
            <w:r>
              <w:rPr>
                <w:rFonts w:ascii="Arial" w:cs="Arial" w:eastAsia="Arial" w:hAnsi="Arial"/>
                <w:sz w:val="14"/>
                <w:szCs w:val="14"/>
                <w:color w:val="auto"/>
                <w:w w:val="85"/>
              </w:rPr>
              <w:t>(Name, address and telephone number of</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4"/>
                <w:szCs w:val="14"/>
                <w:color w:val="auto"/>
                <w:w w:val="88"/>
              </w:rPr>
              <w:t>principal executive offices)</w:t>
            </w:r>
          </w:p>
        </w:tc>
        <w:tc>
          <w:tcPr>
            <w:tcW w:w="1720" w:type="dxa"/>
            <w:vAlign w:val="bottom"/>
          </w:tcPr>
          <w:p>
            <w:pPr>
              <w:spacing w:after="0"/>
              <w:rPr>
                <w:sz w:val="21"/>
                <w:szCs w:val="21"/>
                <w:color w:val="auto"/>
              </w:rPr>
            </w:pPr>
          </w:p>
        </w:tc>
        <w:tc>
          <w:tcPr>
            <w:tcW w:w="3060" w:type="dxa"/>
            <w:vAlign w:val="bottom"/>
          </w:tcPr>
          <w:p>
            <w:pPr>
              <w:jc w:val="center"/>
              <w:ind w:left="758"/>
              <w:spacing w:after="0"/>
              <w:rPr>
                <w:sz w:val="20"/>
                <w:szCs w:val="20"/>
                <w:color w:val="auto"/>
              </w:rPr>
            </w:pPr>
            <w:r>
              <w:rPr>
                <w:rFonts w:ascii="Arial" w:cs="Arial" w:eastAsia="Arial" w:hAnsi="Arial"/>
                <w:sz w:val="14"/>
                <w:szCs w:val="14"/>
                <w:color w:val="auto"/>
                <w:w w:val="86"/>
              </w:rPr>
              <w:t>agent for service)</w:t>
            </w:r>
          </w:p>
        </w:tc>
      </w:tr>
      <w:tr>
        <w:trPr>
          <w:trHeight w:val="122"/>
        </w:trPr>
        <w:tc>
          <w:tcPr>
            <w:tcW w:w="364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3060" w:type="dxa"/>
            <w:vAlign w:val="bottom"/>
          </w:tcPr>
          <w:p>
            <w:pPr>
              <w:spacing w:after="0"/>
              <w:rPr>
                <w:sz w:val="10"/>
                <w:szCs w:val="10"/>
                <w:color w:val="auto"/>
              </w:rPr>
            </w:pPr>
          </w:p>
        </w:tc>
      </w:tr>
      <w:tr>
        <w:trPr>
          <w:trHeight w:val="316"/>
        </w:trPr>
        <w:tc>
          <w:tcPr>
            <w:tcW w:w="3640" w:type="dxa"/>
            <w:vAlign w:val="bottom"/>
          </w:tcPr>
          <w:p>
            <w:pPr>
              <w:spacing w:after="0"/>
              <w:rPr>
                <w:sz w:val="24"/>
                <w:szCs w:val="24"/>
                <w:color w:val="auto"/>
              </w:rPr>
            </w:pPr>
          </w:p>
        </w:tc>
        <w:tc>
          <w:tcPr>
            <w:tcW w:w="478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486"/>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7"/>
              </w:rPr>
              <w:t>Ciaran Murray</w:t>
            </w:r>
          </w:p>
        </w:tc>
        <w:tc>
          <w:tcPr>
            <w:tcW w:w="1720" w:type="dxa"/>
            <w:vAlign w:val="bottom"/>
          </w:tcPr>
          <w:p>
            <w:pPr>
              <w:spacing w:after="0"/>
              <w:rPr>
                <w:sz w:val="24"/>
                <w:szCs w:val="24"/>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93"/>
              </w:rPr>
              <w:t>William M. Hartnett, Esq.</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Chief Financial Officer ICON plc</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92"/>
              </w:rPr>
              <w:t xml:space="preserve">Cahill Gordon &amp; Reindel </w:t>
            </w:r>
            <w:r>
              <w:rPr>
                <w:rFonts w:ascii="Arial" w:cs="Arial" w:eastAsia="Arial" w:hAnsi="Arial"/>
                <w:sz w:val="13"/>
                <w:szCs w:val="13"/>
                <w:b w:val="1"/>
                <w:bCs w:val="1"/>
                <w:color w:val="auto"/>
                <w:w w:val="92"/>
              </w:rPr>
              <w:t>LLP</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6"/>
              </w:rPr>
              <w:t>South County Business Park</w:t>
            </w:r>
          </w:p>
        </w:tc>
        <w:tc>
          <w:tcPr>
            <w:tcW w:w="1720" w:type="dxa"/>
            <w:vAlign w:val="bottom"/>
          </w:tcPr>
          <w:p>
            <w:pPr>
              <w:spacing w:after="0"/>
              <w:rPr>
                <w:sz w:val="21"/>
                <w:szCs w:val="21"/>
                <w:color w:val="auto"/>
              </w:rPr>
            </w:pPr>
          </w:p>
        </w:tc>
        <w:tc>
          <w:tcPr>
            <w:tcW w:w="3060" w:type="dxa"/>
            <w:vAlign w:val="bottom"/>
          </w:tcPr>
          <w:p>
            <w:pPr>
              <w:jc w:val="center"/>
              <w:ind w:left="778"/>
              <w:spacing w:after="0"/>
              <w:rPr>
                <w:sz w:val="20"/>
                <w:szCs w:val="20"/>
                <w:color w:val="auto"/>
              </w:rPr>
            </w:pPr>
            <w:r>
              <w:rPr>
                <w:rFonts w:ascii="Arial" w:cs="Arial" w:eastAsia="Arial" w:hAnsi="Arial"/>
                <w:sz w:val="18"/>
                <w:szCs w:val="18"/>
                <w:b w:val="1"/>
                <w:bCs w:val="1"/>
                <w:color w:val="auto"/>
                <w:w w:val="87"/>
              </w:rPr>
              <w:t>80 Pine Street</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Leopardstown, Dublin 18, Ireland</w:t>
            </w:r>
          </w:p>
        </w:tc>
        <w:tc>
          <w:tcPr>
            <w:tcW w:w="1720" w:type="dxa"/>
            <w:vAlign w:val="bottom"/>
          </w:tcPr>
          <w:p>
            <w:pPr>
              <w:spacing w:after="0"/>
              <w:rPr>
                <w:sz w:val="21"/>
                <w:szCs w:val="21"/>
                <w:color w:val="auto"/>
              </w:rPr>
            </w:pPr>
          </w:p>
        </w:tc>
        <w:tc>
          <w:tcPr>
            <w:tcW w:w="3060" w:type="dxa"/>
            <w:vAlign w:val="bottom"/>
          </w:tcPr>
          <w:p>
            <w:pPr>
              <w:jc w:val="center"/>
              <w:ind w:left="758"/>
              <w:spacing w:after="0"/>
              <w:rPr>
                <w:sz w:val="20"/>
                <w:szCs w:val="20"/>
                <w:color w:val="auto"/>
              </w:rPr>
            </w:pPr>
            <w:r>
              <w:rPr>
                <w:rFonts w:ascii="Arial" w:cs="Arial" w:eastAsia="Arial" w:hAnsi="Arial"/>
                <w:sz w:val="18"/>
                <w:szCs w:val="18"/>
                <w:b w:val="1"/>
                <w:bCs w:val="1"/>
                <w:color w:val="auto"/>
                <w:w w:val="89"/>
              </w:rPr>
              <w:t>New York, New York 10005</w:t>
            </w:r>
          </w:p>
        </w:tc>
      </w:tr>
      <w:tr>
        <w:trPr>
          <w:trHeight w:val="243"/>
        </w:trPr>
        <w:tc>
          <w:tcPr>
            <w:tcW w:w="3640" w:type="dxa"/>
            <w:vAlign w:val="bottom"/>
          </w:tcPr>
          <w:p>
            <w:pPr>
              <w:jc w:val="center"/>
              <w:ind w:right="337"/>
              <w:spacing w:after="0"/>
              <w:rPr>
                <w:sz w:val="20"/>
                <w:szCs w:val="20"/>
                <w:color w:val="auto"/>
              </w:rPr>
            </w:pPr>
            <w:r>
              <w:rPr>
                <w:rFonts w:ascii="Arial" w:cs="Arial" w:eastAsia="Arial" w:hAnsi="Arial"/>
                <w:sz w:val="18"/>
                <w:szCs w:val="18"/>
                <w:b w:val="1"/>
                <w:bCs w:val="1"/>
                <w:color w:val="auto"/>
                <w:w w:val="90"/>
              </w:rPr>
              <w:t>(353) 1-291-2000</w:t>
            </w:r>
          </w:p>
        </w:tc>
        <w:tc>
          <w:tcPr>
            <w:tcW w:w="4780" w:type="dxa"/>
            <w:vAlign w:val="bottom"/>
            <w:gridSpan w:val="2"/>
          </w:tcPr>
          <w:p>
            <w:pPr>
              <w:jc w:val="center"/>
              <w:ind w:left="2472"/>
              <w:spacing w:after="0"/>
              <w:rPr>
                <w:sz w:val="20"/>
                <w:szCs w:val="20"/>
                <w:color w:val="auto"/>
              </w:rPr>
            </w:pPr>
            <w:r>
              <w:rPr>
                <w:rFonts w:ascii="Arial" w:cs="Arial" w:eastAsia="Arial" w:hAnsi="Arial"/>
                <w:sz w:val="18"/>
                <w:szCs w:val="18"/>
                <w:b w:val="1"/>
                <w:bCs w:val="1"/>
                <w:color w:val="auto"/>
                <w:w w:val="89"/>
              </w:rPr>
              <w:t>(212) 701-3000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378460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8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75" w:lineRule="exact"/>
        <w:rPr>
          <w:sz w:val="24"/>
          <w:szCs w:val="24"/>
          <w:color w:val="auto"/>
        </w:rPr>
      </w:pPr>
    </w:p>
    <w:p>
      <w:pPr>
        <w:ind w:right="60" w:firstLine="27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213"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13" w:lineRule="exact"/>
        <w:rPr>
          <w:sz w:val="24"/>
          <w:szCs w:val="24"/>
          <w:color w:val="auto"/>
        </w:rPr>
      </w:pPr>
    </w:p>
    <w:p>
      <w:pPr>
        <w:ind w:right="660" w:firstLine="314"/>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13" w:lineRule="exact"/>
        <w:rPr>
          <w:sz w:val="24"/>
          <w:szCs w:val="24"/>
          <w:color w:val="auto"/>
        </w:rPr>
      </w:pPr>
    </w:p>
    <w:p>
      <w:pPr>
        <w:ind w:right="60" w:firstLine="314"/>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 ]</w:t>
      </w:r>
    </w:p>
    <w:p>
      <w:pPr>
        <w:spacing w:after="0" w:line="213" w:lineRule="exact"/>
        <w:rPr>
          <w:sz w:val="24"/>
          <w:szCs w:val="24"/>
          <w:color w:val="auto"/>
        </w:rPr>
      </w:pPr>
    </w:p>
    <w:p>
      <w:pPr>
        <w:ind w:right="620" w:firstLine="270"/>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 ]</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280" w:type="dxa"/>
            <w:vAlign w:val="bottom"/>
          </w:tcPr>
          <w:p>
            <w:pPr>
              <w:spacing w:after="0"/>
              <w:rPr>
                <w:sz w:val="15"/>
                <w:szCs w:val="15"/>
                <w:color w:val="auto"/>
              </w:rPr>
            </w:pPr>
          </w:p>
        </w:tc>
      </w:tr>
      <w:tr>
        <w:trPr>
          <w:trHeight w:val="243"/>
        </w:trPr>
        <w:tc>
          <w:tcPr>
            <w:tcW w:w="486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Title of each class of</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86"/>
              </w:rPr>
              <w:t>Amount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maximum</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maximum</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243"/>
        </w:trPr>
        <w:tc>
          <w:tcPr>
            <w:tcW w:w="4860" w:type="dxa"/>
            <w:vAlign w:val="bottom"/>
          </w:tcPr>
          <w:p>
            <w:pPr>
              <w:jc w:val="center"/>
              <w:ind w:left="852"/>
              <w:spacing w:after="0"/>
              <w:rPr>
                <w:sz w:val="20"/>
                <w:szCs w:val="20"/>
                <w:color w:val="auto"/>
              </w:rPr>
            </w:pPr>
            <w:r>
              <w:rPr>
                <w:rFonts w:ascii="Arial" w:cs="Arial" w:eastAsia="Arial" w:hAnsi="Arial"/>
                <w:sz w:val="14"/>
                <w:szCs w:val="14"/>
                <w:b w:val="1"/>
                <w:bCs w:val="1"/>
                <w:color w:val="auto"/>
                <w:w w:val="83"/>
              </w:rPr>
              <w:t>securities to be registered</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89"/>
              </w:rPr>
              <w:t>to be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offering price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r>
      <w:tr>
        <w:trPr>
          <w:trHeight w:val="243"/>
        </w:trPr>
        <w:tc>
          <w:tcPr>
            <w:tcW w:w="4860" w:type="dxa"/>
            <w:vAlign w:val="bottom"/>
          </w:tcPr>
          <w:p>
            <w:pPr>
              <w:spacing w:after="0"/>
              <w:rPr>
                <w:sz w:val="21"/>
                <w:szCs w:val="21"/>
                <w:color w:val="auto"/>
              </w:rPr>
            </w:pP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87"/>
              </w:rPr>
              <w:t>registered(1)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share(2)</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price(2)</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78"/>
              </w:rPr>
              <w:t>fee</w:t>
            </w:r>
          </w:p>
        </w:tc>
      </w:tr>
      <w:tr>
        <w:trPr>
          <w:trHeight w:val="132"/>
        </w:trPr>
        <w:tc>
          <w:tcPr>
            <w:tcW w:w="48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r>
      <w:tr>
        <w:trPr>
          <w:trHeight w:val="334"/>
        </w:trPr>
        <w:tc>
          <w:tcPr>
            <w:tcW w:w="4860" w:type="dxa"/>
            <w:vAlign w:val="bottom"/>
          </w:tcPr>
          <w:p>
            <w:pPr>
              <w:spacing w:after="0"/>
              <w:rPr>
                <w:sz w:val="20"/>
                <w:szCs w:val="20"/>
                <w:color w:val="auto"/>
              </w:rPr>
            </w:pPr>
            <w:r>
              <w:rPr>
                <w:rFonts w:ascii="Arial" w:cs="Arial" w:eastAsia="Arial" w:hAnsi="Arial"/>
                <w:sz w:val="14"/>
                <w:szCs w:val="14"/>
                <w:b w:val="1"/>
                <w:bCs w:val="1"/>
                <w:color w:val="auto"/>
              </w:rPr>
              <w:t>Primary Offering:</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2"/>
        </w:trPr>
        <w:tc>
          <w:tcPr>
            <w:tcW w:w="48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r>
        <w:trPr>
          <w:trHeight w:val="331"/>
        </w:trPr>
        <w:tc>
          <w:tcPr>
            <w:tcW w:w="4860" w:type="dxa"/>
            <w:vAlign w:val="bottom"/>
          </w:tcPr>
          <w:p>
            <w:pPr>
              <w:spacing w:after="0"/>
              <w:rPr>
                <w:sz w:val="20"/>
                <w:szCs w:val="20"/>
                <w:color w:val="auto"/>
              </w:rPr>
            </w:pPr>
            <w:r>
              <w:rPr>
                <w:rFonts w:ascii="Arial" w:cs="Arial" w:eastAsia="Arial" w:hAnsi="Arial"/>
                <w:sz w:val="14"/>
                <w:szCs w:val="14"/>
                <w:color w:val="auto"/>
              </w:rPr>
              <w:t>Ordinary Shares, par value €0.06 each, to be sold by Icon plc</w:t>
            </w:r>
          </w:p>
        </w:tc>
        <w:tc>
          <w:tcPr>
            <w:tcW w:w="2280" w:type="dxa"/>
            <w:vAlign w:val="bottom"/>
          </w:tcPr>
          <w:p>
            <w:pPr>
              <w:jc w:val="right"/>
              <w:ind w:right="332"/>
              <w:spacing w:after="0"/>
              <w:rPr>
                <w:sz w:val="20"/>
                <w:szCs w:val="20"/>
                <w:color w:val="auto"/>
              </w:rPr>
            </w:pPr>
            <w:r>
              <w:rPr>
                <w:rFonts w:ascii="Arial" w:cs="Arial" w:eastAsia="Arial" w:hAnsi="Arial"/>
                <w:sz w:val="14"/>
                <w:szCs w:val="14"/>
                <w:color w:val="auto"/>
              </w:rPr>
              <w:t>1,096,054</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$48.15</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$52,775,000</w:t>
            </w:r>
          </w:p>
        </w:tc>
        <w:tc>
          <w:tcPr>
            <w:tcW w:w="1280" w:type="dxa"/>
            <w:vAlign w:val="bottom"/>
          </w:tcPr>
          <w:p>
            <w:pPr>
              <w:jc w:val="right"/>
              <w:ind w:right="252"/>
              <w:spacing w:after="0"/>
              <w:rPr>
                <w:sz w:val="20"/>
                <w:szCs w:val="20"/>
                <w:color w:val="auto"/>
              </w:rPr>
            </w:pPr>
            <w:r>
              <w:rPr>
                <w:rFonts w:ascii="Arial" w:cs="Arial" w:eastAsia="Arial" w:hAnsi="Arial"/>
                <w:sz w:val="14"/>
                <w:szCs w:val="14"/>
                <w:color w:val="auto"/>
              </w:rPr>
              <w:t>$5,646.93</w:t>
            </w:r>
          </w:p>
        </w:tc>
      </w:tr>
      <w:tr>
        <w:trPr>
          <w:trHeight w:val="122"/>
        </w:trPr>
        <w:tc>
          <w:tcPr>
            <w:tcW w:w="48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-612775</wp:posOffset>
            </wp:positionV>
            <wp:extent cx="21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-612775</wp:posOffset>
            </wp:positionV>
            <wp:extent cx="2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-612775</wp:posOffset>
            </wp:positionV>
            <wp:extent cx="2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-612775</wp:posOffset>
            </wp:positionV>
            <wp:extent cx="2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-612775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33" w:right="239" w:bottom="19" w:gutter="0" w:footer="0" w:header="0"/>
          <w:type w:val="continuous"/>
        </w:sectPr>
      </w:pPr>
    </w:p>
    <w:p>
      <w:pPr>
        <w:spacing w:after="0" w:line="16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Secondary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20"/>
                <w:szCs w:val="20"/>
                <w:color w:val="auto"/>
              </w:rPr>
            </w:pPr>
            <w:r>
              <w:rPr>
                <w:rFonts w:ascii="Arial" w:cs="Arial" w:eastAsia="Arial" w:hAnsi="Arial"/>
                <w:sz w:val="14"/>
                <w:szCs w:val="14"/>
                <w:color w:val="auto"/>
              </w:rPr>
              <w:t>Ordinary Shares, par value €0.06 each, to be sold by the Selling</w:t>
            </w:r>
          </w:p>
        </w:tc>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Shareholders</w:t>
            </w:r>
          </w:p>
        </w:tc>
        <w:tc>
          <w:tcPr>
            <w:tcW w:w="2380" w:type="dxa"/>
            <w:vAlign w:val="bottom"/>
          </w:tcPr>
          <w:p>
            <w:pPr>
              <w:jc w:val="right"/>
              <w:ind w:right="392"/>
              <w:spacing w:after="0"/>
              <w:rPr>
                <w:sz w:val="20"/>
                <w:szCs w:val="20"/>
                <w:color w:val="auto"/>
              </w:rPr>
            </w:pPr>
            <w:r>
              <w:rPr>
                <w:rFonts w:ascii="Arial" w:cs="Arial" w:eastAsia="Arial" w:hAnsi="Arial"/>
                <w:sz w:val="14"/>
                <w:szCs w:val="14"/>
                <w:color w:val="auto"/>
              </w:rPr>
              <w:t>1,500,000</w:t>
            </w:r>
          </w:p>
        </w:tc>
        <w:tc>
          <w:tcPr>
            <w:tcW w:w="1300" w:type="dxa"/>
            <w:vAlign w:val="bottom"/>
          </w:tcPr>
          <w:p>
            <w:pPr>
              <w:jc w:val="right"/>
              <w:ind w:right="412"/>
              <w:spacing w:after="0"/>
              <w:rPr>
                <w:sz w:val="20"/>
                <w:szCs w:val="20"/>
                <w:color w:val="auto"/>
              </w:rPr>
            </w:pPr>
            <w:r>
              <w:rPr>
                <w:rFonts w:ascii="Arial" w:cs="Arial" w:eastAsia="Arial" w:hAnsi="Arial"/>
                <w:sz w:val="14"/>
                <w:szCs w:val="14"/>
                <w:color w:val="auto"/>
              </w:rPr>
              <w:t>$48.15</w:t>
            </w:r>
          </w:p>
        </w:tc>
        <w:tc>
          <w:tcPr>
            <w:tcW w:w="1620" w:type="dxa"/>
            <w:vAlign w:val="bottom"/>
          </w:tcPr>
          <w:p>
            <w:pPr>
              <w:jc w:val="right"/>
              <w:ind w:right="312"/>
              <w:spacing w:after="0"/>
              <w:rPr>
                <w:sz w:val="20"/>
                <w:szCs w:val="20"/>
                <w:color w:val="auto"/>
              </w:rPr>
            </w:pPr>
            <w:r>
              <w:rPr>
                <w:rFonts w:ascii="Arial" w:cs="Arial" w:eastAsia="Arial" w:hAnsi="Arial"/>
                <w:sz w:val="14"/>
                <w:szCs w:val="14"/>
                <w:color w:val="auto"/>
              </w:rPr>
              <w:t>$72,225,000</w:t>
            </w:r>
          </w:p>
        </w:tc>
        <w:tc>
          <w:tcPr>
            <w:tcW w:w="1300" w:type="dxa"/>
            <w:vAlign w:val="bottom"/>
          </w:tcPr>
          <w:p>
            <w:pPr>
              <w:jc w:val="right"/>
              <w:ind w:right="252"/>
              <w:spacing w:after="0"/>
              <w:rPr>
                <w:sz w:val="20"/>
                <w:szCs w:val="20"/>
                <w:color w:val="auto"/>
              </w:rPr>
            </w:pPr>
            <w:r>
              <w:rPr>
                <w:rFonts w:ascii="Arial" w:cs="Arial" w:eastAsia="Arial" w:hAnsi="Arial"/>
                <w:sz w:val="14"/>
                <w:szCs w:val="14"/>
                <w:color w:val="auto"/>
              </w:rPr>
              <w:t>$7,728.07</w:t>
            </w:r>
          </w:p>
        </w:tc>
      </w:tr>
      <w:tr>
        <w:trPr>
          <w:trHeight w:val="122"/>
        </w:trPr>
        <w:tc>
          <w:tcPr>
            <w:tcW w:w="482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31"/>
        </w:trPr>
        <w:tc>
          <w:tcPr>
            <w:tcW w:w="48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380" w:type="dxa"/>
            <w:vAlign w:val="bottom"/>
          </w:tcPr>
          <w:p>
            <w:pPr>
              <w:jc w:val="right"/>
              <w:ind w:right="6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72"/>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32"/>
              <w:spacing w:after="0"/>
              <w:rPr>
                <w:sz w:val="20"/>
                <w:szCs w:val="20"/>
                <w:color w:val="auto"/>
              </w:rPr>
            </w:pPr>
            <w:r>
              <w:rPr>
                <w:rFonts w:ascii="Arial" w:cs="Arial" w:eastAsia="Arial" w:hAnsi="Arial"/>
                <w:sz w:val="14"/>
                <w:szCs w:val="14"/>
                <w:color w:val="auto"/>
              </w:rPr>
              <w:t>$125,000,000</w:t>
            </w:r>
          </w:p>
        </w:tc>
        <w:tc>
          <w:tcPr>
            <w:tcW w:w="1300" w:type="dxa"/>
            <w:vAlign w:val="bottom"/>
          </w:tcPr>
          <w:p>
            <w:pPr>
              <w:jc w:val="right"/>
              <w:ind w:right="272"/>
              <w:spacing w:after="0"/>
              <w:rPr>
                <w:sz w:val="20"/>
                <w:szCs w:val="20"/>
                <w:color w:val="auto"/>
              </w:rPr>
            </w:pPr>
            <w:r>
              <w:rPr>
                <w:rFonts w:ascii="Arial" w:cs="Arial" w:eastAsia="Arial" w:hAnsi="Arial"/>
                <w:sz w:val="14"/>
                <w:szCs w:val="14"/>
                <w:color w:val="auto"/>
              </w:rPr>
              <w:t>$13,375.00</w:t>
            </w:r>
          </w:p>
        </w:tc>
      </w:tr>
      <w:tr>
        <w:trPr>
          <w:trHeight w:val="132"/>
        </w:trPr>
        <w:tc>
          <w:tcPr>
            <w:tcW w:w="482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21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21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21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7" w:lineRule="exact"/>
        <w:rPr>
          <w:sz w:val="20"/>
          <w:szCs w:val="20"/>
          <w:color w:val="auto"/>
        </w:rPr>
      </w:pPr>
    </w:p>
    <w:p>
      <w:pPr>
        <w:ind w:left="340" w:right="2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(“ADSs”), evidenced by American Depositary Receipts, representing Ordinary Shares of par value €0.06 each (the “Ordinary Shares”) of ICON plc have been registered under a separate registration statement on Form F-6 (No. 333-13442). Each ADS represents one Ordinary Share.</w:t>
      </w:r>
    </w:p>
    <w:p>
      <w:pPr>
        <w:spacing w:after="0" w:line="219"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required by the Securities Act of 1933, as amended, and computed under Rule 457(c) based upon the average of the high and low prices of the ADSs as reported on The Nasdaq Stock Market’s National Market on April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7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96" w:right="239" w:bottom="1440" w:gutter="0" w:footer="0" w:header="0"/>
        </w:sectPr>
      </w:pPr>
    </w:p>
    <w:bookmarkStart w:id="2" w:name="page3"/>
    <w:bookmarkEnd w:id="2"/>
    <w:p>
      <w:pPr>
        <w:ind w:right="200"/>
        <w:spacing w:after="0" w:line="259"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FF0000"/>
        </w:rPr>
        <w:t>Subject To Completion. Dated April 18,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148590</wp:posOffset>
            </wp:positionV>
            <wp:extent cx="186118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11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00"/>
        <w:spacing w:after="0"/>
        <w:rPr>
          <w:sz w:val="20"/>
          <w:szCs w:val="20"/>
          <w:color w:val="auto"/>
        </w:rPr>
      </w:pPr>
      <w:r>
        <w:rPr>
          <w:rFonts w:ascii="Arial" w:cs="Arial" w:eastAsia="Arial" w:hAnsi="Arial"/>
          <w:sz w:val="32"/>
          <w:szCs w:val="32"/>
          <w:b w:val="1"/>
          <w:bCs w:val="1"/>
          <w:color w:val="auto"/>
        </w:rPr>
        <w:t>ICON plc</w:t>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1,096,054 American Depositary Shares</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Representing 1,096,054 Ordinary Shares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Offered by ICON plc From Time to Time</w:t>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1,500,000 American Depositary Shares</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Representing 1,500,000 Ordinary Shares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Offered by the Selling Shareholders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144145</wp:posOffset>
            </wp:positionV>
            <wp:extent cx="1089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the “shelf” registration or continuous offering process. This means:</w:t>
      </w:r>
    </w:p>
    <w:p>
      <w:pPr>
        <w:spacing w:after="0" w:line="213" w:lineRule="exact"/>
        <w:rPr>
          <w:sz w:val="20"/>
          <w:szCs w:val="20"/>
          <w:color w:val="auto"/>
        </w:rPr>
      </w:pPr>
    </w:p>
    <w:p>
      <w:pPr>
        <w:ind w:left="540" w:right="80"/>
        <w:spacing w:after="0" w:line="342" w:lineRule="auto"/>
        <w:rPr>
          <w:sz w:val="20"/>
          <w:szCs w:val="20"/>
          <w:color w:val="auto"/>
        </w:rPr>
      </w:pPr>
      <w:r>
        <w:rPr>
          <w:rFonts w:ascii="Arial" w:cs="Arial" w:eastAsia="Arial" w:hAnsi="Arial"/>
          <w:sz w:val="16"/>
          <w:szCs w:val="16"/>
          <w:color w:val="auto"/>
        </w:rPr>
        <w:t>We may offer and sell up to 1,096,054 ordinary shares, par value €0.06 per share, in the form of American Depositary Shares, or ADSs, covered by this prospectus from time to time in one our more offerings, which may be through one or more underwriters, dealers and agents, or directly to the purchasers. The names of any underwriters, dealers or agents, if any, will be included in a supplement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-463550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260"/>
        <w:spacing w:after="0" w:line="290" w:lineRule="auto"/>
        <w:rPr>
          <w:sz w:val="20"/>
          <w:szCs w:val="20"/>
          <w:color w:val="auto"/>
        </w:rPr>
      </w:pPr>
      <w:r>
        <w:rPr>
          <w:rFonts w:ascii="Arial" w:cs="Arial" w:eastAsia="Arial" w:hAnsi="Arial"/>
          <w:sz w:val="18"/>
          <w:szCs w:val="18"/>
          <w:color w:val="auto"/>
        </w:rPr>
        <w:t>The selling shareholders identified on page 14 of this prospectus may also use this prospectus to offer and sell up to 1,500,000 of our ordinary shares in the form of ADSs from time to time in one or more offerings. Should selling shareholders sell their securities, we will not receive any of the proceeds from such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ind w:left="540" w:right="420"/>
        <w:spacing w:after="0" w:line="333" w:lineRule="auto"/>
        <w:rPr>
          <w:sz w:val="20"/>
          <w:szCs w:val="20"/>
          <w:color w:val="auto"/>
        </w:rPr>
      </w:pPr>
      <w:r>
        <w:rPr>
          <w:rFonts w:ascii="Arial" w:cs="Arial" w:eastAsia="Arial" w:hAnsi="Arial"/>
          <w:sz w:val="16"/>
          <w:szCs w:val="16"/>
          <w:color w:val="auto"/>
        </w:rPr>
        <w:t>We will provide a prospectus supplement each time we and/or the selling shareholders sell the ADSs that will provide specific information about the terms of the offering and that also may add to, update or change information contained in this prospectus. The prospectus supplement may also incorporate be reference certain of our other filings with the Securities and Exchange Commission. You should carefully read this prospectus and any future prospectus supplement (including any of our filings incorporated by reference therein) before you invest in any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-612140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April 17, 2006, the last reported sale price of our ADSs on The Nasdaq National Market was $47.86 per ADS.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“RISK FACTORS” REFERRED TO ON PAGE 3 TO READ ABOUT FACTORS YOU SHOULD CONSIDER BEFORE BUYING THE ADSs.</w:t>
      </w:r>
    </w:p>
    <w:p>
      <w:pPr>
        <w:spacing w:after="0" w:line="275"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The information in this prospectus is not complete and may be changed. We and the selling shareholders may not sell the shares offered hereby until the registration statement filed with the Securities and Exchange Commission has been declared effective. This prospectus is not an offer to sell these securities, nor is it a solicitation of an offer to buy these securities in any state where the offer and sale is not permitted.</w:t>
      </w:r>
    </w:p>
    <w:p>
      <w:pPr>
        <w:spacing w:after="0" w:line="215" w:lineRule="exact"/>
        <w:rPr>
          <w:sz w:val="20"/>
          <w:szCs w:val="20"/>
          <w:color w:val="auto"/>
        </w:rPr>
      </w:pPr>
    </w:p>
    <w:p>
      <w:pPr>
        <w:ind w:right="140" w:firstLine="27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ICON plc</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Leopardstown, Dublin 18</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(353) 1-291-2000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00"/>
              <w:spacing w:after="0"/>
              <w:rPr>
                <w:sz w:val="20"/>
                <w:szCs w:val="20"/>
                <w:color w:val="auto"/>
              </w:rPr>
            </w:pPr>
            <w:r>
              <w:rPr>
                <w:rFonts w:ascii="Arial" w:cs="Arial" w:eastAsia="Arial" w:hAnsi="Arial"/>
                <w:sz w:val="18"/>
                <w:szCs w:val="18"/>
                <w:color w:val="auto"/>
              </w:rPr>
              <w:t>The date of this prospectus is</w:t>
            </w:r>
          </w:p>
        </w:tc>
        <w:tc>
          <w:tcPr>
            <w:tcW w:w="4940" w:type="dxa"/>
            <w:vAlign w:val="bottom"/>
          </w:tcPr>
          <w:p>
            <w:pPr>
              <w:jc w:val="right"/>
              <w:ind w:right="3832"/>
              <w:spacing w:after="0"/>
              <w:rPr>
                <w:sz w:val="20"/>
                <w:szCs w:val="20"/>
                <w:color w:val="auto"/>
              </w:rPr>
            </w:pPr>
            <w:r>
              <w:rPr>
                <w:rFonts w:ascii="Arial" w:cs="Arial" w:eastAsia="Arial" w:hAnsi="Arial"/>
                <w:sz w:val="18"/>
                <w:szCs w:val="18"/>
                <w:color w:val="auto"/>
              </w:rPr>
              <w:t>, 2006</w:t>
            </w:r>
          </w:p>
        </w:tc>
      </w:tr>
      <w:tr>
        <w:trPr>
          <w:trHeight w:val="215"/>
        </w:trPr>
        <w:tc>
          <w:tcPr>
            <w:tcW w:w="652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61"/>
        </w:trPr>
        <w:tc>
          <w:tcPr>
            <w:tcW w:w="6520" w:type="dxa"/>
            <w:vAlign w:val="bottom"/>
            <w:shd w:val="clear" w:color="auto" w:fill="808080"/>
          </w:tcPr>
          <w:p>
            <w:pPr>
              <w:spacing w:after="0"/>
              <w:rPr>
                <w:sz w:val="5"/>
                <w:szCs w:val="5"/>
                <w:color w:val="auto"/>
              </w:rPr>
            </w:pPr>
          </w:p>
        </w:tc>
        <w:tc>
          <w:tcPr>
            <w:tcW w:w="4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1"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4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1"/>
        </w:trPr>
        <w:tc>
          <w:tcPr>
            <w:tcW w:w="8740" w:type="dxa"/>
            <w:vAlign w:val="bottom"/>
          </w:tcPr>
          <w:p>
            <w:pPr>
              <w:spacing w:after="0"/>
              <w:rPr>
                <w:sz w:val="24"/>
                <w:szCs w:val="24"/>
                <w:color w:val="auto"/>
              </w:rPr>
            </w:pPr>
          </w:p>
        </w:tc>
        <w:tc>
          <w:tcPr>
            <w:tcW w:w="2480" w:type="dxa"/>
            <w:vAlign w:val="bottom"/>
            <w:gridSpan w:val="2"/>
          </w:tcPr>
          <w:p>
            <w:pPr>
              <w:ind w:left="2140"/>
              <w:spacing w:after="0"/>
              <w:rPr>
                <w:sz w:val="20"/>
                <w:szCs w:val="20"/>
                <w:color w:val="auto"/>
              </w:rPr>
            </w:pPr>
            <w:r>
              <w:rPr>
                <w:rFonts w:ascii="Arial" w:cs="Arial" w:eastAsia="Arial" w:hAnsi="Arial"/>
                <w:sz w:val="18"/>
                <w:szCs w:val="18"/>
                <w:color w:val="auto"/>
                <w:w w:val="76"/>
              </w:rPr>
              <w:t>Page</w:t>
            </w:r>
          </w:p>
        </w:tc>
      </w:tr>
      <w:tr>
        <w:trPr>
          <w:trHeight w:val="505"/>
        </w:trPr>
        <w:tc>
          <w:tcPr>
            <w:tcW w:w="8740" w:type="dxa"/>
            <w:vAlign w:val="bottom"/>
          </w:tcPr>
          <w:p>
            <w:pPr>
              <w:spacing w:after="0"/>
              <w:rPr>
                <w:sz w:val="20"/>
                <w:szCs w:val="20"/>
                <w:color w:val="auto"/>
              </w:rPr>
            </w:pPr>
            <w:r>
              <w:rPr>
                <w:rFonts w:ascii="Arial" w:cs="Arial" w:eastAsia="Arial" w:hAnsi="Arial"/>
                <w:sz w:val="18"/>
                <w:szCs w:val="18"/>
                <w:color w:val="auto"/>
              </w:rPr>
              <w:t>Summary</w:t>
            </w:r>
          </w:p>
        </w:tc>
        <w:tc>
          <w:tcPr>
            <w:tcW w:w="214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Risk Factors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3</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Disclosure Regarding Forward Looking Statements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9</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Use of Proceeds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10</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Capitalization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11</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Price Range of ADSs and Dividend Policy</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12</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Selling Shareholders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U.S. Federal Income Tax Considerations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Irish Taxation Considerations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17</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Plan of Distribution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22</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Exchange Controls and Other Limitations</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Affecting Security Holders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Validity of the Ordinary Shares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Experts</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24</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Expenses of Issuance and Distribution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Enforceability of Civil Liabilities Provisions of Federal Securities Laws Against Foreign</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Persons; Shareholder Rights Under Irish Law</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25</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Additional Information</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26</w:t>
            </w:r>
          </w:p>
        </w:tc>
      </w:tr>
      <w:tr>
        <w:trPr>
          <w:trHeight w:val="243"/>
        </w:trPr>
        <w:tc>
          <w:tcPr>
            <w:tcW w:w="874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480" w:type="dxa"/>
            <w:vAlign w:val="bottom"/>
            <w:gridSpan w:val="2"/>
          </w:tcPr>
          <w:p>
            <w:pPr>
              <w:jc w:val="center"/>
              <w:ind w:left="2032"/>
              <w:spacing w:after="0"/>
              <w:rPr>
                <w:sz w:val="20"/>
                <w:szCs w:val="20"/>
                <w:color w:val="auto"/>
              </w:rPr>
            </w:pPr>
            <w:r>
              <w:rPr>
                <w:rFonts w:ascii="Arial" w:cs="Arial" w:eastAsia="Arial" w:hAnsi="Arial"/>
                <w:sz w:val="18"/>
                <w:szCs w:val="18"/>
                <w:color w:val="auto"/>
                <w:w w:val="79"/>
              </w:rPr>
              <w:t>27</w:t>
            </w:r>
          </w:p>
        </w:tc>
      </w:tr>
    </w:tbl>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833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833745"/>
                    </a:xfrm>
                    <a:prstGeom prst="rect">
                      <a:avLst/>
                    </a:prstGeom>
                    <a:noFill/>
                  </pic:spPr>
                </pic:pic>
              </a:graphicData>
            </a:graphic>
          </wp:anchor>
        </w:drawing>
        <w:t>SUMMARY</w:t>
      </w:r>
    </w:p>
    <w:p>
      <w:pPr>
        <w:spacing w:after="0" w:line="25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SEC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In this prospectus, “ICON”, the “Company”, “we”, “us” and “our” refer to ICON plc, a public limited company organized under the laws of Ireland, and its consolidated subsidiaries.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ICON</w:t>
      </w:r>
    </w:p>
    <w:p>
      <w:pPr>
        <w:spacing w:after="0" w:line="258"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the rest of the world, or Rest of World. For the fiscal year ended December 31, 2005, we derived approximately 58.6%, 33.7% and 7.7% of our net revenue in the United States, Europe and Rest of World, respectively.</w:t>
      </w:r>
    </w:p>
    <w:p>
      <w:pPr>
        <w:spacing w:after="0" w:line="199"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 In 2005 revenue was earned from over 300 clients, including all of the top 20 pharmaceutical companies, as ranked by 2004 revenues.</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 executing clinical trials, we utilize an operating model based on a “dedicated team approach” in which a team of full-time clinical professionals, primarily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20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Since inception, we have invested significantly in developing and maintaining a quality system that supports and reinforces our culture of customer focus, client service and high quality output. We became ISO 9002 accredited in 1994 and we have continued to undergo several quality systems surveillance audits each year in order to maintain global registration. In 2003 we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 End</w:t>
      </w:r>
    </w:p>
    <w:p>
      <w:pPr>
        <w:spacing w:after="0" w:line="252"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made this change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bookmarkStart w:id="5" w:name="page6"/>
    <w:bookmarkEnd w:id="5"/>
    <w:p>
      <w:pPr>
        <w:jc w:val="both"/>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115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115310"/>
                    </a:xfrm>
                    <a:prstGeom prst="rect">
                      <a:avLst/>
                    </a:prstGeom>
                    <a:noFill/>
                  </pic:spPr>
                </pic:pic>
              </a:graphicData>
            </a:graphic>
          </wp:anchor>
        </w:drawing>
        <w:t>in order to align our fiscal year end with the majority of other contract research organizations. As a requirement of this change, we reported results for the seven-month period from June 1, 2005 to December 31, 2005 as a separate transition period in a Transition Report filed on Form 20-F. Going forward, our fiscal quarters will end on the last day of March, June, September and December of each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Purchasing Our ADSs</w:t>
      </w:r>
    </w:p>
    <w:p>
      <w:pPr>
        <w:spacing w:after="0" w:line="25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Before you purchase our ADSs, you should be aware that there are various risks related to, among other things: our dependence on the continued outsourcing of research and development by the pharmaceutical, biotechnology and medical device industries; our limited number of clients; clients discontinuing use of services or cancellations or discontinuance of projects; competition with larger companies and research institutions; quarterly results fluctuations; continued losses by our central laboratory segment; dependence on long-term fixed-fee contracts; our ability to attract or retain qualified staff; failure to comply with regulatory authorities; exchange rate fluctuations; potential liability claims; loss of business opportunities as a result of health care reform or changes in the regulatory environment; our failure to successfully develop and market or acquire new services; our reliance on third parties for important services; ongoing disruptions of our business caused by acquisitions we may make in the future; fluctuations in the stock market or general economic conditions; difficulty enforcing U.S. judgments against us; and the determination that we are a Passive Foreign Investment Company.</w:t>
      </w:r>
    </w:p>
    <w:p>
      <w:pPr>
        <w:spacing w:after="0" w:line="321"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If you purchase our ADSs, you will take on a financial risk. In deciding whether to invest, you should carefully consider the following factors, the other information contained in this prospectus, including the prospectus supplement attached hereto, and the additional information in our reports and other documents on file with the SEC that are incorporated herein by reference</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clients. During the transition period ended December 31, 2005, 39% of our net revenue was derived from our top five clients. In the transition period, no client contributed more then 10% of net revenues. During the fiscal year ended May 31, 2005, 43% of our net revenue was derived from our top five clients. In the fiscal year ended May 31, 2005, 12% of our net revenue was derived from Astra Zeneca plc, no other client contributed more then 10% of net revenues. During the fiscal year ended May 31, 2004, 40% of our net revenue was derived from our top five clients. In the fiscal year ended May 31, 2004, 17% of our net revenue was from Astra Zeneca plc, no other client contributed more then 10% of net revenues.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213" w:lineRule="exact"/>
        <w:rPr>
          <w:sz w:val="20"/>
          <w:szCs w:val="20"/>
          <w:color w:val="auto"/>
        </w:rPr>
      </w:pPr>
    </w:p>
    <w:p>
      <w:pPr>
        <w:jc w:val="both"/>
        <w:ind w:right="240" w:firstLine="270"/>
        <w:spacing w:after="0" w:line="259"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failure of products being tested to satisfy safety or efficacy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unexpected or undesired clinical results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decision that a particular study is no longer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540"/>
        <w:spacing w:after="0"/>
        <w:rPr>
          <w:sz w:val="20"/>
          <w:szCs w:val="20"/>
          <w:color w:val="auto"/>
        </w:rPr>
      </w:pPr>
      <w:r>
        <w:rPr>
          <w:rFonts w:ascii="Arial" w:cs="Arial" w:eastAsia="Arial" w:hAnsi="Arial"/>
          <w:sz w:val="18"/>
          <w:szCs w:val="18"/>
          <w:color w:val="auto"/>
        </w:rPr>
        <w:t>poor project performance, insufficient patient enrollment or investigator recruitment;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production problems resulting in shortages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66"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ind w:right="140" w:firstLine="270"/>
        <w:spacing w:after="0" w:line="318" w:lineRule="auto"/>
        <w:rPr>
          <w:sz w:val="20"/>
          <w:szCs w:val="20"/>
          <w:color w:val="auto"/>
        </w:rPr>
      </w:pPr>
      <w:r>
        <w:rPr>
          <w:rFonts w:ascii="Arial" w:cs="Arial" w:eastAsia="Arial" w:hAnsi="Arial"/>
          <w:sz w:val="15"/>
          <w:szCs w:val="15"/>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and may continue to experience losses in the future.</w:t>
      </w:r>
    </w:p>
    <w:p>
      <w:pPr>
        <w:spacing w:after="0" w:line="252"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Our central laboratory has experienced a period of underperformance over the past number of years. To return this business segment to profitability we require continued strong levels of new business awards and economies of scale in the usage of both resources and lab inputs. If we do not achieve continued momentum in winning new business and if these economies are not attained, then our central laboratory may continue to make losses.</w:t>
      </w:r>
    </w:p>
    <w:p>
      <w:pPr>
        <w:spacing w:after="0" w:line="16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Approximately 85% of our net revenue is earned from long-term fixed-fee contracts. We would lose money in performing these contracts if the costs of performance exceed the fixed fees for these projects.</w:t>
      </w:r>
    </w:p>
    <w:p>
      <w:pPr>
        <w:spacing w:after="0" w:line="213" w:lineRule="exact"/>
        <w:rPr>
          <w:sz w:val="20"/>
          <w:szCs w:val="20"/>
          <w:color w:val="auto"/>
        </w:rPr>
      </w:pPr>
    </w:p>
    <w:p>
      <w:pPr>
        <w:ind w:right="240" w:firstLine="270"/>
        <w:spacing w:after="0" w:line="332" w:lineRule="auto"/>
        <w:rPr>
          <w:sz w:val="20"/>
          <w:szCs w:val="20"/>
          <w:color w:val="auto"/>
        </w:rPr>
      </w:pPr>
      <w:r>
        <w:rPr>
          <w:rFonts w:ascii="Arial" w:cs="Arial" w:eastAsia="Arial" w:hAnsi="Arial"/>
          <w:sz w:val="16"/>
          <w:szCs w:val="16"/>
          <w:color w:val="auto"/>
        </w:rPr>
        <w:t>Approximately 85%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8" w:name="page9"/>
    <w:bookmarkEnd w:id="8"/>
    <w:p>
      <w:pPr>
        <w:ind w:right="80"/>
        <w:spacing w:after="0" w:line="268" w:lineRule="auto"/>
        <w:rPr>
          <w:sz w:val="20"/>
          <w:szCs w:val="20"/>
          <w:color w:val="auto"/>
        </w:rPr>
      </w:pPr>
      <w:r>
        <w:rPr>
          <w:rFonts w:ascii="Arial" w:cs="Arial" w:eastAsia="Arial" w:hAnsi="Arial"/>
          <w:sz w:val="18"/>
          <w:szCs w:val="18"/>
          <w:color w:val="auto"/>
        </w:rPr>
        <w:t>tracts) if there are significant cost overruns or if there are unanticipated delays under these contracts, our business, financial condition and operating results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13"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termination of any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disqualification of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denial of the right to conduct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criminal penalties;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enforcement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We derived approximately 41.4% of our consolidated net revenue in the transition period ending December 31,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24"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18"/>
          <w:szCs w:val="18"/>
          <w:color w:val="auto"/>
        </w:rPr>
        <w:t>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21"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24"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For instance, in the past the U.S. Congress has entertained several comprehensive health care reform proposals. The proposals were generally intended to expand health care coverage for the uninsured and reduce the growth of total health care expenditures. While the U.S. Congress has not yet adopted any comprehensive reform proposals, members of Congress may raise similar proposals in the future. We are unable to predict the likelihood that health care reform proposals will be enacted into law.</w:t>
      </w:r>
    </w:p>
    <w:p>
      <w:pPr>
        <w:spacing w:after="0" w:line="224"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5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52"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assimilate the operations and services or products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integrate acquired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retain and motivate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retain customers;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minimize the diversion of management’s attention from other business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RISKS RELATED TO PURCHASING OUR ADSs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stock market or general economic conditions could negatively affect the market price of our ADSs.</w:t>
      </w:r>
    </w:p>
    <w:p>
      <w:pPr>
        <w:spacing w:after="0" w:line="25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investors to enforce U.S. judgments against us.</w:t>
      </w:r>
    </w:p>
    <w:p>
      <w:pPr>
        <w:spacing w:after="0" w:line="252"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determined to be a Passive Foreign Investment Company, or PFIC, United States shareholders could suffer adverse tax consequences.</w:t>
      </w:r>
    </w:p>
    <w:p>
      <w:pPr>
        <w:spacing w:after="0" w:line="275"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We believe that we are not currently a PFIC and, based on our management’s current projections of our future income and assets and the manner in which we currently intend to manage and conduct our business in the future, that we will not become a PFIC in the foreseeable future. However, the PFIC rules are complex and subject to some uncertainty (given the very limited amount of authority interpreting such rules) and, thus, there can be no assurance that we are not currently a PFIC or will not become one in the future. If we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U.S. Holders should consult with their tax advisors as to the effect of these rules. For a discussion of the PFIC rules and other material U.S. federal income tax matters, see “U.S. Federal Income Tax Considerations.”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8"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Transition Report on Form 20-F,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3" w:name="page14"/>
    <w:bookmarkEnd w:id="13"/>
    <w:p>
      <w:pPr>
        <w:jc w:val="center"/>
        <w:ind w:right="-43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We intend to use the net proceeds from any offering hereunder for general corporate purposes. The prospectus supplement issued in connection with any offering of ADSs by us will provide further detail about the use of the proceeds received therefrom.</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will not receive any proceeds from the sale of ADSs by the selling shareholders.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as of December 31, 2005, our cash and cash equivalents, short-term investments, short-term debt and capitalization: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1"/>
                <w:szCs w:val="21"/>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December 31, 2005</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(1)</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486"/>
        </w:trPr>
        <w:tc>
          <w:tcPr>
            <w:tcW w:w="9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59,509</w:t>
            </w:r>
          </w:p>
        </w:tc>
        <w:tc>
          <w:tcPr>
            <w:tcW w:w="0" w:type="dxa"/>
            <w:vAlign w:val="bottom"/>
          </w:tcPr>
          <w:p>
            <w:pPr>
              <w:spacing w:after="0"/>
              <w:rPr>
                <w:sz w:val="1"/>
                <w:szCs w:val="1"/>
                <w:color w:val="auto"/>
              </w:rPr>
            </w:pPr>
          </w:p>
        </w:tc>
      </w:tr>
      <w:tr>
        <w:trPr>
          <w:trHeight w:val="120"/>
        </w:trPr>
        <w:tc>
          <w:tcPr>
            <w:tcW w:w="938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9380" w:type="dxa"/>
            <w:vAlign w:val="bottom"/>
          </w:tcPr>
          <w:p>
            <w:pPr>
              <w:spacing w:after="0"/>
              <w:rPr>
                <w:sz w:val="20"/>
                <w:szCs w:val="20"/>
                <w:color w:val="auto"/>
              </w:rPr>
            </w:pPr>
            <w:r>
              <w:rPr>
                <w:rFonts w:ascii="Arial" w:cs="Arial" w:eastAsia="Arial" w:hAnsi="Arial"/>
                <w:sz w:val="18"/>
                <w:szCs w:val="18"/>
                <w:color w:val="auto"/>
              </w:rPr>
              <w:t>Short-term investments (available for sale)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120"/>
        </w:trPr>
        <w:tc>
          <w:tcPr>
            <w:tcW w:w="93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93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Ordinary shares, par value €0.06 per share: 20,000,000 shares authorized; 14,018,092 shares</w:t>
            </w: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80" w:type="dxa"/>
            <w:vAlign w:val="bottom"/>
          </w:tcPr>
          <w:p>
            <w:pPr>
              <w:ind w:left="280"/>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123,333</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Merger reserve</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780" w:type="dxa"/>
            <w:vAlign w:val="bottom"/>
          </w:tcPr>
          <w:p>
            <w:pPr>
              <w:spacing w:after="0"/>
              <w:rPr>
                <w:sz w:val="21"/>
                <w:szCs w:val="21"/>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113,776</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241,558</w:t>
            </w:r>
          </w:p>
        </w:tc>
        <w:tc>
          <w:tcPr>
            <w:tcW w:w="0" w:type="dxa"/>
            <w:vAlign w:val="bottom"/>
          </w:tcPr>
          <w:p>
            <w:pPr>
              <w:spacing w:after="0"/>
              <w:rPr>
                <w:sz w:val="1"/>
                <w:szCs w:val="1"/>
                <w:color w:val="auto"/>
              </w:rPr>
            </w:pPr>
          </w:p>
        </w:tc>
      </w:tr>
      <w:tr>
        <w:trPr>
          <w:trHeight w:val="110"/>
        </w:trPr>
        <w:tc>
          <w:tcPr>
            <w:tcW w:w="93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9380" w:type="dxa"/>
            <w:vAlign w:val="bottom"/>
          </w:tcPr>
          <w:p>
            <w:pPr>
              <w:ind w:left="1580"/>
              <w:spacing w:after="0"/>
              <w:rPr>
                <w:sz w:val="20"/>
                <w:szCs w:val="20"/>
                <w:color w:val="auto"/>
              </w:rPr>
            </w:pPr>
            <w:r>
              <w:rPr>
                <w:rFonts w:ascii="Arial" w:cs="Arial" w:eastAsia="Arial" w:hAnsi="Arial"/>
                <w:sz w:val="18"/>
                <w:szCs w:val="18"/>
                <w:color w:val="auto"/>
              </w:rPr>
              <w:t>Total capitalization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2"/>
              <w:spacing w:after="0"/>
              <w:rPr>
                <w:sz w:val="20"/>
                <w:szCs w:val="20"/>
                <w:color w:val="auto"/>
              </w:rPr>
            </w:pPr>
            <w:r>
              <w:rPr>
                <w:rFonts w:ascii="Arial" w:cs="Arial" w:eastAsia="Arial" w:hAnsi="Arial"/>
                <w:sz w:val="18"/>
                <w:szCs w:val="18"/>
                <w:color w:val="auto"/>
              </w:rPr>
              <w:t>241,558</w:t>
            </w:r>
          </w:p>
        </w:tc>
        <w:tc>
          <w:tcPr>
            <w:tcW w:w="0" w:type="dxa"/>
            <w:vAlign w:val="bottom"/>
          </w:tcPr>
          <w:p>
            <w:pPr>
              <w:spacing w:after="0"/>
              <w:rPr>
                <w:sz w:val="1"/>
                <w:szCs w:val="1"/>
                <w:color w:val="auto"/>
              </w:rPr>
            </w:pPr>
          </w:p>
        </w:tc>
      </w:tr>
      <w:tr>
        <w:trPr>
          <w:trHeight w:val="120"/>
        </w:trPr>
        <w:tc>
          <w:tcPr>
            <w:tcW w:w="938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-2466975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-2466975</wp:posOffset>
            </wp:positionV>
            <wp:extent cx="21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-2466975</wp:posOffset>
            </wp:positionV>
            <wp:extent cx="21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-2466975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-2004060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-2004060</wp:posOffset>
            </wp:positionV>
            <wp:extent cx="21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-2004060</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2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215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732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has been no material change since December 31, 2005 in the total capitalization of the Company.</w:t>
      </w:r>
    </w:p>
    <w:p>
      <w:pPr>
        <w:spacing w:after="0" w:line="15" w:lineRule="exact"/>
        <w:rPr>
          <w:rFonts w:ascii="Arial" w:cs="Arial" w:eastAsia="Arial" w:hAnsi="Arial"/>
          <w:sz w:val="18"/>
          <w:szCs w:val="18"/>
          <w:color w:val="auto"/>
        </w:rPr>
      </w:pPr>
    </w:p>
    <w:p>
      <w:pPr>
        <w:ind w:left="440" w:right="420" w:hanging="432"/>
        <w:spacing w:after="0" w:line="323"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a discussion of our indebtedness, see “Item 5. Operating and Financial Review and Prospects—Liquidity and Capital Resources” in our Transition Report on Form 20-F for the period ended December 31, 2005, which is incorporated by reference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58"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Our ADSs are traded on The Nasdaq National Market under the symbol “ICLR.” A total of 14,018,092 ordinary shares were issued and outstanding as of December 31, 2005,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ADSs</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r>
        <w:trPr>
          <w:trHeight w:val="110"/>
        </w:trPr>
        <w:tc>
          <w:tcPr>
            <w:tcW w:w="79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900" w:type="dxa"/>
            <w:vAlign w:val="bottom"/>
          </w:tcPr>
          <w:p>
            <w:pPr>
              <w:spacing w:after="0"/>
              <w:rPr>
                <w:sz w:val="24"/>
                <w:szCs w:val="24"/>
                <w:color w:val="auto"/>
              </w:rPr>
            </w:pPr>
          </w:p>
        </w:tc>
        <w:tc>
          <w:tcPr>
            <w:tcW w:w="1180" w:type="dxa"/>
            <w:vAlign w:val="bottom"/>
          </w:tcPr>
          <w:p>
            <w:pPr>
              <w:jc w:val="center"/>
              <w:ind w:left="72"/>
              <w:spacing w:after="0"/>
              <w:rPr>
                <w:sz w:val="20"/>
                <w:szCs w:val="20"/>
                <w:color w:val="auto"/>
              </w:rPr>
            </w:pPr>
            <w:r>
              <w:rPr>
                <w:rFonts w:ascii="Arial" w:cs="Arial" w:eastAsia="Arial" w:hAnsi="Arial"/>
                <w:sz w:val="18"/>
                <w:szCs w:val="18"/>
                <w:b w:val="1"/>
                <w:bCs w:val="1"/>
                <w:color w:val="auto"/>
                <w:w w:val="94"/>
              </w:rPr>
              <w:t>High</w:t>
            </w:r>
          </w:p>
        </w:tc>
        <w:tc>
          <w:tcPr>
            <w:tcW w:w="2340" w:type="dxa"/>
            <w:vAlign w:val="bottom"/>
          </w:tcPr>
          <w:p>
            <w:pPr>
              <w:jc w:val="center"/>
              <w:ind w:left="772"/>
              <w:spacing w:after="0"/>
              <w:rPr>
                <w:sz w:val="20"/>
                <w:szCs w:val="20"/>
                <w:color w:val="auto"/>
              </w:rPr>
            </w:pPr>
            <w:r>
              <w:rPr>
                <w:rFonts w:ascii="Arial" w:cs="Arial" w:eastAsia="Arial" w:hAnsi="Arial"/>
                <w:sz w:val="18"/>
                <w:szCs w:val="18"/>
                <w:b w:val="1"/>
                <w:bCs w:val="1"/>
                <w:color w:val="auto"/>
                <w:w w:val="88"/>
              </w:rPr>
              <w:t>Low</w:t>
            </w:r>
          </w:p>
        </w:tc>
        <w:tc>
          <w:tcPr>
            <w:tcW w:w="0" w:type="dxa"/>
            <w:vAlign w:val="bottom"/>
          </w:tcPr>
          <w:p>
            <w:pPr>
              <w:spacing w:after="0"/>
              <w:rPr>
                <w:sz w:val="1"/>
                <w:szCs w:val="1"/>
                <w:color w:val="auto"/>
              </w:rPr>
            </w:pPr>
          </w:p>
        </w:tc>
      </w:tr>
      <w:tr>
        <w:trPr>
          <w:trHeight w:val="120"/>
        </w:trPr>
        <w:tc>
          <w:tcPr>
            <w:tcW w:w="7900" w:type="dxa"/>
            <w:vAlign w:val="bottom"/>
            <w:vMerge w:val="restart"/>
          </w:tcPr>
          <w:p>
            <w:pPr>
              <w:spacing w:after="0"/>
              <w:rPr>
                <w:sz w:val="20"/>
                <w:szCs w:val="20"/>
                <w:color w:val="auto"/>
              </w:rPr>
            </w:pPr>
            <w:r>
              <w:rPr>
                <w:rFonts w:ascii="Arial" w:cs="Arial" w:eastAsia="Arial" w:hAnsi="Arial"/>
                <w:sz w:val="18"/>
                <w:szCs w:val="18"/>
                <w:color w:val="auto"/>
              </w:rPr>
              <w:t>LAST SIX MONTHS:</w:t>
            </w:r>
          </w:p>
        </w:tc>
        <w:tc>
          <w:tcPr>
            <w:tcW w:w="11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9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March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$44.51</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February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$48.50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$43.59</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January 2006</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$44.50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$41.00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December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$39.86</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November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$41.75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$36.36</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October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$49.56</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$39.31</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LAST NINE QUARTERS</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2005:</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First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$49.00</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$41.00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TRANSITION PERIOD:</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Quarter ended November 30,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$50.49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$36.36</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Quarter ended August 31, 2005</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$41.89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$30.10</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2005:</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Fourth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$38.95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$30.26</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Third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$38.99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$33.78</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Second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$39.39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$31.04</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First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$44.92</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$31.75</w:t>
            </w:r>
          </w:p>
        </w:tc>
        <w:tc>
          <w:tcPr>
            <w:tcW w:w="0" w:type="dxa"/>
            <w:vAlign w:val="bottom"/>
          </w:tcPr>
          <w:p>
            <w:pPr>
              <w:spacing w:after="0"/>
              <w:rPr>
                <w:sz w:val="1"/>
                <w:szCs w:val="1"/>
                <w:color w:val="auto"/>
              </w:rPr>
            </w:pPr>
          </w:p>
        </w:tc>
      </w:tr>
      <w:tr>
        <w:trPr>
          <w:trHeight w:val="486"/>
        </w:trPr>
        <w:tc>
          <w:tcPr>
            <w:tcW w:w="7900" w:type="dxa"/>
            <w:vAlign w:val="bottom"/>
          </w:tcPr>
          <w:p>
            <w:pPr>
              <w:spacing w:after="0"/>
              <w:rPr>
                <w:sz w:val="20"/>
                <w:szCs w:val="20"/>
                <w:color w:val="auto"/>
              </w:rPr>
            </w:pPr>
            <w:r>
              <w:rPr>
                <w:rFonts w:ascii="Arial" w:cs="Arial" w:eastAsia="Arial" w:hAnsi="Arial"/>
                <w:sz w:val="18"/>
                <w:szCs w:val="18"/>
                <w:color w:val="auto"/>
              </w:rPr>
              <w:t>FISCAL 2004:</w:t>
            </w: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Fourth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$43.49</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$29.74</w:t>
            </w:r>
          </w:p>
        </w:tc>
        <w:tc>
          <w:tcPr>
            <w:tcW w:w="0" w:type="dxa"/>
            <w:vAlign w:val="bottom"/>
          </w:tcPr>
          <w:p>
            <w:pPr>
              <w:spacing w:after="0"/>
              <w:rPr>
                <w:sz w:val="1"/>
                <w:szCs w:val="1"/>
                <w:color w:val="auto"/>
              </w:rPr>
            </w:pPr>
          </w:p>
        </w:tc>
      </w:tr>
      <w:tr>
        <w:trPr>
          <w:trHeight w:val="486"/>
        </w:trPr>
        <w:tc>
          <w:tcPr>
            <w:tcW w:w="7900" w:type="dxa"/>
            <w:vAlign w:val="bottom"/>
          </w:tcPr>
          <w:p>
            <w:pPr>
              <w:ind w:left="500"/>
              <w:spacing w:after="0"/>
              <w:rPr>
                <w:sz w:val="20"/>
                <w:szCs w:val="20"/>
                <w:color w:val="auto"/>
              </w:rPr>
            </w:pPr>
            <w:r>
              <w:rPr>
                <w:rFonts w:ascii="Arial" w:cs="Arial" w:eastAsia="Arial" w:hAnsi="Arial"/>
                <w:sz w:val="18"/>
                <w:szCs w:val="18"/>
                <w:color w:val="auto"/>
              </w:rPr>
              <w:t>Third Quarter</w:t>
            </w:r>
          </w:p>
        </w:tc>
        <w:tc>
          <w:tcPr>
            <w:tcW w:w="1180" w:type="dxa"/>
            <w:vAlign w:val="bottom"/>
          </w:tcPr>
          <w:p>
            <w:pPr>
              <w:jc w:val="center"/>
              <w:ind w:left="72"/>
              <w:spacing w:after="0"/>
              <w:rPr>
                <w:sz w:val="20"/>
                <w:szCs w:val="20"/>
                <w:color w:val="auto"/>
              </w:rPr>
            </w:pPr>
            <w:r>
              <w:rPr>
                <w:rFonts w:ascii="Arial" w:cs="Arial" w:eastAsia="Arial" w:hAnsi="Arial"/>
                <w:sz w:val="18"/>
                <w:szCs w:val="18"/>
                <w:color w:val="auto"/>
                <w:w w:val="90"/>
              </w:rPr>
              <w:t>$46.05</w:t>
            </w:r>
          </w:p>
        </w:tc>
        <w:tc>
          <w:tcPr>
            <w:tcW w:w="2340" w:type="dxa"/>
            <w:vAlign w:val="bottom"/>
          </w:tcPr>
          <w:p>
            <w:pPr>
              <w:jc w:val="center"/>
              <w:ind w:left="772"/>
              <w:spacing w:after="0"/>
              <w:rPr>
                <w:sz w:val="20"/>
                <w:szCs w:val="20"/>
                <w:color w:val="auto"/>
              </w:rPr>
            </w:pPr>
            <w:r>
              <w:rPr>
                <w:rFonts w:ascii="Arial" w:cs="Arial" w:eastAsia="Arial" w:hAnsi="Arial"/>
                <w:sz w:val="18"/>
                <w:szCs w:val="18"/>
                <w:color w:val="auto"/>
                <w:w w:val="87"/>
              </w:rPr>
              <w:t>$33.03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-6408420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-6408420</wp:posOffset>
            </wp:positionV>
            <wp:extent cx="215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-6408420</wp:posOffset>
            </wp:positionV>
            <wp:extent cx="215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-6408420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7"/>
              </w:rPr>
              <w:t>ADSs</w:t>
            </w: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r>
        <w:trPr>
          <w:trHeight w:val="110"/>
        </w:trPr>
        <w:tc>
          <w:tcPr>
            <w:tcW w:w="77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780" w:type="dxa"/>
            <w:vAlign w:val="bottom"/>
          </w:tcPr>
          <w:p>
            <w:pPr>
              <w:spacing w:after="0"/>
              <w:rPr>
                <w:sz w:val="24"/>
                <w:szCs w:val="24"/>
                <w:color w:val="auto"/>
              </w:rPr>
            </w:pPr>
          </w:p>
        </w:tc>
        <w:tc>
          <w:tcPr>
            <w:tcW w:w="1220" w:type="dxa"/>
            <w:vAlign w:val="bottom"/>
          </w:tcPr>
          <w:p>
            <w:pPr>
              <w:jc w:val="center"/>
              <w:ind w:left="112"/>
              <w:spacing w:after="0"/>
              <w:rPr>
                <w:sz w:val="20"/>
                <w:szCs w:val="20"/>
                <w:color w:val="auto"/>
              </w:rPr>
            </w:pPr>
            <w:r>
              <w:rPr>
                <w:rFonts w:ascii="Arial" w:cs="Arial" w:eastAsia="Arial" w:hAnsi="Arial"/>
                <w:sz w:val="18"/>
                <w:szCs w:val="18"/>
                <w:b w:val="1"/>
                <w:bCs w:val="1"/>
                <w:color w:val="auto"/>
                <w:w w:val="94"/>
              </w:rPr>
              <w:t>High</w:t>
            </w:r>
          </w:p>
        </w:tc>
        <w:tc>
          <w:tcPr>
            <w:tcW w:w="2420" w:type="dxa"/>
            <w:vAlign w:val="bottom"/>
          </w:tcPr>
          <w:p>
            <w:pPr>
              <w:jc w:val="center"/>
              <w:ind w:left="912"/>
              <w:spacing w:after="0"/>
              <w:rPr>
                <w:sz w:val="20"/>
                <w:szCs w:val="20"/>
                <w:color w:val="auto"/>
              </w:rPr>
            </w:pPr>
            <w:r>
              <w:rPr>
                <w:rFonts w:ascii="Arial" w:cs="Arial" w:eastAsia="Arial" w:hAnsi="Arial"/>
                <w:sz w:val="18"/>
                <w:szCs w:val="18"/>
                <w:b w:val="1"/>
                <w:bCs w:val="1"/>
                <w:color w:val="auto"/>
                <w:w w:val="94"/>
              </w:rPr>
              <w:t>Low</w:t>
            </w:r>
          </w:p>
        </w:tc>
        <w:tc>
          <w:tcPr>
            <w:tcW w:w="0" w:type="dxa"/>
            <w:vAlign w:val="bottom"/>
          </w:tcPr>
          <w:p>
            <w:pPr>
              <w:spacing w:after="0"/>
              <w:rPr>
                <w:sz w:val="1"/>
                <w:szCs w:val="1"/>
                <w:color w:val="auto"/>
              </w:rPr>
            </w:pPr>
          </w:p>
        </w:tc>
      </w:tr>
      <w:tr>
        <w:trPr>
          <w:trHeight w:val="120"/>
        </w:trPr>
        <w:tc>
          <w:tcPr>
            <w:tcW w:w="7780" w:type="dxa"/>
            <w:vAlign w:val="bottom"/>
            <w:vMerge w:val="restart"/>
          </w:tcPr>
          <w:p>
            <w:pPr>
              <w:jc w:val="right"/>
              <w:ind w:right="5492"/>
              <w:spacing w:after="0"/>
              <w:rPr>
                <w:sz w:val="20"/>
                <w:szCs w:val="20"/>
                <w:color w:val="auto"/>
              </w:rPr>
            </w:pPr>
            <w:r>
              <w:rPr>
                <w:rFonts w:ascii="Arial" w:cs="Arial" w:eastAsia="Arial" w:hAnsi="Arial"/>
                <w:sz w:val="18"/>
                <w:szCs w:val="18"/>
                <w:color w:val="auto"/>
                <w:w w:val="95"/>
              </w:rPr>
              <w:t>LAST FIVE FISCAL YEARS:</w:t>
            </w:r>
          </w:p>
        </w:tc>
        <w:tc>
          <w:tcPr>
            <w:tcW w:w="122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77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80" w:type="dxa"/>
            <w:vAlign w:val="bottom"/>
          </w:tcPr>
          <w:p>
            <w:pPr>
              <w:jc w:val="right"/>
              <w:ind w:right="4432"/>
              <w:spacing w:after="0"/>
              <w:rPr>
                <w:sz w:val="20"/>
                <w:szCs w:val="20"/>
                <w:color w:val="auto"/>
              </w:rPr>
            </w:pPr>
            <w:r>
              <w:rPr>
                <w:rFonts w:ascii="Arial" w:cs="Arial" w:eastAsia="Arial" w:hAnsi="Arial"/>
                <w:sz w:val="18"/>
                <w:szCs w:val="18"/>
                <w:color w:val="auto"/>
                <w:w w:val="97"/>
              </w:rPr>
              <w:t>Seven months ended December 31, 2005</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$50.49</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$30.10</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2005</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$44.92</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$30.26</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2004</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$46.05</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$25.87</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2003</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$32.87</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$14.88</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2002</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$39.58</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$22.93</w:t>
            </w:r>
          </w:p>
        </w:tc>
        <w:tc>
          <w:tcPr>
            <w:tcW w:w="0" w:type="dxa"/>
            <w:vAlign w:val="bottom"/>
          </w:tcPr>
          <w:p>
            <w:pPr>
              <w:spacing w:after="0"/>
              <w:rPr>
                <w:sz w:val="1"/>
                <w:szCs w:val="1"/>
                <w:color w:val="auto"/>
              </w:rPr>
            </w:pPr>
          </w:p>
        </w:tc>
      </w:tr>
      <w:tr>
        <w:trPr>
          <w:trHeight w:val="486"/>
        </w:trPr>
        <w:tc>
          <w:tcPr>
            <w:tcW w:w="7780" w:type="dxa"/>
            <w:vAlign w:val="bottom"/>
          </w:tcPr>
          <w:p>
            <w:pPr>
              <w:jc w:val="right"/>
              <w:ind w:right="6852"/>
              <w:spacing w:after="0"/>
              <w:rPr>
                <w:sz w:val="20"/>
                <w:szCs w:val="20"/>
                <w:color w:val="auto"/>
              </w:rPr>
            </w:pPr>
            <w:r>
              <w:rPr>
                <w:rFonts w:ascii="Arial" w:cs="Arial" w:eastAsia="Arial" w:hAnsi="Arial"/>
                <w:sz w:val="18"/>
                <w:szCs w:val="18"/>
                <w:color w:val="auto"/>
              </w:rPr>
              <w:t>2001</w:t>
            </w:r>
          </w:p>
        </w:tc>
        <w:tc>
          <w:tcPr>
            <w:tcW w:w="1220" w:type="dxa"/>
            <w:vAlign w:val="bottom"/>
          </w:tcPr>
          <w:p>
            <w:pPr>
              <w:jc w:val="center"/>
              <w:ind w:left="112"/>
              <w:spacing w:after="0"/>
              <w:rPr>
                <w:sz w:val="20"/>
                <w:szCs w:val="20"/>
                <w:color w:val="auto"/>
              </w:rPr>
            </w:pPr>
            <w:r>
              <w:rPr>
                <w:rFonts w:ascii="Arial" w:cs="Arial" w:eastAsia="Arial" w:hAnsi="Arial"/>
                <w:sz w:val="18"/>
                <w:szCs w:val="18"/>
                <w:color w:val="auto"/>
                <w:w w:val="90"/>
              </w:rPr>
              <w:t>$29.75</w:t>
            </w:r>
          </w:p>
        </w:tc>
        <w:tc>
          <w:tcPr>
            <w:tcW w:w="2420" w:type="dxa"/>
            <w:vAlign w:val="bottom"/>
          </w:tcPr>
          <w:p>
            <w:pPr>
              <w:jc w:val="center"/>
              <w:ind w:left="912"/>
              <w:spacing w:after="0"/>
              <w:rPr>
                <w:sz w:val="20"/>
                <w:szCs w:val="20"/>
                <w:color w:val="auto"/>
              </w:rPr>
            </w:pPr>
            <w:r>
              <w:rPr>
                <w:rFonts w:ascii="Arial" w:cs="Arial" w:eastAsia="Arial" w:hAnsi="Arial"/>
                <w:sz w:val="18"/>
                <w:szCs w:val="18"/>
                <w:color w:val="auto"/>
                <w:w w:val="90"/>
              </w:rPr>
              <w:t>$15.00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-2086610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-2086610</wp:posOffset>
            </wp:positionV>
            <wp:extent cx="21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-2086610</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-2086610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ordinary shares are also traded on the Official List of the Irish Stock Exchange; however, to date there has been limited trading activity on this exchange.</w:t>
      </w:r>
    </w:p>
    <w:p>
      <w:pPr>
        <w:spacing w:after="0" w:line="275"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8" w:lineRule="exact"/>
        <w:rPr>
          <w:sz w:val="20"/>
          <w:szCs w:val="20"/>
          <w:color w:val="auto"/>
        </w:rPr>
      </w:pPr>
    </w:p>
    <w:p>
      <w:pPr>
        <w:ind w:right="880" w:firstLine="270"/>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February 27, 2006 by the selling shareholders.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85"/>
              </w:rPr>
              <w:t>Shares Beneficially</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spacing w:after="0"/>
              <w:rPr>
                <w:sz w:val="21"/>
                <w:szCs w:val="21"/>
                <w:color w:val="auto"/>
              </w:rPr>
            </w:pPr>
          </w:p>
        </w:tc>
        <w:tc>
          <w:tcPr>
            <w:tcW w:w="152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89"/>
              </w:rPr>
              <w:t>Owned Prior to</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spacing w:after="0"/>
              <w:rPr>
                <w:sz w:val="21"/>
                <w:szCs w:val="21"/>
                <w:color w:val="auto"/>
              </w:rPr>
            </w:pPr>
          </w:p>
        </w:tc>
        <w:tc>
          <w:tcPr>
            <w:tcW w:w="152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90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0"/>
              </w:rPr>
              <w:t>This Offering(1)</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Being</w:t>
            </w: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This Offering(1)</w:t>
            </w:r>
          </w:p>
        </w:tc>
        <w:tc>
          <w:tcPr>
            <w:tcW w:w="0" w:type="dxa"/>
            <w:vAlign w:val="bottom"/>
          </w:tcPr>
          <w:p>
            <w:pPr>
              <w:spacing w:after="0"/>
              <w:rPr>
                <w:sz w:val="1"/>
                <w:szCs w:val="1"/>
                <w:color w:val="auto"/>
              </w:rPr>
            </w:pPr>
          </w:p>
        </w:tc>
      </w:tr>
      <w:tr>
        <w:trPr>
          <w:trHeight w:val="95"/>
        </w:trPr>
        <w:tc>
          <w:tcPr>
            <w:tcW w:w="4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Name and Address of</w:t>
            </w: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Sold in</w:t>
            </w: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4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40"/>
              <w:spacing w:after="0"/>
              <w:rPr>
                <w:sz w:val="20"/>
                <w:szCs w:val="20"/>
                <w:color w:val="auto"/>
              </w:rPr>
            </w:pPr>
            <w:r>
              <w:rPr>
                <w:rFonts w:ascii="Arial" w:cs="Arial" w:eastAsia="Arial" w:hAnsi="Arial"/>
                <w:sz w:val="14"/>
                <w:szCs w:val="14"/>
                <w:b w:val="1"/>
                <w:bCs w:val="1"/>
                <w:color w:val="auto"/>
              </w:rPr>
              <w:t>Selling Shareholder</w:t>
            </w: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This Offering</w:t>
            </w:r>
          </w:p>
        </w:tc>
        <w:tc>
          <w:tcPr>
            <w:tcW w:w="74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4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644"/>
        </w:trPr>
        <w:tc>
          <w:tcPr>
            <w:tcW w:w="4480" w:type="dxa"/>
            <w:vAlign w:val="bottom"/>
            <w:gridSpan w:val="2"/>
          </w:tcPr>
          <w:p>
            <w:pPr>
              <w:spacing w:after="0"/>
              <w:rPr>
                <w:sz w:val="20"/>
                <w:szCs w:val="20"/>
                <w:color w:val="auto"/>
              </w:rPr>
            </w:pPr>
            <w:r>
              <w:rPr>
                <w:rFonts w:ascii="Arial" w:cs="Arial" w:eastAsia="Arial" w:hAnsi="Arial"/>
                <w:sz w:val="14"/>
                <w:szCs w:val="14"/>
                <w:color w:val="auto"/>
              </w:rPr>
              <w:t>Dr. Ronan Lamb(3)</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952,470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6.8</w:t>
            </w:r>
            <w:r>
              <w:rPr>
                <w:rFonts w:ascii="Arial" w:cs="Arial" w:eastAsia="Arial" w:hAnsi="Arial"/>
                <w:sz w:val="27"/>
                <w:szCs w:val="27"/>
                <w:color w:val="auto"/>
                <w:vertAlign w:val="superscript"/>
              </w:rPr>
              <w:t>%</w:t>
            </w:r>
          </w:p>
        </w:tc>
        <w:tc>
          <w:tcPr>
            <w:tcW w:w="182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24"/>
                <w:szCs w:val="24"/>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color w:val="auto"/>
                <w:w w:val="93"/>
              </w:rPr>
              <w:t>(2)</w:t>
            </w:r>
          </w:p>
        </w:tc>
        <w:tc>
          <w:tcPr>
            <w:tcW w:w="1520" w:type="dxa"/>
            <w:vAlign w:val="bottom"/>
            <w:gridSpan w:val="3"/>
          </w:tcPr>
          <w:p>
            <w:pPr>
              <w:jc w:val="center"/>
              <w:ind w:left="41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South County Business Park,</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Leopardstown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Dublin 18, Ireland</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7"/>
        </w:trPr>
        <w:tc>
          <w:tcPr>
            <w:tcW w:w="4480" w:type="dxa"/>
            <w:vAlign w:val="bottom"/>
            <w:gridSpan w:val="2"/>
          </w:tcPr>
          <w:p>
            <w:pPr>
              <w:spacing w:after="0"/>
              <w:rPr>
                <w:sz w:val="20"/>
                <w:szCs w:val="20"/>
                <w:color w:val="auto"/>
              </w:rPr>
            </w:pPr>
            <w:r>
              <w:rPr>
                <w:rFonts w:ascii="Arial" w:cs="Arial" w:eastAsia="Arial" w:hAnsi="Arial"/>
                <w:sz w:val="14"/>
                <w:szCs w:val="14"/>
                <w:color w:val="auto"/>
              </w:rPr>
              <w:t>Poplar Limited(4)</w:t>
            </w: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1,494,892</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w w:val="92"/>
              </w:rPr>
              <w:t>10.7</w:t>
            </w:r>
            <w:r>
              <w:rPr>
                <w:rFonts w:ascii="Arial" w:cs="Arial" w:eastAsia="Arial" w:hAnsi="Arial"/>
                <w:sz w:val="27"/>
                <w:szCs w:val="27"/>
                <w:color w:val="auto"/>
                <w:w w:val="92"/>
                <w:vertAlign w:val="superscript"/>
              </w:rPr>
              <w:t>%</w:t>
            </w:r>
          </w:p>
        </w:tc>
        <w:tc>
          <w:tcPr>
            <w:tcW w:w="1820" w:type="dxa"/>
            <w:vAlign w:val="bottom"/>
            <w:gridSpan w:val="2"/>
          </w:tcPr>
          <w:p>
            <w:pPr>
              <w:jc w:val="center"/>
              <w:ind w:left="152"/>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24"/>
                <w:szCs w:val="24"/>
                <w:color w:val="auto"/>
              </w:rPr>
            </w:pPr>
          </w:p>
        </w:tc>
        <w:tc>
          <w:tcPr>
            <w:tcW w:w="740" w:type="dxa"/>
            <w:vAlign w:val="bottom"/>
          </w:tcPr>
          <w:p>
            <w:pPr>
              <w:jc w:val="center"/>
              <w:ind w:left="192"/>
              <w:spacing w:after="0"/>
              <w:rPr>
                <w:sz w:val="20"/>
                <w:szCs w:val="20"/>
                <w:color w:val="auto"/>
              </w:rPr>
            </w:pPr>
            <w:r>
              <w:rPr>
                <w:rFonts w:ascii="Arial" w:cs="Arial" w:eastAsia="Arial" w:hAnsi="Arial"/>
                <w:sz w:val="14"/>
                <w:szCs w:val="14"/>
                <w:color w:val="auto"/>
                <w:w w:val="93"/>
              </w:rPr>
              <w:t>(2)</w:t>
            </w:r>
          </w:p>
        </w:tc>
        <w:tc>
          <w:tcPr>
            <w:tcW w:w="1520" w:type="dxa"/>
            <w:vAlign w:val="bottom"/>
            <w:gridSpan w:val="3"/>
          </w:tcPr>
          <w:p>
            <w:pPr>
              <w:jc w:val="center"/>
              <w:ind w:left="41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c/o Dr. John Climax</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South County Business Park,</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Leopardstown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4"/>
                <w:szCs w:val="14"/>
                <w:color w:val="auto"/>
              </w:rPr>
              <w:t>Dublin 18, Ireland</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7322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440" w:right="280" w:hanging="432"/>
        <w:spacing w:after="0" w:line="284"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 w:lineRule="exact"/>
        <w:rPr>
          <w:rFonts w:ascii="Arial" w:cs="Arial" w:eastAsia="Arial" w:hAnsi="Arial"/>
          <w:sz w:val="16"/>
          <w:szCs w:val="16"/>
          <w:color w:val="auto"/>
        </w:rPr>
      </w:pPr>
    </w:p>
    <w:p>
      <w:pPr>
        <w:ind w:left="440" w:right="100" w:hanging="432"/>
        <w:spacing w:after="0" w:line="281"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selling shareholders may sell up to 1,500,000 ADSs representing ordinary shares under this Registration Statement. The prospectus supplement issued in connection with any offering by any of the selling shareholders will provide further details with respect to the number of ADSs representing ordinary shares to be offered by each selling shareholder and the number of ADSs representing ordinary shares that would be beneficially owned by each selling shareholder following such offering. The decision by either of the selling shareholders to sell any of its respective ADSs representing ordinary shares in an offering will depend upon the market price of our ADSs at that time and other factors deemed relevant by such selling stockholder. Notwithstanding the registration of our ADSs held by the selling shareholders, the selling shareholders may also sell their ADSs representing ordinary shares pursuant to applicable exemptions from registration, including but not limited to, Rule 144 under the Securities Act.</w:t>
      </w:r>
    </w:p>
    <w:p>
      <w:pPr>
        <w:spacing w:after="0" w:line="4" w:lineRule="exact"/>
        <w:rPr>
          <w:rFonts w:ascii="Arial" w:cs="Arial" w:eastAsia="Arial" w:hAnsi="Arial"/>
          <w:sz w:val="16"/>
          <w:szCs w:val="16"/>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8,000 options (vested and unvested).</w:t>
      </w:r>
    </w:p>
    <w:p>
      <w:pPr>
        <w:spacing w:after="0" w:line="9" w:lineRule="exact"/>
        <w:rPr>
          <w:rFonts w:ascii="Arial" w:cs="Arial" w:eastAsia="Arial" w:hAnsi="Arial"/>
          <w:sz w:val="18"/>
          <w:szCs w:val="18"/>
          <w:color w:val="auto"/>
        </w:rPr>
      </w:pPr>
    </w:p>
    <w:p>
      <w:pPr>
        <w:ind w:left="440" w:right="80" w:hanging="432"/>
        <w:spacing w:after="0" w:line="25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5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 Cahill Gordon &amp; Reindel LLP has no obligation to update this opinion to reflect future changes in law or any inaccuracies in any of the foregoing factual matters that may later come to our attention.</w:t>
      </w:r>
    </w:p>
    <w:p>
      <w:pPr>
        <w:spacing w:after="0" w:line="201"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As discussed in the opinion, the U.S. federal income tax consequences of the ownership and disposition of ordinary shares or ADSs purchased in this offering will depend to a significant extent on ICON’s actual income and assets and the manner in which ICON manages and conducts its business,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4"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This opinion is not a guarantee and merely represents the judgment of Cahill Gordon &amp; Reindel LLP regarding the specific matters addressed. The opinion is not binding on the Internal Revenue Service (the “IRS”) or any court and there is no assurance that the IRS or a court would not reach a contrary conclusion.</w:t>
      </w:r>
    </w:p>
    <w:p>
      <w:pPr>
        <w:spacing w:after="0" w:line="166" w:lineRule="exact"/>
        <w:rPr>
          <w:sz w:val="20"/>
          <w:szCs w:val="20"/>
          <w:color w:val="auto"/>
        </w:rPr>
      </w:pPr>
    </w:p>
    <w:p>
      <w:pPr>
        <w:ind w:firstLine="270"/>
        <w:spacing w:after="0" w:line="309" w:lineRule="auto"/>
        <w:rPr>
          <w:sz w:val="20"/>
          <w:szCs w:val="20"/>
          <w:color w:val="auto"/>
        </w:rPr>
      </w:pPr>
      <w:r>
        <w:rPr>
          <w:rFonts w:ascii="Arial" w:cs="Arial" w:eastAsia="Arial" w:hAnsi="Arial"/>
          <w:sz w:val="15"/>
          <w:szCs w:val="15"/>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ordinary shares or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non-U.S. or other tax consequences. Accordingly, prospective investors are urged to consult their own tax advisors to determine the specific tax consequences of the ownership and disposition of ordinary shares or ADSs to them, including any U.S. federal, state, local, non-U.S. or other tax consequences of (and any tax return filing or other reporting requirements relating to) the ownership and disposition of ordinary shares or ADSs purchased in this offering.</w:t>
      </w:r>
    </w:p>
    <w:p>
      <w:pPr>
        <w:spacing w:after="0" w:line="189" w:lineRule="exact"/>
        <w:rPr>
          <w:sz w:val="20"/>
          <w:szCs w:val="20"/>
          <w:color w:val="auto"/>
        </w:rPr>
      </w:pPr>
    </w:p>
    <w:p>
      <w:pPr>
        <w:ind w:right="260" w:firstLine="270"/>
        <w:spacing w:after="0" w:line="306" w:lineRule="auto"/>
        <w:rPr>
          <w:sz w:val="20"/>
          <w:szCs w:val="20"/>
          <w:color w:val="auto"/>
        </w:rPr>
      </w:pPr>
      <w:r>
        <w:rPr>
          <w:rFonts w:ascii="Arial" w:cs="Arial" w:eastAsia="Arial" w:hAnsi="Arial"/>
          <w:sz w:val="16"/>
          <w:szCs w:val="16"/>
          <w:color w:val="auto"/>
        </w:rPr>
        <w:t>For purposes of the following opinion, the term “U.S. Holder” means a beneficial owner of ordinary shares or ADSs that is, for U.S. federal income tax purposes, a individual who is a U.S. citizen or resident, a corporation created or organized in or under the laws of the United States or any political subdivision thereof, an estate the income of which is includable in gross income for U.S. federal income tax purposes regardless of its source, or a trust if: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540" w:right="220"/>
        <w:spacing w:after="0" w:line="299" w:lineRule="auto"/>
        <w:rPr>
          <w:sz w:val="20"/>
          <w:szCs w:val="20"/>
          <w:color w:val="auto"/>
        </w:rPr>
      </w:pPr>
      <w:r>
        <w:rPr>
          <w:rFonts w:ascii="Arial" w:cs="Arial" w:eastAsia="Arial" w:hAnsi="Arial"/>
          <w:sz w:val="18"/>
          <w:szCs w:val="18"/>
          <w:color w:val="auto"/>
        </w:rPr>
        <w:t>a U.S. court is able to exercise primary supervision over the administration of the trust and one or more U.S. fiduciaries have the authority to control all substantial decisions of the trust;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trust has a valid election in effect under applicable U.S.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U.S. federal income tax purposes, U.S. Holders of ADSs are treated as the owners of the underlying ordinary shares.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foregoing, it is the opinion of Cahill Gordon &amp; Reindel LLP that: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tax basis in such share or ADS and thereafter as a capital gain. Dividends paid by ICON plc, if any, generally will not qualify for the dividends-received deduction otherwise generally available to corporate shareholders.</w:t>
      </w:r>
    </w:p>
    <w:p>
      <w:pPr>
        <w:spacing w:after="0" w:line="225" w:lineRule="exact"/>
        <w:rPr>
          <w:sz w:val="20"/>
          <w:szCs w:val="20"/>
          <w:color w:val="auto"/>
        </w:rPr>
      </w:pPr>
    </w:p>
    <w:p>
      <w:pPr>
        <w:ind w:right="380" w:firstLine="270"/>
        <w:spacing w:after="0" w:line="259" w:lineRule="auto"/>
        <w:rPr>
          <w:sz w:val="20"/>
          <w:szCs w:val="20"/>
          <w:color w:val="auto"/>
        </w:rPr>
      </w:pPr>
      <w:r>
        <w:rPr>
          <w:rFonts w:ascii="Arial" w:cs="Arial" w:eastAsia="Arial" w:hAnsi="Arial"/>
          <w:sz w:val="18"/>
          <w:szCs w:val="18"/>
          <w:color w:val="auto"/>
        </w:rPr>
        <w:t>Provided that we have not been and do not become a PFIC (as discussed below), dividends, if any, received by noncorporate holders in taxable years beginning prior to 2009 generally will be eligible for reduced rates of taxation applicable to “qualified dividend income,” subject to minimum holding period requirements and certain other requirements and limitations.</w:t>
      </w:r>
    </w:p>
    <w:p>
      <w:pPr>
        <w:spacing w:after="0" w:line="2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224"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a U.S. Holder’s entitlement to U.S. foreign tax credits. However, a U.S. Holder entitled to benefits under the Ireland-U.S. Income Tax Treaty may elect to treat as foreign source income any portion of ICON plc’s dividends that otherwise would be treated as U.S. source pursuant to the rule described in the preceding sentence, in which event such portion of the ICON plc dividend must be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58"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Subject to the PFIC rules discussed below, upon a sale, exchange or other disposition of the ordinary shares or ADSs, a U.S. Holder generally will recognize a gain or a loss, if any, equal to the differ-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20" w:name="page21"/>
    <w:bookmarkEnd w:id="20"/>
    <w:p>
      <w:pPr>
        <w:ind w:right="400"/>
        <w:spacing w:after="0" w:line="306" w:lineRule="auto"/>
        <w:rPr>
          <w:sz w:val="20"/>
          <w:szCs w:val="20"/>
          <w:color w:val="auto"/>
        </w:rPr>
      </w:pPr>
      <w:r>
        <w:rPr>
          <w:rFonts w:ascii="Arial" w:cs="Arial" w:eastAsia="Arial" w:hAnsi="Arial"/>
          <w:sz w:val="16"/>
          <w:szCs w:val="16"/>
          <w:color w:val="auto"/>
        </w:rPr>
        <w:t>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PFIC Status</w:t>
      </w:r>
    </w:p>
    <w:p>
      <w:pPr>
        <w:spacing w:after="0" w:line="258" w:lineRule="exact"/>
        <w:rPr>
          <w:sz w:val="20"/>
          <w:szCs w:val="20"/>
          <w:color w:val="auto"/>
        </w:rPr>
      </w:pPr>
    </w:p>
    <w:p>
      <w:pPr>
        <w:ind w:right="200" w:firstLine="270"/>
        <w:spacing w:after="0" w:line="301" w:lineRule="auto"/>
        <w:rPr>
          <w:sz w:val="20"/>
          <w:szCs w:val="20"/>
          <w:color w:val="auto"/>
        </w:rPr>
      </w:pPr>
      <w:r>
        <w:rPr>
          <w:rFonts w:ascii="Arial" w:cs="Arial" w:eastAsia="Arial" w:hAnsi="Arial"/>
          <w:sz w:val="15"/>
          <w:szCs w:val="15"/>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nature and amount of its income and assets and the manner in which it has managed and conducted its business are accurate (without regard to any knowledge or belief qualifiers expressed by management), ICON plc was not a PFIC for its taxable year ended December 31, 2005.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December 31,</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2006 or in the foreseeable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A U.S. Holder owning shares in a PFIC generally may be able to avoid or mitigate these adverse tax consequences by making a timely “qualified electing fund” (“QEF”) or “mark-to-market” election. U.S. Holders should consult with their tax advisors as to the effect of these rules, including the circumstances under which a U.S. Holder will be required to file a timely “protective statement” in order to preserve its right to make a QEF election.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Tax and Information Reporting</w:t>
      </w:r>
    </w:p>
    <w:p>
      <w:pPr>
        <w:spacing w:after="0" w:line="258" w:lineRule="exact"/>
        <w:rPr>
          <w:sz w:val="20"/>
          <w:szCs w:val="20"/>
          <w:color w:val="auto"/>
        </w:rPr>
      </w:pPr>
    </w:p>
    <w:p>
      <w:pPr>
        <w:jc w:val="both"/>
        <w:ind w:right="60" w:firstLine="270"/>
        <w:spacing w:after="0" w:line="370" w:lineRule="auto"/>
        <w:rPr>
          <w:sz w:val="20"/>
          <w:szCs w:val="20"/>
          <w:color w:val="auto"/>
        </w:rPr>
      </w:pPr>
      <w:r>
        <w:rPr>
          <w:rFonts w:ascii="Arial" w:cs="Arial" w:eastAsia="Arial" w:hAnsi="Arial"/>
          <w:sz w:val="15"/>
          <w:szCs w:val="15"/>
          <w:color w:val="auto"/>
        </w:rPr>
        <w:t>A U.S. Holder of ordinary shares or ADSs may be subject to information reporting requirements and backup withholding tax for amounts paid with respect to dividends on the ordinary shares or ADSs, or the proceeds of sale or other disposition (including a redemption) of the ordinary shares or ADSs, unless the holder:</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240"/>
        <w:spacing w:after="0" w:line="299" w:lineRule="auto"/>
        <w:rPr>
          <w:sz w:val="20"/>
          <w:szCs w:val="20"/>
          <w:color w:val="auto"/>
        </w:rPr>
      </w:pPr>
      <w:r>
        <w:rPr>
          <w:rFonts w:ascii="Arial" w:cs="Arial" w:eastAsia="Arial" w:hAnsi="Arial"/>
          <w:sz w:val="18"/>
          <w:szCs w:val="18"/>
          <w:color w:val="auto"/>
        </w:rPr>
        <w:t>provides a correct taxpayer identification number, or T.I.N., certifies that he, she or it is not subject to backup withholding and otherwise complies with applicable requirements of the backup withholding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A U.S. Holder of ordinary shares or ADSs who does not provide a correct T.I.N. may be subject to penalties imposed by the IRS. Any amount withheld under backup withholding rules generally will be creditable against a U.S. Holder’s U.S. federal income tax liability and may entitle such U.S. Holder to a refund, provided that a U.S. Holder timely furnishes certain information to the IRS.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58"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Set forth below is the opinion of KPMG, Tax Advisors to the Company, regarding the material aspects of Irish tax law and practice regarding the ownership and disposition of ordinary shares and ADSs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line="289" w:lineRule="auto"/>
        <w:rPr>
          <w:sz w:val="20"/>
          <w:szCs w:val="20"/>
          <w:color w:val="auto"/>
        </w:rPr>
      </w:pPr>
      <w:r>
        <w:rPr>
          <w:rFonts w:ascii="Arial" w:cs="Arial" w:eastAsia="Arial" w:hAnsi="Arial"/>
          <w:sz w:val="16"/>
          <w:szCs w:val="16"/>
          <w:color w:val="auto"/>
        </w:rPr>
        <w:t>by US Holders (as defined in the opinion included elsewhere in “U.S. Taxation Considerations” provided by Cahill Gordon &amp; Reindel LLP).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not a guarantee and merely represents the judgment of KPMG regarding the specific matters addressed.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foregoing, it is the opinion of KPMG that: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ultimately controlled by residents of a Relevant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resident in a Relevant Territory and are not controlled by Irish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440"/>
        <w:spacing w:after="0" w:line="299" w:lineRule="auto"/>
        <w:rPr>
          <w:sz w:val="20"/>
          <w:szCs w:val="20"/>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380"/>
        <w:spacing w:after="0" w:line="299" w:lineRule="auto"/>
        <w:rPr>
          <w:sz w:val="20"/>
          <w:szCs w:val="20"/>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13"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Special arrangements are available in the case of interests in shares held in Irish companies through American depositary banks using ADSs. The depositary bank will be allowed to receive and pass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on a dividend from the Irish company without any deduction for withholding tax in the following circumstances:</w:t>
      </w:r>
    </w:p>
    <w:p>
      <w:pPr>
        <w:spacing w:after="0" w:line="252" w:lineRule="exact"/>
        <w:rPr>
          <w:sz w:val="20"/>
          <w:szCs w:val="20"/>
          <w:color w:val="auto"/>
        </w:rPr>
      </w:pPr>
    </w:p>
    <w:p>
      <w:pPr>
        <w:ind w:left="540" w:right="440"/>
        <w:spacing w:after="0" w:line="299" w:lineRule="auto"/>
        <w:rPr>
          <w:sz w:val="20"/>
          <w:szCs w:val="20"/>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depositary bank’s ADS register shows that the beneficial owner has a U.S. address on the register;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640"/>
        <w:spacing w:after="0" w:line="299" w:lineRule="auto"/>
        <w:rPr>
          <w:sz w:val="20"/>
          <w:szCs w:val="20"/>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8"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individual resident in the U.S. (or any other country with which Ireland has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corporation that is ultimately controlled by persons resident in the U.S. (or any other country with which Ireland has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60"/>
        <w:spacing w:after="0" w:line="299" w:lineRule="auto"/>
        <w:rPr>
          <w:sz w:val="20"/>
          <w:szCs w:val="20"/>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420"/>
        <w:spacing w:after="0" w:line="299" w:lineRule="auto"/>
        <w:rPr>
          <w:sz w:val="20"/>
          <w:szCs w:val="20"/>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700"/>
        <w:spacing w:after="0" w:line="367" w:lineRule="auto"/>
        <w:rPr>
          <w:sz w:val="20"/>
          <w:szCs w:val="20"/>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-321310</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58"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right="200"/>
        <w:spacing w:after="0" w:line="259" w:lineRule="auto"/>
        <w:rPr>
          <w:sz w:val="20"/>
          <w:szCs w:val="20"/>
          <w:color w:val="auto"/>
        </w:rPr>
      </w:pPr>
      <w:r>
        <w:rPr>
          <w:rFonts w:ascii="Arial" w:cs="Arial" w:eastAsia="Arial" w:hAnsi="Arial"/>
          <w:sz w:val="18"/>
          <w:szCs w:val="18"/>
          <w:color w:val="auto"/>
        </w:rPr>
        <w:t>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Irish-domiciled individuals: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cease to be Irish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own the shares when they cease to be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line="299" w:lineRule="auto"/>
        <w:rPr>
          <w:sz w:val="20"/>
          <w:szCs w:val="20"/>
          <w:color w:val="auto"/>
        </w:rPr>
      </w:pPr>
      <w:r>
        <w:rPr>
          <w:rFonts w:ascii="Arial" w:cs="Arial" w:eastAsia="Arial" w:hAnsi="Arial"/>
          <w:sz w:val="18"/>
          <w:szCs w:val="18"/>
          <w:color w:val="auto"/>
        </w:rPr>
        <w:t>if there are not more than five years of assessment between the last year of Irish tax residence prior to becoming temporarily non-resident and the tax year that such individual resumes Irish tax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dispose of an interest in a company during this temporary non-residence;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13" w:lineRule="exact"/>
        <w:rPr>
          <w:sz w:val="20"/>
          <w:szCs w:val="20"/>
          <w:color w:val="auto"/>
        </w:rPr>
      </w:pPr>
    </w:p>
    <w:p>
      <w:pPr>
        <w:jc w:val="both"/>
        <w:ind w:right="120" w:firstLine="270"/>
        <w:spacing w:after="0" w:line="335" w:lineRule="auto"/>
        <w:rPr>
          <w:sz w:val="20"/>
          <w:szCs w:val="20"/>
          <w:color w:val="auto"/>
        </w:rPr>
      </w:pPr>
      <w:r>
        <w:rPr>
          <w:rFonts w:ascii="Arial" w:cs="Arial" w:eastAsia="Arial" w:hAnsi="Arial"/>
          <w:sz w:val="15"/>
          <w:szCs w:val="15"/>
          <w:color w:val="auto"/>
        </w:rPr>
        <w:t>A transfer of assets between spouses will not give rise to a gain or loss for a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such assets in the year in which they were acquired.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58"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7"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58" w:lineRule="exact"/>
        <w:rPr>
          <w:sz w:val="20"/>
          <w:szCs w:val="20"/>
          <w:color w:val="auto"/>
        </w:rPr>
      </w:pPr>
    </w:p>
    <w:p>
      <w:pPr>
        <w:ind w:right="380" w:firstLine="270"/>
        <w:spacing w:after="0" w:line="332" w:lineRule="auto"/>
        <w:rPr>
          <w:sz w:val="20"/>
          <w:szCs w:val="20"/>
          <w:color w:val="auto"/>
        </w:rPr>
      </w:pPr>
      <w:r>
        <w:rPr>
          <w:rFonts w:ascii="Arial" w:cs="Arial" w:eastAsia="Arial" w:hAnsi="Arial"/>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right="60"/>
        <w:spacing w:after="0" w:line="294" w:lineRule="auto"/>
        <w:rPr>
          <w:sz w:val="20"/>
          <w:szCs w:val="20"/>
          <w:color w:val="auto"/>
        </w:rPr>
      </w:pPr>
      <w:r>
        <w:rPr>
          <w:rFonts w:ascii="Arial" w:cs="Arial" w:eastAsia="Arial" w:hAnsi="Arial"/>
          <w:sz w:val="16"/>
          <w:szCs w:val="16"/>
          <w:color w:val="auto"/>
        </w:rPr>
        <w:t>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197"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213"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58" w:lineRule="exact"/>
        <w:rPr>
          <w:sz w:val="20"/>
          <w:szCs w:val="20"/>
          <w:color w:val="auto"/>
        </w:rPr>
      </w:pPr>
    </w:p>
    <w:p>
      <w:pPr>
        <w:ind w:right="180" w:firstLine="270"/>
        <w:spacing w:after="0" w:line="318" w:lineRule="auto"/>
        <w:rPr>
          <w:sz w:val="20"/>
          <w:szCs w:val="20"/>
          <w:color w:val="auto"/>
        </w:rPr>
      </w:pPr>
      <w:r>
        <w:rPr>
          <w:rFonts w:ascii="Arial" w:cs="Arial" w:eastAsia="Arial" w:hAnsi="Arial"/>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81" w:lineRule="exact"/>
        <w:rPr>
          <w:sz w:val="20"/>
          <w:szCs w:val="20"/>
          <w:color w:val="auto"/>
        </w:rPr>
      </w:pPr>
    </w:p>
    <w:p>
      <w:pPr>
        <w:jc w:val="both"/>
        <w:ind w:right="300" w:firstLine="270"/>
        <w:spacing w:after="0" w:line="306"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and the selling shareholders may sell the securities offered by this prospectus in and outside the United States in one or more of the following ways:</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through agents;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directly to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We and the selling shareholders may sell, either directly or through agents, and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Underwriters, dealers and agents may engage in transactions with, or perform services for, us or our affiliates in the ordinary course of their business.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prospectus supplement relating to any offering will include the following information: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terms of the offering, including the aggregate number of securities being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names of any underwriters, dealers or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purchase price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net proceeds to us from the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delayed delivery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underwriting discounts or other underwriters’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discounts or concessions allowed or reallowed or paid to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through Underwriters or Dealers</w:t>
      </w:r>
    </w:p>
    <w:p>
      <w:pPr>
        <w:spacing w:after="0" w:line="252"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If we or the selling shareholders use underwriters in an offering using this prospectus, we or the selling shareholders will execute an underwriting agreement with one or more underwriters. The underwriting agreement will provide that the obligations of the underwriters with respect to a sale of the offered securities are subject to specified conditions precedent and that the underwriters will be obligated to purchase all of the offered securities if they purchase any. Compensation to the underwriters may be in the form of discounts, concessions or commissions. Underwriters may sell the securities through dealers. The underwriters may change the initial offering price and any discounts or concessions allowed or re-allowed or paid to dealers. If we or the selling shareholders use underwriters in an offering of securities using this prospectus, the applicable prospectus supplement will contain a statement regarding the intention, if any, of the underwriters to make a market in the offered securities.</w:t>
      </w:r>
    </w:p>
    <w:p>
      <w:pPr>
        <w:spacing w:after="0" w:line="199"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We or the selling shareholders may grant to the underwriters an option to purchase additional offered securities to cover over-allotments, if any, at the public offering price (with additional underwriting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ind w:right="140"/>
        <w:spacing w:after="0" w:line="268" w:lineRule="auto"/>
        <w:rPr>
          <w:sz w:val="20"/>
          <w:szCs w:val="20"/>
          <w:color w:val="auto"/>
        </w:rPr>
      </w:pPr>
      <w:r>
        <w:rPr>
          <w:rFonts w:ascii="Arial" w:cs="Arial" w:eastAsia="Arial" w:hAnsi="Arial"/>
          <w:sz w:val="18"/>
          <w:szCs w:val="18"/>
          <w:color w:val="auto"/>
        </w:rPr>
        <w:t>discounts or commissions), as may be set forth in the related prospectus supplement. If we or the selling shareholders grant any over-allotment option, the terms of the over-allotment option will be set forth in the prospectus supplement relating to such offered securities.</w:t>
      </w:r>
    </w:p>
    <w:p>
      <w:pPr>
        <w:spacing w:after="0" w:line="21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If we or the selling shareholders use a dealer in an offering of securities using this prospectus, we or the selling shareholders will sell the offered securities to the dealer as principal. The dealer may then resell those securities to the public or other dealers at a fixed price or varying prices to be determined at the time of resale.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252"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We or the selling shareholders may also use this prospectus to directly solicit offers to purchase securities. In this case, no underwriters or agents would be involved. Except as set forth in the applicable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224"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We or the selling shareholders may also sell the offered securities through agents we or they designate from time to time. In the prospectus supplement, we or the selling shareholders will describe any commission payable by us or them to the agent. Unless we inform you otherwise in the prospectus supplement, any agent will agree to use its reasonable best efforts to solicit purchases for the period of its appointment.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Delayed Delivery Contracts</w:t>
      </w:r>
    </w:p>
    <w:p>
      <w:pPr>
        <w:spacing w:after="0" w:line="252" w:lineRule="exact"/>
        <w:rPr>
          <w:sz w:val="20"/>
          <w:szCs w:val="20"/>
          <w:color w:val="auto"/>
        </w:rPr>
      </w:pPr>
    </w:p>
    <w:p>
      <w:pPr>
        <w:ind w:right="140" w:firstLine="270"/>
        <w:spacing w:after="0" w:line="289" w:lineRule="auto"/>
        <w:rPr>
          <w:sz w:val="20"/>
          <w:szCs w:val="20"/>
          <w:color w:val="auto"/>
        </w:rPr>
      </w:pPr>
      <w:r>
        <w:rPr>
          <w:rFonts w:ascii="Arial" w:cs="Arial" w:eastAsia="Arial" w:hAnsi="Arial"/>
          <w:sz w:val="16"/>
          <w:szCs w:val="16"/>
          <w:color w:val="auto"/>
        </w:rPr>
        <w:t>If so indicated in the prospectus supplement relating to a particular issue of offered securities, we or the selling shareholders may authorize underwriters and agents to solicit offers by certain institutions to purchase securities pursuant to delayed delivery contracts providing for payment and delivery on a future date. Institutions with which delayed delivery contracts may be made include commercial and savings banks, insurance companies, educational and charitable institutions and other institutions we or the selling shareholders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to which that institution is subject. Any commission paid to agents and underwriters soliciting purchases of securities pursuant to delayed delivery contracts accepted by us or the selling shareholders will be detailed in the prospectus supplement.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52"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Underwriters, dealers or agents participating in a distribution of securities using this prospectus may be deemed to be underwriters under the Securities Act. Pursuant to agreements that we or the selling shareholders may enter into, underwriters, dealers or agents who participate in the distribution of securities by use of this prospectus may be entitled to indemnification by us and the selling shareholders against certain liabilities, including liabilities under the Securities Act, or contribution with respect to payments that those underwriters, dealers or agents may be required to make in respect of those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offered securities will be sold in minimum units of €50,000 (or the U.S. dollar equivalent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EXCHANGE CONTROLS AND OTHER LIMITATIONS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AFFECTING SECURITY HOLDERS</w:t>
      </w:r>
    </w:p>
    <w:p>
      <w:pPr>
        <w:spacing w:after="0" w:line="246"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21"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Zimbabwe, the Taliban of Afghanistan, Osama bin Laden and Al-Qaeda, Libe-ria, Burma/Myanmar, Uzbekistan, Sudan, Cote D’Ivoire and countries that harbour certain terrorist groups, without the prior permission of the Central Bank of Ireland.</w:t>
      </w:r>
    </w:p>
    <w:p>
      <w:pPr>
        <w:spacing w:after="0" w:line="199" w:lineRule="exact"/>
        <w:rPr>
          <w:sz w:val="20"/>
          <w:szCs w:val="20"/>
          <w:color w:val="auto"/>
        </w:rPr>
      </w:pPr>
    </w:p>
    <w:p>
      <w:pPr>
        <w:ind w:right="260" w:firstLine="270"/>
        <w:spacing w:after="0" w:line="254"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Uzbekistan, Democratic Republic of Congo,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THE ORDINARY SHARES</w:t>
      </w:r>
    </w:p>
    <w:p>
      <w:pPr>
        <w:spacing w:after="0" w:line="258" w:lineRule="exact"/>
        <w:rPr>
          <w:sz w:val="20"/>
          <w:szCs w:val="20"/>
          <w:color w:val="auto"/>
        </w:rPr>
      </w:pPr>
    </w:p>
    <w:p>
      <w:pPr>
        <w:jc w:val="both"/>
        <w:ind w:right="260" w:firstLine="270"/>
        <w:spacing w:after="0" w:line="259" w:lineRule="auto"/>
        <w:rPr>
          <w:sz w:val="20"/>
          <w:szCs w:val="20"/>
          <w:color w:val="auto"/>
        </w:rPr>
      </w:pPr>
      <w:r>
        <w:rPr>
          <w:rFonts w:ascii="Arial" w:cs="Arial" w:eastAsia="Arial" w:hAnsi="Arial"/>
          <w:sz w:val="18"/>
          <w:szCs w:val="18"/>
          <w:color w:val="auto"/>
        </w:rPr>
        <w:t>The validity of the ordinary shares will be passed upon by A&amp;L Goodbody, solicitors, IFSC, Dublin 1, Ireland. Certain matters of U.S. and New York law with respect to this offering will be passed upon for us by Cahill Gordon &amp; Reindel LLP, 80 Pine Street, New York, New York. Cahill Gordon &amp; Reindel LLP may rely upon A&amp;L Goodbody with respect to certain matters governed by Irish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right="560" w:firstLine="270"/>
        <w:spacing w:after="0" w:line="268" w:lineRule="auto"/>
        <w:rPr>
          <w:sz w:val="20"/>
          <w:szCs w:val="20"/>
          <w:color w:val="auto"/>
        </w:rPr>
      </w:pPr>
      <w:r>
        <w:rPr>
          <w:rFonts w:ascii="Arial" w:cs="Arial" w:eastAsia="Arial" w:hAnsi="Arial"/>
          <w:sz w:val="18"/>
          <w:szCs w:val="18"/>
          <w:color w:val="auto"/>
        </w:rPr>
        <w:t>The discussions included under the heading “Irish Taxation Considerations” were prepared for the Company by KPMG, independent registered public accounting firm, and have been included herein upon the authority of said firm as experts in tax matters.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ind w:right="100" w:firstLine="270"/>
        <w:spacing w:after="0" w:line="268" w:lineRule="auto"/>
        <w:rPr>
          <w:sz w:val="20"/>
          <w:szCs w:val="20"/>
          <w:color w:val="auto"/>
        </w:rPr>
      </w:pPr>
      <w:r>
        <w:rPr>
          <w:rFonts w:ascii="Arial" w:cs="Arial" w:eastAsia="Arial" w:hAnsi="Arial"/>
          <w:sz w:val="18"/>
          <w:szCs w:val="18"/>
          <w:color w:val="auto"/>
        </w:rPr>
        <w:t>A&amp;L Goodbody have given and have not withdrawn their written consent to the references in this prospectus to their names in the form and context in which they appear.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ISSUANCE AND DISTRIBUTION</w:t>
      </w:r>
    </w:p>
    <w:p>
      <w:pPr>
        <w:spacing w:after="0" w:line="258"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shares, which will be borne by us and the selling shareholders proportionately to the ADSs being offered unless otherwise indicated:</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1032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13,375</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Nasdaq National Market fees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175,000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Transfer and Registrar fee</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1032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150,000</w:t>
            </w:r>
          </w:p>
        </w:tc>
      </w:tr>
      <w:tr>
        <w:trPr>
          <w:trHeight w:val="124"/>
        </w:trPr>
        <w:tc>
          <w:tcPr>
            <w:tcW w:w="10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r>
        <w:trPr>
          <w:trHeight w:val="343"/>
        </w:trPr>
        <w:tc>
          <w:tcPr>
            <w:tcW w:w="10320" w:type="dxa"/>
            <w:vAlign w:val="bottom"/>
          </w:tcPr>
          <w:p>
            <w:pPr>
              <w:ind w:left="7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770,875</w:t>
            </w:r>
          </w:p>
        </w:tc>
      </w:tr>
      <w:tr>
        <w:trPr>
          <w:trHeight w:val="124"/>
        </w:trPr>
        <w:tc>
          <w:tcPr>
            <w:tcW w:w="10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PROVISIONS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FEDERAL SECURITIES LAWS AGAINST FOREIGN PERSONS;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RIGHTS UNDER IRISH LAW</w:t>
      </w:r>
    </w:p>
    <w:p>
      <w:pPr>
        <w:spacing w:after="0" w:line="246"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08"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88"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Shareholder Rights Under Irish Law</w:t>
      </w:r>
    </w:p>
    <w:p>
      <w:pPr>
        <w:spacing w:after="0" w:line="25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attend, and review minutes of, shareholder meetings, but are not entitled to review board or other corporate minutes.</w:t>
      </w:r>
    </w:p>
    <w:p>
      <w:pPr>
        <w:spacing w:after="0" w:line="224"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Under Irish law, shareholders holding 10% or more of the Company’s issued and paid up voting shares may call a shareholder meeting.</w:t>
      </w:r>
    </w:p>
    <w:p>
      <w:pPr>
        <w:spacing w:after="0" w:line="252"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224"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221" w:lineRule="exact"/>
        <w:rPr>
          <w:sz w:val="20"/>
          <w:szCs w:val="20"/>
          <w:color w:val="auto"/>
        </w:rPr>
      </w:pPr>
    </w:p>
    <w:p>
      <w:pPr>
        <w:ind w:right="240" w:firstLine="270"/>
        <w:spacing w:after="0" w:line="306" w:lineRule="auto"/>
        <w:rPr>
          <w:sz w:val="20"/>
          <w:szCs w:val="20"/>
          <w:color w:val="auto"/>
        </w:rPr>
      </w:pPr>
      <w:r>
        <w:rPr>
          <w:rFonts w:ascii="Arial" w:cs="Arial" w:eastAsia="Arial" w:hAnsi="Arial"/>
          <w:sz w:val="16"/>
          <w:szCs w:val="16"/>
          <w:color w:val="auto"/>
        </w:rPr>
        <w:t>All matters relating to the management and control of an Irish company are generally delegated to its board of directors under the company’s constitutional documents, except for those actions which require a vote of the shareholders. ICON’s constitutional documents contain standard provisions delegating management and control to its board of directors. In certain situations, specific authority is delegated to officers, auditors and examiners.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58"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or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4" w:lineRule="exact"/>
        <w:rPr>
          <w:sz w:val="20"/>
          <w:szCs w:val="20"/>
          <w:color w:val="auto"/>
        </w:rPr>
      </w:pPr>
    </w:p>
    <w:p>
      <w:pPr>
        <w:ind w:right="180" w:firstLine="270"/>
        <w:spacing w:after="0" w:line="298" w:lineRule="auto"/>
        <w:rPr>
          <w:sz w:val="20"/>
          <w:szCs w:val="20"/>
          <w:color w:val="auto"/>
        </w:rPr>
      </w:pPr>
      <w:r>
        <w:rPr>
          <w:rFonts w:ascii="Arial" w:cs="Arial" w:eastAsia="Arial" w:hAnsi="Arial"/>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4"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240"/>
        <w:spacing w:after="0" w:line="268" w:lineRule="auto"/>
        <w:rPr>
          <w:sz w:val="20"/>
          <w:szCs w:val="20"/>
          <w:color w:val="auto"/>
        </w:rPr>
      </w:pPr>
      <w:r>
        <w:rPr>
          <w:rFonts w:ascii="Arial" w:cs="Arial" w:eastAsia="Arial" w:hAnsi="Arial"/>
          <w:sz w:val="18"/>
          <w:szCs w:val="18"/>
          <w:color w:val="auto"/>
        </w:rPr>
        <w:t>part of the registration statement, does not contain all of the information set forth in the registration statement. For further information about us and our ADSs, you should refer to the registration statement.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58"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22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This prospectus incorporates by reference the following documents that we previously filed with the Commission and any future filings made with the Commission under Sections 13(a), 13(c) or 15(d) of the Exchange Act until the selling shareholders sell all the ADSs offered by this prospectus; these documents contain important information about our finances and us: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Transition Report on Form 20-F for the period ended December 31, 2005, filed with the Commission on March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320"/>
        <w:spacing w:after="0" w:line="299" w:lineRule="auto"/>
        <w:rPr>
          <w:sz w:val="20"/>
          <w:szCs w:val="20"/>
          <w:color w:val="auto"/>
        </w:rPr>
      </w:pPr>
      <w:r>
        <w:rPr>
          <w:rFonts w:ascii="Arial" w:cs="Arial" w:eastAsia="Arial" w:hAnsi="Arial"/>
          <w:sz w:val="18"/>
          <w:szCs w:val="18"/>
          <w:color w:val="auto"/>
        </w:rPr>
        <w:t>our current report on Form 6-K, filed with the Commission on February 3, 2006 (as amended by Form 6-K/A filed with the Commission on April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description of our Ordinary Shares and American Depositary Shares contained on Form 6-K/A filed with the Commission on March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description of our Memorandum and Articles of Association contained on Form 6-K, filed with the Commission on January 31, 2003;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60"/>
        <w:spacing w:after="0" w:line="299" w:lineRule="auto"/>
        <w:rPr>
          <w:sz w:val="20"/>
          <w:szCs w:val="20"/>
          <w:color w:val="auto"/>
        </w:rPr>
      </w:pPr>
      <w:r>
        <w:rPr>
          <w:rFonts w:ascii="Arial" w:cs="Arial" w:eastAsia="Arial" w:hAnsi="Arial"/>
          <w:sz w:val="18"/>
          <w:szCs w:val="18"/>
          <w:color w:val="auto"/>
        </w:rPr>
        <w:t>the description of our Registration Rights Agreement, dated as of December 12, 1997, contained on Form 6-K, filed with the Commission on January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You may request a copy of these filings, at no cost, by writing or telephoning us at our principal executive offices at this address: ICON plc, Attention: Ciaran Murray, Chief Financial Officer, South County Business Park, Leopardstown, Dublin 18, Ireland, (353) 1-291-2000.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jc w:val="center"/>
        <w:ind w:right="80"/>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 Indemnification of Directors and Officers</w:t>
      </w:r>
      <w:r>
        <w:rPr>
          <w:rFonts w:ascii="Arial" w:cs="Arial" w:eastAsia="Arial" w:hAnsi="Arial"/>
          <w:sz w:val="18"/>
          <w:szCs w:val="18"/>
          <w:b w:val="1"/>
          <w:bCs w:val="1"/>
          <w:color w:val="auto"/>
        </w:rPr>
        <w:t>.</w:t>
      </w:r>
    </w:p>
    <w:p>
      <w:pPr>
        <w:spacing w:after="0" w:line="258"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Paragraph 139 of the Articles of Association of ICON provides as follows:</w:t>
      </w:r>
    </w:p>
    <w:p>
      <w:pPr>
        <w:spacing w:after="0" w:line="252" w:lineRule="exact"/>
        <w:rPr>
          <w:sz w:val="20"/>
          <w:szCs w:val="20"/>
          <w:color w:val="auto"/>
        </w:rPr>
      </w:pPr>
    </w:p>
    <w:p>
      <w:pPr>
        <w:ind w:left="540" w:right="700" w:firstLine="314"/>
        <w:spacing w:after="0" w:line="290" w:lineRule="auto"/>
        <w:rPr>
          <w:sz w:val="20"/>
          <w:szCs w:val="20"/>
          <w:color w:val="auto"/>
        </w:rPr>
      </w:pPr>
      <w:r>
        <w:rPr>
          <w:rFonts w:ascii="Arial" w:cs="Arial" w:eastAsia="Arial" w:hAnsi="Arial"/>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9" w:lineRule="exact"/>
        <w:rPr>
          <w:sz w:val="20"/>
          <w:szCs w:val="20"/>
          <w:color w:val="auto"/>
        </w:rPr>
      </w:pPr>
    </w:p>
    <w:p>
      <w:pPr>
        <w:ind w:left="540" w:right="660" w:firstLine="314"/>
        <w:spacing w:after="0" w:line="259" w:lineRule="auto"/>
        <w:rPr>
          <w:sz w:val="20"/>
          <w:szCs w:val="20"/>
          <w:color w:val="auto"/>
        </w:rPr>
      </w:pPr>
      <w:r>
        <w:rPr>
          <w:rFonts w:ascii="Arial" w:cs="Arial" w:eastAsia="Arial" w:hAnsi="Arial"/>
          <w:sz w:val="18"/>
          <w:szCs w:val="18"/>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22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 Exhibits</w:t>
      </w:r>
      <w:r>
        <w:rPr>
          <w:rFonts w:ascii="Arial" w:cs="Arial" w:eastAsia="Arial" w:hAnsi="Arial"/>
          <w:sz w:val="18"/>
          <w:szCs w:val="18"/>
          <w:b w:val="1"/>
          <w:bCs w:val="1"/>
          <w:color w:val="auto"/>
        </w:rPr>
        <w:t>.</w:t>
      </w:r>
    </w:p>
    <w:p>
      <w:pPr>
        <w:spacing w:after="0" w:line="2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by reference herein: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180" w:type="dxa"/>
            <w:vAlign w:val="bottom"/>
          </w:tcPr>
          <w:p>
            <w:pPr>
              <w:spacing w:after="0"/>
              <w:rPr>
                <w:sz w:val="19"/>
                <w:szCs w:val="19"/>
                <w:color w:val="auto"/>
              </w:rPr>
            </w:pPr>
          </w:p>
        </w:tc>
      </w:tr>
      <w:tr>
        <w:trPr>
          <w:trHeight w:val="205"/>
        </w:trPr>
        <w:tc>
          <w:tcPr>
            <w:tcW w:w="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Exhibit</w:t>
            </w:r>
          </w:p>
        </w:tc>
        <w:tc>
          <w:tcPr>
            <w:tcW w:w="9180" w:type="dxa"/>
            <w:vAlign w:val="bottom"/>
          </w:tcPr>
          <w:p>
            <w:pPr>
              <w:spacing w:after="0"/>
              <w:rPr>
                <w:sz w:val="17"/>
                <w:szCs w:val="17"/>
                <w:color w:val="auto"/>
              </w:rPr>
            </w:pPr>
          </w:p>
        </w:tc>
      </w:tr>
      <w:tr>
        <w:trPr>
          <w:trHeight w:val="491"/>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Deposit Agreement, dated as of May 20, 1998, between the Company, The Bank of New</w:t>
            </w:r>
          </w:p>
        </w:tc>
      </w:tr>
      <w:tr>
        <w:trPr>
          <w:trHeight w:val="243"/>
        </w:trPr>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80" w:type="dxa"/>
            <w:vAlign w:val="bottom"/>
            <w:gridSpan w:val="3"/>
          </w:tcPr>
          <w:p>
            <w:pPr>
              <w:ind w:left="540"/>
              <w:spacing w:after="0"/>
              <w:rPr>
                <w:sz w:val="20"/>
                <w:szCs w:val="20"/>
                <w:color w:val="auto"/>
              </w:rPr>
            </w:pPr>
            <w:r>
              <w:rPr>
                <w:rFonts w:ascii="Arial" w:cs="Arial" w:eastAsia="Arial" w:hAnsi="Arial"/>
                <w:sz w:val="18"/>
                <w:szCs w:val="18"/>
                <w:color w:val="auto"/>
              </w:rPr>
              <w:t>York and the holders from time to time of the Company’s ADRs</w:t>
            </w:r>
          </w:p>
        </w:tc>
      </w:tr>
      <w:tr>
        <w:trPr>
          <w:trHeight w:val="675"/>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80" w:type="dxa"/>
            <w:vAlign w:val="bottom"/>
          </w:tcPr>
          <w:p>
            <w:pPr>
              <w:ind w:left="3300"/>
              <w:spacing w:after="0"/>
              <w:rPr>
                <w:sz w:val="20"/>
                <w:szCs w:val="20"/>
                <w:color w:val="auto"/>
              </w:rPr>
            </w:pPr>
            <w:r>
              <w:rPr>
                <w:rFonts w:ascii="Arial" w:cs="Arial" w:eastAsia="Arial" w:hAnsi="Arial"/>
                <w:sz w:val="18"/>
                <w:szCs w:val="18"/>
                <w:color w:val="auto"/>
              </w:rPr>
              <w:t>II-1</w:t>
            </w:r>
          </w:p>
        </w:tc>
      </w:tr>
      <w:tr>
        <w:trPr>
          <w:trHeight w:val="215"/>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61"/>
        </w:trPr>
        <w:tc>
          <w:tcPr>
            <w:tcW w:w="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9"/>
                <w:szCs w:val="19"/>
                <w:color w:val="auto"/>
              </w:rPr>
            </w:pPr>
          </w:p>
        </w:tc>
        <w:tc>
          <w:tcPr>
            <w:tcW w:w="5960" w:type="dxa"/>
            <w:vAlign w:val="bottom"/>
          </w:tcPr>
          <w:p>
            <w:pPr>
              <w:spacing w:after="0"/>
              <w:rPr>
                <w:sz w:val="19"/>
                <w:szCs w:val="19"/>
                <w:color w:val="auto"/>
              </w:rPr>
            </w:pPr>
          </w:p>
        </w:tc>
      </w:tr>
      <w:tr>
        <w:trPr>
          <w:trHeight w:val="205"/>
        </w:trPr>
        <w:tc>
          <w:tcPr>
            <w:tcW w:w="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900" w:type="dxa"/>
            <w:vAlign w:val="bottom"/>
          </w:tcPr>
          <w:p>
            <w:pPr>
              <w:spacing w:after="0"/>
              <w:rPr>
                <w:sz w:val="17"/>
                <w:szCs w:val="17"/>
                <w:color w:val="auto"/>
              </w:rPr>
            </w:pP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Exhibit</w:t>
            </w:r>
          </w:p>
        </w:tc>
        <w:tc>
          <w:tcPr>
            <w:tcW w:w="5960" w:type="dxa"/>
            <w:vAlign w:val="bottom"/>
          </w:tcPr>
          <w:p>
            <w:pPr>
              <w:spacing w:after="0"/>
              <w:rPr>
                <w:sz w:val="17"/>
                <w:szCs w:val="17"/>
                <w:color w:val="auto"/>
              </w:rPr>
            </w:pPr>
          </w:p>
        </w:tc>
      </w:tr>
      <w:tr>
        <w:trPr>
          <w:trHeight w:val="505"/>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Form of Ordinary Share certificate.</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Form of ADR certificate (included in Exhibit 4.1).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89"/>
              </w:rPr>
              <w:t>Opinion of A&amp;L Goodbody Solicitors as to certain Company related matters and the validity</w:t>
            </w: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of the ordinary shares.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8.1</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Opinion of Cahill Gordon &amp; Reindel LLP as to certain matters of U.S.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8.2</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Opinion of KPMG, Tax Advisors, as to certain matters of Irish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5"/>
              </w:rPr>
              <w:t>Consent of KPMG, Independent Registered Public Accounting Firm for the Company.</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Consent of A&amp;L Goodbody Solicitors (included in Exhibit 5).</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Consent of Cahill Gordon &amp; Reindel LLP (included in Exhibit 8.1).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23.4</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Consent of KPMG, Tax Advisors (included in Exhibit 8.2).</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90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37" w:lineRule="exact"/>
        <w:rPr>
          <w:sz w:val="20"/>
          <w:szCs w:val="20"/>
          <w:color w:val="auto"/>
        </w:rPr>
      </w:pPr>
    </w:p>
    <w:p>
      <w:pPr>
        <w:ind w:left="500" w:right="180" w:hanging="492"/>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F-6 (File No. 333-13442) filed with the Commission on April 29, 1998.</w:t>
      </w:r>
    </w:p>
    <w:p>
      <w:pPr>
        <w:spacing w:after="0" w:line="213" w:lineRule="exact"/>
        <w:rPr>
          <w:sz w:val="20"/>
          <w:szCs w:val="20"/>
          <w:color w:val="auto"/>
        </w:rPr>
      </w:pPr>
    </w:p>
    <w:p>
      <w:pPr>
        <w:ind w:left="50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F-1 (File No. 333-8672) filed with the Commission on April 23, 1998.</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be filed as an amendment to this registration statement or as an exhibit to an Exchange Act report of the registrant and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Undertakings</w:t>
      </w:r>
      <w:r>
        <w:rPr>
          <w:rFonts w:ascii="Arial" w:cs="Arial" w:eastAsia="Arial" w:hAnsi="Arial"/>
          <w:sz w:val="18"/>
          <w:szCs w:val="18"/>
          <w:b w:val="1"/>
          <w:bCs w:val="1"/>
          <w:color w:val="auto"/>
        </w:rPr>
        <w:t>.</w:t>
      </w:r>
    </w:p>
    <w:p>
      <w:pPr>
        <w:spacing w:after="0" w:line="231"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760" w:right="780" w:hanging="360"/>
        <w:spacing w:after="0" w:line="268"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of the registered securities are being made, a post-effective amendment to this Registration Statement:</w:t>
      </w:r>
    </w:p>
    <w:p>
      <w:pPr>
        <w:spacing w:after="0" w:line="226" w:lineRule="exact"/>
        <w:rPr>
          <w:rFonts w:ascii="Arial" w:cs="Arial" w:eastAsia="Arial" w:hAnsi="Arial"/>
          <w:sz w:val="18"/>
          <w:szCs w:val="18"/>
          <w:color w:val="auto"/>
        </w:rPr>
      </w:pPr>
    </w:p>
    <w:p>
      <w:pPr>
        <w:ind w:left="1200" w:hanging="449"/>
        <w:spacing w:after="0"/>
        <w:tabs>
          <w:tab w:leader="none" w:pos="12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65" w:lineRule="exact"/>
        <w:rPr>
          <w:rFonts w:ascii="Arial" w:cs="Arial" w:eastAsia="Arial" w:hAnsi="Arial"/>
          <w:sz w:val="18"/>
          <w:szCs w:val="18"/>
          <w:color w:val="auto"/>
        </w:rPr>
      </w:pPr>
    </w:p>
    <w:p>
      <w:pPr>
        <w:ind w:left="1200" w:right="140" w:hanging="449"/>
        <w:spacing w:after="0" w:line="254" w:lineRule="auto"/>
        <w:tabs>
          <w:tab w:leader="none" w:pos="12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3" w:name="page34"/>
    <w:bookmarkEnd w:id="33"/>
    <w:p>
      <w:pPr>
        <w:ind w:left="822" w:right="720"/>
        <w:spacing w:after="0" w:line="268" w:lineRule="auto"/>
        <w:rPr>
          <w:sz w:val="20"/>
          <w:szCs w:val="20"/>
          <w:color w:val="auto"/>
        </w:rPr>
      </w:pPr>
      <w:r>
        <w:rPr>
          <w:rFonts w:ascii="Arial" w:cs="Arial" w:eastAsia="Arial" w:hAnsi="Arial"/>
          <w:sz w:val="18"/>
          <w:szCs w:val="18"/>
          <w:color w:val="auto"/>
        </w:rPr>
        <w:t>than a 20 percent change in the maximum aggregate offering price set forth in the "Calculation of Registration Fee" table in the effective Registration Statement;</w:t>
      </w:r>
    </w:p>
    <w:p>
      <w:pPr>
        <w:spacing w:after="0" w:line="213" w:lineRule="exact"/>
        <w:rPr>
          <w:sz w:val="20"/>
          <w:szCs w:val="20"/>
          <w:color w:val="auto"/>
        </w:rPr>
      </w:pPr>
    </w:p>
    <w:p>
      <w:pPr>
        <w:ind w:left="822" w:right="120" w:hanging="471"/>
        <w:spacing w:after="0" w:line="268" w:lineRule="auto"/>
        <w:tabs>
          <w:tab w:leader="none" w:pos="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342" w:right="240"/>
        <w:spacing w:after="0" w:line="298" w:lineRule="auto"/>
        <w:rPr>
          <w:sz w:val="20"/>
          <w:szCs w:val="20"/>
          <w:color w:val="auto"/>
        </w:rPr>
      </w:pPr>
      <w:r>
        <w:rPr>
          <w:rFonts w:ascii="Arial" w:cs="Arial" w:eastAsia="Arial" w:hAnsi="Arial"/>
          <w:sz w:val="16"/>
          <w:szCs w:val="16"/>
          <w:color w:val="auto"/>
        </w:rPr>
        <w:t>provided, however,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94" w:lineRule="exact"/>
        <w:rPr>
          <w:sz w:val="20"/>
          <w:szCs w:val="20"/>
          <w:color w:val="auto"/>
        </w:rPr>
      </w:pPr>
    </w:p>
    <w:p>
      <w:pPr>
        <w:ind w:left="342" w:right="120" w:hanging="342"/>
        <w:spacing w:after="0" w:line="259" w:lineRule="auto"/>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221" w:lineRule="exact"/>
        <w:rPr>
          <w:rFonts w:ascii="Arial" w:cs="Arial" w:eastAsia="Arial" w:hAnsi="Arial"/>
          <w:sz w:val="18"/>
          <w:szCs w:val="18"/>
          <w:color w:val="auto"/>
        </w:rPr>
      </w:pPr>
    </w:p>
    <w:p>
      <w:pPr>
        <w:ind w:left="342" w:right="40" w:hanging="342"/>
        <w:spacing w:after="0" w:line="268" w:lineRule="auto"/>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342" w:hanging="342"/>
        <w:spacing w:after="0" w:line="289" w:lineRule="auto"/>
        <w:tabs>
          <w:tab w:leader="none" w:pos="3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this Registration Statement.</w:t>
      </w:r>
    </w:p>
    <w:p>
      <w:pPr>
        <w:spacing w:after="0" w:line="212" w:lineRule="exact"/>
        <w:rPr>
          <w:rFonts w:ascii="Arial" w:cs="Arial" w:eastAsia="Arial" w:hAnsi="Arial"/>
          <w:sz w:val="16"/>
          <w:szCs w:val="16"/>
          <w:color w:val="auto"/>
        </w:rPr>
      </w:pPr>
    </w:p>
    <w:p>
      <w:pPr>
        <w:ind w:left="342" w:hanging="342"/>
        <w:spacing w:after="0"/>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65" w:lineRule="exact"/>
        <w:rPr>
          <w:rFonts w:ascii="Arial" w:cs="Arial" w:eastAsia="Arial" w:hAnsi="Arial"/>
          <w:sz w:val="18"/>
          <w:szCs w:val="18"/>
          <w:color w:val="auto"/>
        </w:rPr>
      </w:pPr>
    </w:p>
    <w:p>
      <w:pPr>
        <w:ind w:left="822" w:right="200" w:hanging="471"/>
        <w:spacing w:after="0" w:line="268" w:lineRule="auto"/>
        <w:tabs>
          <w:tab w:leader="none" w:pos="8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822" w:hanging="471"/>
        <w:spacing w:after="0" w:line="294" w:lineRule="auto"/>
        <w:tabs>
          <w:tab w:leader="none" w:pos="8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w:t>
      </w:r>
    </w:p>
    <w:p>
      <w:pPr>
        <w:spacing w:after="0" w:line="197"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77470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2"/>
          </w:cols>
          <w:pgMar w:left="518" w:top="131" w:right="239" w:bottom="1440" w:gutter="0" w:footer="0" w:header="0"/>
        </w:sectPr>
      </w:pPr>
    </w:p>
    <w:bookmarkStart w:id="34" w:name="page35"/>
    <w:bookmarkEnd w:id="34"/>
    <w:p>
      <w:pPr>
        <w:ind w:left="842"/>
        <w:spacing w:after="0" w:line="253" w:lineRule="auto"/>
        <w:rPr>
          <w:sz w:val="20"/>
          <w:szCs w:val="20"/>
          <w:color w:val="auto"/>
        </w:rPr>
      </w:pPr>
      <w:r>
        <w:rPr>
          <w:rFonts w:ascii="Arial" w:cs="Arial" w:eastAsia="Arial" w:hAnsi="Arial"/>
          <w:sz w:val="18"/>
          <w:szCs w:val="18"/>
          <w:color w:val="auto"/>
        </w:rPr>
        <w:t>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28" w:lineRule="exact"/>
        <w:rPr>
          <w:sz w:val="20"/>
          <w:szCs w:val="20"/>
          <w:color w:val="auto"/>
        </w:rPr>
      </w:pPr>
    </w:p>
    <w:p>
      <w:pPr>
        <w:ind w:left="342" w:right="140" w:hanging="342"/>
        <w:spacing w:after="0" w:line="298" w:lineRule="auto"/>
        <w:tabs>
          <w:tab w:leader="none" w:pos="3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3" w:lineRule="exact"/>
        <w:rPr>
          <w:rFonts w:ascii="Arial" w:cs="Arial" w:eastAsia="Arial" w:hAnsi="Arial"/>
          <w:sz w:val="16"/>
          <w:szCs w:val="16"/>
          <w:color w:val="auto"/>
        </w:rPr>
      </w:pPr>
    </w:p>
    <w:p>
      <w:pPr>
        <w:ind w:left="342" w:right="40" w:hanging="342"/>
        <w:spacing w:after="0" w:line="294" w:lineRule="auto"/>
        <w:tabs>
          <w:tab w:leader="none" w:pos="34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Exchange Act;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196" w:lineRule="exact"/>
        <w:rPr>
          <w:rFonts w:ascii="Arial" w:cs="Arial" w:eastAsia="Arial" w:hAnsi="Arial"/>
          <w:sz w:val="16"/>
          <w:szCs w:val="16"/>
          <w:color w:val="auto"/>
        </w:rPr>
      </w:pPr>
    </w:p>
    <w:p>
      <w:pPr>
        <w:ind w:left="342" w:right="160" w:hanging="342"/>
        <w:spacing w:after="0" w:line="255" w:lineRule="auto"/>
        <w:tabs>
          <w:tab w:leader="none" w:pos="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37" w:lineRule="exact"/>
        <w:rPr>
          <w:rFonts w:ascii="Arial" w:cs="Arial" w:eastAsia="Arial" w:hAnsi="Arial"/>
          <w:sz w:val="18"/>
          <w:szCs w:val="18"/>
          <w:color w:val="auto"/>
        </w:rPr>
      </w:pPr>
    </w:p>
    <w:p>
      <w:pPr>
        <w:ind w:left="842" w:hanging="491"/>
        <w:spacing w:after="0"/>
        <w:tabs>
          <w:tab w:leader="none" w:pos="8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88" w:lineRule="exact"/>
        <w:rPr>
          <w:rFonts w:ascii="Arial" w:cs="Arial" w:eastAsia="Arial" w:hAnsi="Arial"/>
          <w:sz w:val="16"/>
          <w:szCs w:val="16"/>
          <w:color w:val="auto"/>
        </w:rPr>
      </w:pPr>
    </w:p>
    <w:p>
      <w:pPr>
        <w:ind w:left="842" w:right="880" w:hanging="491"/>
        <w:spacing w:after="0" w:line="268" w:lineRule="auto"/>
        <w:tabs>
          <w:tab w:leader="none" w:pos="8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842" w:right="320" w:hanging="491"/>
        <w:spacing w:after="0" w:line="268" w:lineRule="auto"/>
        <w:tabs>
          <w:tab w:leader="none" w:pos="8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6" w:lineRule="exact"/>
        <w:rPr>
          <w:rFonts w:ascii="Arial" w:cs="Arial" w:eastAsia="Arial" w:hAnsi="Arial"/>
          <w:sz w:val="18"/>
          <w:szCs w:val="18"/>
          <w:color w:val="auto"/>
        </w:rPr>
      </w:pPr>
    </w:p>
    <w:p>
      <w:pPr>
        <w:ind w:left="842" w:hanging="491"/>
        <w:spacing w:after="0"/>
        <w:tabs>
          <w:tab w:leader="none" w:pos="8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82"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146050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2"/>
          </w:cols>
          <w:pgMar w:left="518" w:top="131" w:right="239" w:bottom="1440" w:gutter="0" w:footer="0" w:header="0"/>
        </w:sectPr>
      </w:pPr>
    </w:p>
    <w:bookmarkStart w:id="35" w:name="page36"/>
    <w:bookmarkEnd w:id="35"/>
    <w:p>
      <w:pPr>
        <w:ind w:firstLine="27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18th day of April, 2006.</w:t>
      </w:r>
    </w:p>
    <w:p>
      <w:pPr>
        <w:spacing w:after="0" w:line="21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328" w:lineRule="exact"/>
        <w:rPr>
          <w:sz w:val="20"/>
          <w:szCs w:val="20"/>
          <w:color w:val="auto"/>
        </w:rPr>
      </w:pPr>
    </w:p>
    <w:p>
      <w:pPr>
        <w:ind w:left="67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80010</wp:posOffset>
            </wp:positionV>
            <wp:extent cx="25901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4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Ciaran Murray</w:t>
      </w:r>
    </w:p>
    <w:p>
      <w:pPr>
        <w:spacing w:after="0" w:line="3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right="140" w:firstLine="270"/>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Peter Gray and Ciaran Murray and each of them severally, his true and lawful attorneys-in-fact with power of substitution and resubstitution to sign in his name, place and stead, in any and all capacities, to do any and all things and execute any and all instruments that such attorney may deem necessary or advisable under the Securities Act of 1933 (the “Securities Act”), and any rules, regulations and requirements of the U.S. Securities and Exchange Commission in connection with the registration under the Securities Act of ordinary shares of the Registrant, including specifically, but without limiting the generality of the foregoing, the power and authority to sign his name in his respective capacity as a member of the Board of Directors or officer of the Registrant, this Registration Statement and/or such other form of forms as may be appropriate to be filed with the Commission as any of them may deem appropriate in respect of the ordinary shares of the Registrant to any and all amendments thereto (including post-effective amendments) to this Registration Statement, to any related Rule 462(b) Registration Statement and to any documents filed as part of or in connection with this Registration Statement and any and all amendments thereto, including post-effective amendments.</w:t>
      </w:r>
    </w:p>
    <w:p>
      <w:pPr>
        <w:spacing w:after="0" w:line="201"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their respective capacities on the 18th day of April,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200" w:type="dxa"/>
            <w:vAlign w:val="bottom"/>
            <w:gridSpan w:val="2"/>
          </w:tcPr>
          <w:p>
            <w:pPr>
              <w:spacing w:after="0"/>
              <w:rPr>
                <w:sz w:val="20"/>
                <w:szCs w:val="20"/>
                <w:color w:val="auto"/>
              </w:rPr>
            </w:pPr>
            <w:r>
              <w:rPr>
                <w:rFonts w:ascii="Arial" w:cs="Arial" w:eastAsia="Arial" w:hAnsi="Arial"/>
                <w:sz w:val="18"/>
                <w:szCs w:val="18"/>
                <w:color w:val="auto"/>
              </w:rPr>
              <w:t>/s/ John Climax</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Chairman of the Board, 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200" w:type="dxa"/>
            <w:vAlign w:val="bottom"/>
            <w:gridSpan w:val="2"/>
          </w:tcPr>
          <w:p>
            <w:pPr>
              <w:spacing w:after="0"/>
              <w:rPr>
                <w:sz w:val="20"/>
                <w:szCs w:val="20"/>
                <w:color w:val="auto"/>
              </w:rPr>
            </w:pPr>
            <w:r>
              <w:rPr>
                <w:rFonts w:ascii="Arial" w:cs="Arial" w:eastAsia="Arial" w:hAnsi="Arial"/>
                <w:sz w:val="18"/>
                <w:szCs w:val="18"/>
                <w:color w:val="auto"/>
              </w:rPr>
              <w:t>Dr. John Climax</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00" w:type="dxa"/>
            <w:vAlign w:val="bottom"/>
            <w:gridSpan w:val="2"/>
          </w:tcPr>
          <w:p>
            <w:pPr>
              <w:spacing w:after="0"/>
              <w:rPr>
                <w:sz w:val="20"/>
                <w:szCs w:val="20"/>
                <w:color w:val="auto"/>
              </w:rPr>
            </w:pPr>
            <w:r>
              <w:rPr>
                <w:rFonts w:ascii="Arial" w:cs="Arial" w:eastAsia="Arial" w:hAnsi="Arial"/>
                <w:sz w:val="18"/>
                <w:szCs w:val="18"/>
                <w:color w:val="auto"/>
              </w:rPr>
              <w:t>/s/ Peter Gray</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20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00" w:type="dxa"/>
            <w:vAlign w:val="bottom"/>
            <w:gridSpan w:val="2"/>
          </w:tcPr>
          <w:p>
            <w:pPr>
              <w:spacing w:after="0"/>
              <w:rPr>
                <w:sz w:val="20"/>
                <w:szCs w:val="20"/>
                <w:color w:val="auto"/>
              </w:rPr>
            </w:pPr>
            <w:r>
              <w:rPr>
                <w:rFonts w:ascii="Arial" w:cs="Arial" w:eastAsia="Arial" w:hAnsi="Arial"/>
                <w:sz w:val="18"/>
                <w:szCs w:val="18"/>
                <w:color w:val="auto"/>
              </w:rPr>
              <w:t>/s/ Ciaran Murray</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80" w:type="dxa"/>
            <w:vAlign w:val="bottom"/>
            <w:vMerge w:val="restart"/>
          </w:tcPr>
          <w:p>
            <w:pPr>
              <w:spacing w:after="0"/>
              <w:rPr>
                <w:sz w:val="9"/>
                <w:szCs w:val="9"/>
                <w:color w:val="auto"/>
              </w:rPr>
            </w:pPr>
          </w:p>
        </w:tc>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13"/>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Ciaran Murray</w:t>
            </w:r>
          </w:p>
        </w:tc>
        <w:tc>
          <w:tcPr>
            <w:tcW w:w="580" w:type="dxa"/>
            <w:vAlign w:val="bottom"/>
            <w:vMerge w:val="continue"/>
          </w:tcPr>
          <w:p>
            <w:pPr>
              <w:spacing w:after="0"/>
              <w:rPr>
                <w:sz w:val="9"/>
                <w:szCs w:val="9"/>
                <w:color w:val="auto"/>
              </w:rPr>
            </w:pPr>
          </w:p>
        </w:tc>
        <w:tc>
          <w:tcPr>
            <w:tcW w:w="7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200" w:type="dxa"/>
            <w:vAlign w:val="bottom"/>
            <w:gridSpan w:val="2"/>
          </w:tcPr>
          <w:p>
            <w:pPr>
              <w:spacing w:after="0"/>
              <w:rPr>
                <w:sz w:val="20"/>
                <w:szCs w:val="20"/>
                <w:color w:val="auto"/>
              </w:rPr>
            </w:pPr>
            <w:r>
              <w:rPr>
                <w:rFonts w:ascii="Arial" w:cs="Arial" w:eastAsia="Arial" w:hAnsi="Arial"/>
                <w:sz w:val="18"/>
                <w:szCs w:val="18"/>
                <w:color w:val="auto"/>
              </w:rPr>
              <w:t>/s/ Ronan Lambe</w:t>
            </w:r>
          </w:p>
        </w:tc>
        <w:tc>
          <w:tcPr>
            <w:tcW w:w="58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200" w:type="dxa"/>
            <w:vAlign w:val="bottom"/>
            <w:gridSpan w:val="2"/>
          </w:tcPr>
          <w:p>
            <w:pPr>
              <w:spacing w:after="0"/>
              <w:rPr>
                <w:sz w:val="20"/>
                <w:szCs w:val="20"/>
                <w:color w:val="auto"/>
              </w:rPr>
            </w:pPr>
            <w:r>
              <w:rPr>
                <w:rFonts w:ascii="Arial" w:cs="Arial" w:eastAsia="Arial" w:hAnsi="Arial"/>
                <w:sz w:val="18"/>
                <w:szCs w:val="18"/>
                <w:color w:val="auto"/>
              </w:rPr>
              <w:t>Dr. Ronan Lambe</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ind w:left="114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4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/s/ Thomas Lynch</w:t>
            </w:r>
          </w:p>
        </w:tc>
        <w:tc>
          <w:tcPr>
            <w:tcW w:w="82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00" w:type="dxa"/>
            <w:vAlign w:val="bottom"/>
            <w:tcBorders>
              <w:bottom w:val="single" w:sz="8" w:color="808080"/>
            </w:tcBorders>
          </w:tcPr>
          <w:p>
            <w:pPr>
              <w:spacing w:after="0"/>
              <w:rPr>
                <w:sz w:val="9"/>
                <w:szCs w:val="9"/>
                <w:color w:val="auto"/>
              </w:rPr>
            </w:pPr>
          </w:p>
        </w:tc>
        <w:tc>
          <w:tcPr>
            <w:tcW w:w="8260" w:type="dxa"/>
            <w:vAlign w:val="bottom"/>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Thomas Lynch</w:t>
            </w:r>
          </w:p>
        </w:tc>
        <w:tc>
          <w:tcPr>
            <w:tcW w:w="8260" w:type="dxa"/>
            <w:vAlign w:val="bottom"/>
          </w:tcPr>
          <w:p>
            <w:pPr>
              <w:spacing w:after="0"/>
              <w:rPr>
                <w:sz w:val="24"/>
                <w:szCs w:val="24"/>
                <w:color w:val="auto"/>
              </w:rPr>
            </w:pP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auto"/>
              </w:rPr>
              <w:t>/s/ Edward Roberts</w:t>
            </w:r>
          </w:p>
        </w:tc>
        <w:tc>
          <w:tcPr>
            <w:tcW w:w="82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00" w:type="dxa"/>
            <w:vAlign w:val="bottom"/>
            <w:tcBorders>
              <w:bottom w:val="single" w:sz="8" w:color="808080"/>
            </w:tcBorders>
          </w:tcPr>
          <w:p>
            <w:pPr>
              <w:spacing w:after="0"/>
              <w:rPr>
                <w:sz w:val="9"/>
                <w:szCs w:val="9"/>
                <w:color w:val="auto"/>
              </w:rPr>
            </w:pPr>
          </w:p>
        </w:tc>
        <w:tc>
          <w:tcPr>
            <w:tcW w:w="8260" w:type="dxa"/>
            <w:vAlign w:val="bottom"/>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Edward Roberts</w:t>
            </w:r>
          </w:p>
        </w:tc>
        <w:tc>
          <w:tcPr>
            <w:tcW w:w="8260" w:type="dxa"/>
            <w:vAlign w:val="bottom"/>
          </w:tcPr>
          <w:p>
            <w:pPr>
              <w:spacing w:after="0"/>
              <w:rPr>
                <w:sz w:val="24"/>
                <w:szCs w:val="24"/>
                <w:color w:val="auto"/>
              </w:rPr>
            </w:pP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auto"/>
              </w:rPr>
              <w:t>/s/ Shuji Higuchi</w:t>
            </w:r>
          </w:p>
        </w:tc>
        <w:tc>
          <w:tcPr>
            <w:tcW w:w="82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00" w:type="dxa"/>
            <w:vAlign w:val="bottom"/>
            <w:tcBorders>
              <w:bottom w:val="single" w:sz="8" w:color="808080"/>
            </w:tcBorders>
          </w:tcPr>
          <w:p>
            <w:pPr>
              <w:spacing w:after="0"/>
              <w:rPr>
                <w:sz w:val="9"/>
                <w:szCs w:val="9"/>
                <w:color w:val="auto"/>
              </w:rPr>
            </w:pPr>
          </w:p>
        </w:tc>
        <w:tc>
          <w:tcPr>
            <w:tcW w:w="8260" w:type="dxa"/>
            <w:vAlign w:val="bottom"/>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Shuji Higuchi</w:t>
            </w:r>
          </w:p>
        </w:tc>
        <w:tc>
          <w:tcPr>
            <w:tcW w:w="8260" w:type="dxa"/>
            <w:vAlign w:val="bottom"/>
          </w:tcPr>
          <w:p>
            <w:pPr>
              <w:spacing w:after="0"/>
              <w:rPr>
                <w:sz w:val="24"/>
                <w:szCs w:val="24"/>
                <w:color w:val="auto"/>
              </w:rPr>
            </w:pP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auto"/>
              </w:rPr>
              <w:t>/s/ Bruce Given</w:t>
            </w:r>
          </w:p>
        </w:tc>
        <w:tc>
          <w:tcPr>
            <w:tcW w:w="826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3200" w:type="dxa"/>
            <w:vAlign w:val="bottom"/>
            <w:tcBorders>
              <w:bottom w:val="single" w:sz="8" w:color="808080"/>
            </w:tcBorders>
          </w:tcPr>
          <w:p>
            <w:pPr>
              <w:spacing w:after="0"/>
              <w:rPr>
                <w:sz w:val="9"/>
                <w:szCs w:val="9"/>
                <w:color w:val="auto"/>
              </w:rPr>
            </w:pPr>
          </w:p>
        </w:tc>
        <w:tc>
          <w:tcPr>
            <w:tcW w:w="8260" w:type="dxa"/>
            <w:vAlign w:val="bottom"/>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Dr. Bruce Given</w:t>
            </w:r>
          </w:p>
        </w:tc>
        <w:tc>
          <w:tcPr>
            <w:tcW w:w="8260" w:type="dxa"/>
            <w:vAlign w:val="bottom"/>
          </w:tcPr>
          <w:p>
            <w:pPr>
              <w:spacing w:after="0"/>
              <w:rPr>
                <w:sz w:val="24"/>
                <w:szCs w:val="24"/>
                <w:color w:val="auto"/>
              </w:rPr>
            </w:pP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auto"/>
              </w:rPr>
              <w:t>/s/ Donald J. Puglisi</w:t>
            </w:r>
          </w:p>
        </w:tc>
        <w:tc>
          <w:tcPr>
            <w:tcW w:w="8260" w:type="dxa"/>
            <w:vAlign w:val="bottom"/>
          </w:tcPr>
          <w:p>
            <w:pPr>
              <w:ind w:left="580"/>
              <w:spacing w:after="0"/>
              <w:rPr>
                <w:sz w:val="20"/>
                <w:szCs w:val="20"/>
                <w:color w:val="auto"/>
              </w:rPr>
            </w:pPr>
            <w:r>
              <w:rPr>
                <w:rFonts w:ascii="Arial" w:cs="Arial" w:eastAsia="Arial" w:hAnsi="Arial"/>
                <w:sz w:val="18"/>
                <w:szCs w:val="18"/>
                <w:color w:val="auto"/>
              </w:rPr>
              <w:t>Authorized Representative in the United States</w:t>
            </w:r>
          </w:p>
        </w:tc>
      </w:tr>
      <w:tr>
        <w:trPr>
          <w:trHeight w:val="110"/>
        </w:trPr>
        <w:tc>
          <w:tcPr>
            <w:tcW w:w="3200" w:type="dxa"/>
            <w:vAlign w:val="bottom"/>
            <w:tcBorders>
              <w:bottom w:val="single" w:sz="8" w:color="808080"/>
            </w:tcBorders>
          </w:tcPr>
          <w:p>
            <w:pPr>
              <w:spacing w:after="0"/>
              <w:rPr>
                <w:sz w:val="9"/>
                <w:szCs w:val="9"/>
                <w:color w:val="auto"/>
              </w:rPr>
            </w:pPr>
          </w:p>
        </w:tc>
        <w:tc>
          <w:tcPr>
            <w:tcW w:w="8260" w:type="dxa"/>
            <w:vAlign w:val="bottom"/>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Donald J. Puglisi</w:t>
            </w:r>
          </w:p>
        </w:tc>
        <w:tc>
          <w:tcPr>
            <w:tcW w:w="8260" w:type="dxa"/>
            <w:vAlign w:val="bottom"/>
          </w:tcPr>
          <w:p>
            <w:pPr>
              <w:spacing w:after="0"/>
              <w:rPr>
                <w:sz w:val="24"/>
                <w:szCs w:val="24"/>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8260" w:type="dxa"/>
            <w:vAlign w:val="bottom"/>
          </w:tcPr>
          <w:p>
            <w:pPr>
              <w:spacing w:after="0"/>
              <w:rPr>
                <w:sz w:val="21"/>
                <w:szCs w:val="21"/>
                <w:color w:val="auto"/>
              </w:rPr>
            </w:pPr>
          </w:p>
        </w:tc>
      </w:tr>
      <w:tr>
        <w:trPr>
          <w:trHeight w:val="243"/>
        </w:trPr>
        <w:tc>
          <w:tcPr>
            <w:tcW w:w="3200" w:type="dxa"/>
            <w:vAlign w:val="bottom"/>
          </w:tcPr>
          <w:p>
            <w:pPr>
              <w:ind w:left="420"/>
              <w:spacing w:after="0"/>
              <w:rPr>
                <w:sz w:val="20"/>
                <w:szCs w:val="20"/>
                <w:color w:val="auto"/>
              </w:rPr>
            </w:pPr>
            <w:r>
              <w:rPr>
                <w:rFonts w:ascii="Arial" w:cs="Arial" w:eastAsia="Arial" w:hAnsi="Arial"/>
                <w:sz w:val="18"/>
                <w:szCs w:val="18"/>
                <w:color w:val="auto"/>
              </w:rPr>
              <w:t>Puglisi &amp; Associates</w:t>
            </w:r>
          </w:p>
        </w:tc>
        <w:tc>
          <w:tcPr>
            <w:tcW w:w="8260" w:type="dxa"/>
            <w:vAlign w:val="bottom"/>
          </w:tcPr>
          <w:p>
            <w:pPr>
              <w:spacing w:after="0"/>
              <w:rPr>
                <w:sz w:val="21"/>
                <w:szCs w:val="21"/>
                <w:color w:val="auto"/>
              </w:rPr>
            </w:pPr>
          </w:p>
        </w:tc>
      </w:tr>
      <w:tr>
        <w:trPr>
          <w:trHeight w:val="675"/>
        </w:trPr>
        <w:tc>
          <w:tcPr>
            <w:tcW w:w="3200" w:type="dxa"/>
            <w:vAlign w:val="bottom"/>
          </w:tcPr>
          <w:p>
            <w:pPr>
              <w:spacing w:after="0"/>
              <w:rPr>
                <w:sz w:val="24"/>
                <w:szCs w:val="24"/>
                <w:color w:val="auto"/>
              </w:rPr>
            </w:pPr>
          </w:p>
        </w:tc>
        <w:tc>
          <w:tcPr>
            <w:tcW w:w="8260" w:type="dxa"/>
            <w:vAlign w:val="bottom"/>
          </w:tcPr>
          <w:p>
            <w:pPr>
              <w:ind w:left="2380"/>
              <w:spacing w:after="0"/>
              <w:rPr>
                <w:sz w:val="20"/>
                <w:szCs w:val="20"/>
                <w:color w:val="auto"/>
              </w:rPr>
            </w:pPr>
            <w:r>
              <w:rPr>
                <w:rFonts w:ascii="Arial" w:cs="Arial" w:eastAsia="Arial" w:hAnsi="Arial"/>
                <w:sz w:val="18"/>
                <w:szCs w:val="18"/>
                <w:color w:val="auto"/>
              </w:rPr>
              <w:t>II-7</w:t>
            </w:r>
          </w:p>
        </w:tc>
      </w:tr>
      <w:tr>
        <w:trPr>
          <w:trHeight w:val="215"/>
        </w:trPr>
        <w:tc>
          <w:tcPr>
            <w:tcW w:w="320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61"/>
        </w:trPr>
        <w:tc>
          <w:tcPr>
            <w:tcW w:w="3200" w:type="dxa"/>
            <w:vAlign w:val="bottom"/>
            <w:shd w:val="clear" w:color="auto" w:fill="808080"/>
          </w:tcPr>
          <w:p>
            <w:pPr>
              <w:spacing w:after="0"/>
              <w:rPr>
                <w:sz w:val="5"/>
                <w:szCs w:val="5"/>
                <w:color w:val="auto"/>
              </w:rPr>
            </w:pPr>
          </w:p>
        </w:tc>
        <w:tc>
          <w:tcPr>
            <w:tcW w:w="8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58" w:right="19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8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05"/>
        </w:trPr>
        <w:tc>
          <w:tcPr>
            <w:tcW w:w="6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91"/>
              </w:rPr>
              <w:t>Number</w:t>
            </w:r>
          </w:p>
        </w:tc>
        <w:tc>
          <w:tcPr>
            <w:tcW w:w="1000" w:type="dxa"/>
            <w:vAlign w:val="bottom"/>
          </w:tcPr>
          <w:p>
            <w:pPr>
              <w:spacing w:after="0"/>
              <w:rPr>
                <w:sz w:val="17"/>
                <w:szCs w:val="17"/>
                <w:color w:val="auto"/>
              </w:rPr>
            </w:pPr>
          </w:p>
        </w:tc>
        <w:tc>
          <w:tcPr>
            <w:tcW w:w="5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Exhibit</w:t>
            </w:r>
          </w:p>
        </w:tc>
        <w:tc>
          <w:tcPr>
            <w:tcW w:w="5680" w:type="dxa"/>
            <w:vAlign w:val="bottom"/>
          </w:tcPr>
          <w:p>
            <w:pPr>
              <w:spacing w:after="0"/>
              <w:rPr>
                <w:sz w:val="17"/>
                <w:szCs w:val="17"/>
                <w:color w:val="auto"/>
              </w:rPr>
            </w:pPr>
          </w:p>
        </w:tc>
      </w:tr>
      <w:tr>
        <w:trPr>
          <w:trHeight w:val="478"/>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88"/>
              </w:rPr>
              <w:t>Deposit Agreement, dated as of May 20, 1998, between the Company, The Bank of New</w:t>
            </w:r>
          </w:p>
        </w:tc>
      </w:tr>
      <w:tr>
        <w:trPr>
          <w:trHeight w:val="243"/>
        </w:trPr>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York and the holders from time to time of the Company’s ADRs.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Ordinary Share certificate.</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Form of ADR certificate (included in Exhibit 4.1).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December 12, 1997.</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as to certain Company related matters.</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8.1</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Cahill Gordon &amp; Reindel LLP as to certain matters of U.S.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8.2</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Opinion of KPMG, Tax Advisors, as to certain matters of Irish taxation.</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91"/>
              </w:rPr>
              <w:t>Consent of KPMG, Independent Registered Public Accounting Firm for the Company.</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A&amp;L Goodbody Solicitors (included in Exhibit 5).</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Cahill Gordon &amp; Reindel LLP (included in Exhibit 8.1).</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23.4</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Consent of KPMG, Tax Advisors (included in Exhibit 8.2).</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10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Power of Attorney (included on a signature page).</w:t>
            </w:r>
          </w:p>
        </w:tc>
      </w:tr>
    </w:tbl>
    <w:p>
      <w:pPr>
        <w:spacing w:after="0" w:line="237" w:lineRule="exact"/>
        <w:rPr>
          <w:sz w:val="20"/>
          <w:szCs w:val="20"/>
          <w:color w:val="auto"/>
        </w:rPr>
      </w:pPr>
    </w:p>
    <w:p>
      <w:pPr>
        <w:ind w:left="500" w:right="180" w:hanging="492"/>
        <w:spacing w:after="0" w:line="26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F-6 (File No. 333-13442) filed with the Commission on April 29, 1998.</w:t>
      </w:r>
    </w:p>
    <w:p>
      <w:pPr>
        <w:spacing w:after="0" w:line="213" w:lineRule="exact"/>
        <w:rPr>
          <w:sz w:val="20"/>
          <w:szCs w:val="20"/>
          <w:color w:val="auto"/>
        </w:rPr>
      </w:pPr>
    </w:p>
    <w:p>
      <w:pPr>
        <w:ind w:left="500" w:hanging="492"/>
        <w:spacing w:after="0" w:line="268"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from exhibits to the Company’s Registration Statement on Form F-1 (File No. 333-8672) filed with the Commission on April 23, 1998.</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be filed as an amendment to this registration statement or as an exhibit to an Exchange Act report of the registrant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591175" cy="1423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591175" cy="1423670"/>
                    </a:xfrm>
                    <a:prstGeom prst="rect">
                      <a:avLst/>
                    </a:prstGeom>
                    <a:noFill/>
                  </pic:spPr>
                </pic:pic>
              </a:graphicData>
            </a:graphic>
          </wp:anchor>
        </w:drawing>
        <w:drawing>
          <wp:anchor simplePos="0" relativeHeight="251657728" behindDoc="1" locked="0" layoutInCell="0" allowOverlap="1">
            <wp:simplePos x="0" y="0"/>
            <wp:positionH relativeFrom="page">
              <wp:posOffset>5731510</wp:posOffset>
            </wp:positionH>
            <wp:positionV relativeFrom="page">
              <wp:posOffset>1967230</wp:posOffset>
            </wp:positionV>
            <wp:extent cx="668655" cy="934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686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Icon plc</w:t>
      </w:r>
    </w:p>
    <w:p>
      <w:pPr>
        <w:ind w:left="40"/>
        <w:spacing w:after="0" w:line="234" w:lineRule="auto"/>
        <w:rPr>
          <w:sz w:val="20"/>
          <w:szCs w:val="20"/>
          <w:color w:val="auto"/>
        </w:rPr>
      </w:pPr>
      <w:r>
        <w:rPr>
          <w:rFonts w:ascii="Arial" w:cs="Arial" w:eastAsia="Arial" w:hAnsi="Arial"/>
          <w:sz w:val="18"/>
          <w:szCs w:val="18"/>
          <w:color w:val="auto"/>
        </w:rPr>
        <w:t>South County Business Park</w:t>
      </w:r>
    </w:p>
    <w:p>
      <w:pPr>
        <w:ind w:left="40"/>
        <w:spacing w:after="0" w:line="235" w:lineRule="auto"/>
        <w:rPr>
          <w:sz w:val="20"/>
          <w:szCs w:val="20"/>
          <w:color w:val="auto"/>
        </w:rPr>
      </w:pPr>
      <w:r>
        <w:rPr>
          <w:rFonts w:ascii="Arial" w:cs="Arial" w:eastAsia="Arial" w:hAnsi="Arial"/>
          <w:sz w:val="18"/>
          <w:szCs w:val="18"/>
          <w:color w:val="auto"/>
        </w:rPr>
        <w:t>Leopardstown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We have acted as Irish counsel to Icon, a public limited company incorporated under the laws of Ireland in connection with the proposed registration of, and sale of, up to 2,596,054 American Depositary Shares (“ADS”) each evidenced by 1 American Depositary Receipt (“ADR”) representing 1 Ordinary Share, par value 6 euro cent of Icon (“Ordinary Share”), to be represented on issue by 1 ADS evidenced by 1 ADR.</w:t>
      </w:r>
    </w:p>
    <w:p>
      <w:pPr>
        <w:spacing w:after="0" w:line="17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refer to the Registration Statement (Number 333- ) dated today’s date and the related prospectus (respectively the “Registration Statement” and the “Prospectus”) filed by Icon under the Securities Act, 1933 (as amended) (“the Act”) in respect of the foregoing.</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connection with this opinion, we have examined and have assumed the truth and accuracy of the contents of such documents and certificates of officers of and advisers to Icon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genuineness of all signatures, the authenticity of all documents submitted to us as originals, the conformity to original documents of all documents submitted to us as certified or photostatic copies and the authenticity of the originals of such documents. We have further assumed that none of the resolutions and authorities of the shareholders or Directors of Icon upon which we have relied has been varied, amended or revoked in any respect or has expired and that the Ordinary Shares to be issued will be issued in accordance with such resolutions and authorities and as contemplated by and described in the Registration Statement a form of which is exhibited to the Registration Statement. We further assume that Icon will comply with its obligations under and the representations and warranties contained in the Agreements referred to in the Registration Statement. We have further assumed that the Registration Statement and the Prospectus comply with the provisions of Directive 2003/71/EC and the Prospectus (Directive 2003/71/EC) Regulations 2005.</w:t>
      </w:r>
    </w:p>
    <w:p>
      <w:pPr>
        <w:spacing w:after="0" w:line="39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admitted to practise law only in Ireland and accordingly, we express no opinion on the laws of any jurisdiction other than the laws (and the interpretation thereof) of Ireland in force as at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1372235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5514340" cy="9861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14340" cy="9861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0" w:name="page41"/>
    <w:bookmarkEnd w:id="40"/>
    <w:p>
      <w:pPr>
        <w:ind w:left="40" w:right="18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6409055</wp:posOffset>
            </wp:positionH>
            <wp:positionV relativeFrom="page">
              <wp:posOffset>406400</wp:posOffset>
            </wp:positionV>
            <wp:extent cx="668655" cy="9347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68655" cy="934720"/>
                    </a:xfrm>
                    <a:prstGeom prst="rect">
                      <a:avLst/>
                    </a:prstGeom>
                    <a:noFill/>
                  </pic:spPr>
                </pic:pic>
              </a:graphicData>
            </a:graphic>
          </wp:anchor>
        </w:drawing>
        <w:t>hereof. We assume that the transactions contemplated by the Registration Statement are lawful under the United States federal law, New York State law and all other applicable laws (if any). As the transactions contemplated by the Registration Statement are governed by the United States federal law and/or New York State law, we have relied upon the opinion of Cahill Gordon &amp; Reindel LLP as to matters relating to those laws.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239" w:lineRule="exact"/>
        <w:rPr>
          <w:sz w:val="20"/>
          <w:szCs w:val="20"/>
          <w:color w:val="auto"/>
        </w:rPr>
      </w:pPr>
    </w:p>
    <w:p>
      <w:pPr>
        <w:ind w:left="800" w:hanging="66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Icon is duly incorporated and validly existing under the laws of Ireland.</w:t>
      </w:r>
    </w:p>
    <w:p>
      <w:pPr>
        <w:spacing w:after="0" w:line="252" w:lineRule="exact"/>
        <w:rPr>
          <w:rFonts w:ascii="Arial" w:cs="Arial" w:eastAsia="Arial" w:hAnsi="Arial"/>
          <w:sz w:val="18"/>
          <w:szCs w:val="18"/>
          <w:color w:val="auto"/>
        </w:rPr>
      </w:pPr>
    </w:p>
    <w:p>
      <w:pPr>
        <w:ind w:left="800" w:right="540" w:hanging="703"/>
        <w:spacing w:after="0" w:line="23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Those Ordinary Shares referred to in the Registration Statement which are yet to be issued, have been duly authorised and, when issued, will be duly authorised, validly issued, fully paid and not subject to calls for any additional payment.</w:t>
      </w:r>
    </w:p>
    <w:p>
      <w:pPr>
        <w:spacing w:after="0" w:line="317" w:lineRule="exact"/>
        <w:rPr>
          <w:rFonts w:ascii="Arial" w:cs="Arial" w:eastAsia="Arial" w:hAnsi="Arial"/>
          <w:sz w:val="18"/>
          <w:szCs w:val="18"/>
          <w:color w:val="auto"/>
        </w:rPr>
      </w:pPr>
    </w:p>
    <w:p>
      <w:pPr>
        <w:ind w:left="800" w:right="60" w:hanging="742"/>
        <w:spacing w:after="0" w:line="270"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Those Ordinary Shares referred to in the Registration Statement which are already in issue, are duly authorised, validly issued, fully paid and are not subject to calls for any additional payment.</w:t>
      </w:r>
    </w:p>
    <w:p>
      <w:pPr>
        <w:spacing w:after="0" w:line="263" w:lineRule="exact"/>
        <w:rPr>
          <w:rFonts w:ascii="Arial" w:cs="Arial" w:eastAsia="Arial" w:hAnsi="Arial"/>
          <w:sz w:val="18"/>
          <w:szCs w:val="18"/>
          <w:color w:val="auto"/>
        </w:rPr>
      </w:pPr>
    </w:p>
    <w:p>
      <w:pPr>
        <w:ind w:left="800" w:right="200" w:hanging="752"/>
        <w:spacing w:after="0" w:line="287"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statements in the Registration Statement and the Prospectus under the headings “Price Range of ADSs and Dividend Policy”, “Selling Shareholders”, “Exchange Controls and Other Limitations Affecting Security Holders” and “Enforceability of Civil Liabilities Provisions of Federal Securities Laws against Foreign Persons; Shareholder Rights under Irish Law”, to the extent that they constitute matters of law or legal conclusions with respect thereto, have been prepared or reviewed by us and are correct in all material respects.</w:t>
      </w:r>
    </w:p>
    <w:p>
      <w:pPr>
        <w:spacing w:after="0" w:line="200" w:lineRule="exact"/>
        <w:rPr>
          <w:sz w:val="20"/>
          <w:szCs w:val="20"/>
          <w:color w:val="auto"/>
        </w:rPr>
      </w:pPr>
    </w:p>
    <w:p>
      <w:pPr>
        <w:spacing w:after="0" w:line="351"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We hereby consent to the filing of this opinion with the United States Securities and Exchange Commission as an exhibit to the Registration Statement and to the references to our firm under the captions “Enforceability of Civil Liabilities Provisions of Federal Securities Laws against Foreign Persons; Shareholder Rights under Irish Law” and “Validity of Ordinary Shares”.</w:t>
      </w:r>
    </w:p>
    <w:p>
      <w:pPr>
        <w:spacing w:after="0" w:line="20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This opinion is being delivered to you and may not be relied upon or distributed to any other person, without our consent. This opinion is to be construed in accordance with and governed by the laws of Ireland.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700" w:type="dxa"/>
            <w:vAlign w:val="bottom"/>
          </w:tcPr>
          <w:p>
            <w:pPr>
              <w:spacing w:after="0"/>
              <w:rPr>
                <w:sz w:val="20"/>
                <w:szCs w:val="20"/>
                <w:color w:val="auto"/>
              </w:rPr>
            </w:pPr>
            <w:r>
              <w:rPr>
                <w:rFonts w:ascii="Arial" w:cs="Arial" w:eastAsia="Arial" w:hAnsi="Arial"/>
                <w:sz w:val="18"/>
                <w:szCs w:val="18"/>
                <w:color w:val="auto"/>
              </w:rPr>
              <w:t>A &amp; L Goodbody</w:t>
            </w:r>
          </w:p>
        </w:tc>
        <w:tc>
          <w:tcPr>
            <w:tcW w:w="5200" w:type="dxa"/>
            <w:vAlign w:val="bottom"/>
          </w:tcPr>
          <w:p>
            <w:pPr>
              <w:ind w:left="4400"/>
              <w:spacing w:after="0"/>
              <w:rPr>
                <w:sz w:val="20"/>
                <w:szCs w:val="20"/>
                <w:color w:val="auto"/>
              </w:rPr>
            </w:pPr>
            <w:r>
              <w:rPr>
                <w:rFonts w:ascii="Arial" w:cs="Arial" w:eastAsia="Arial" w:hAnsi="Arial"/>
                <w:sz w:val="14"/>
                <w:szCs w:val="14"/>
                <w:color w:val="auto"/>
                <w:w w:val="93"/>
              </w:rPr>
              <w:t>M-1518640-3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18, 2006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South County Business Park,</w:t>
      </w:r>
    </w:p>
    <w:p>
      <w:pPr>
        <w:spacing w:after="0" w:line="230" w:lineRule="auto"/>
        <w:rPr>
          <w:sz w:val="20"/>
          <w:szCs w:val="20"/>
          <w:color w:val="auto"/>
        </w:rPr>
      </w:pPr>
      <w:r>
        <w:rPr>
          <w:rFonts w:ascii="Arial" w:cs="Arial" w:eastAsia="Arial" w:hAnsi="Arial"/>
          <w:sz w:val="22"/>
          <w:szCs w:val="22"/>
          <w:color w:val="auto"/>
        </w:rPr>
        <w:t>Leopardstown, Dublin 18,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right="20" w:firstLine="810"/>
        <w:spacing w:after="0"/>
        <w:rPr>
          <w:sz w:val="20"/>
          <w:szCs w:val="20"/>
          <w:color w:val="auto"/>
        </w:rPr>
      </w:pPr>
      <w:r>
        <w:rPr>
          <w:rFonts w:ascii="Arial" w:cs="Arial" w:eastAsia="Arial" w:hAnsi="Arial"/>
          <w:sz w:val="22"/>
          <w:szCs w:val="22"/>
          <w:color w:val="auto"/>
        </w:rPr>
        <w:t>In connection with the Registration Statement on Form F-3 (the “Registration Statement”) you have requested our opinion as to certain U.S. federal income tax matters. Our opinion is set forth in the Registration Statement under the heading “U.S. Federal Income Tax Considerations.”</w:t>
      </w:r>
    </w:p>
    <w:p>
      <w:pPr>
        <w:spacing w:after="0" w:line="186" w:lineRule="exact"/>
        <w:rPr>
          <w:sz w:val="20"/>
          <w:szCs w:val="20"/>
          <w:color w:val="auto"/>
        </w:rPr>
      </w:pPr>
    </w:p>
    <w:p>
      <w:pPr>
        <w:ind w:right="100" w:firstLine="810"/>
        <w:spacing w:after="0" w:line="251" w:lineRule="auto"/>
        <w:rPr>
          <w:sz w:val="20"/>
          <w:szCs w:val="20"/>
          <w:color w:val="auto"/>
        </w:rPr>
      </w:pPr>
      <w:r>
        <w:rPr>
          <w:rFonts w:ascii="Arial" w:cs="Arial" w:eastAsia="Arial" w:hAnsi="Arial"/>
          <w:sz w:val="22"/>
          <w:szCs w:val="22"/>
          <w:color w:val="auto"/>
        </w:rPr>
        <w:t>We hereby consent to the filing of this letter as Exhibit 8.1 to the Registration Statement and to the use of our name under the caption “U.S. Federal Income Tax Considerations” in the Registration Statement.</w:t>
      </w:r>
    </w:p>
    <w:p>
      <w:pPr>
        <w:spacing w:after="0" w:line="173"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 xml:space="preserve">/s/ Cahill Gordon &amp; Reindel </w:t>
      </w:r>
      <w:r>
        <w:rPr>
          <w:rFonts w:ascii="Arial" w:cs="Arial" w:eastAsia="Arial" w:hAnsi="Arial"/>
          <w:sz w:val="17"/>
          <w:szCs w:val="17"/>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ind w:left="10160"/>
        <w:spacing w:after="0"/>
        <w:rPr>
          <w:sz w:val="20"/>
          <w:szCs w:val="20"/>
          <w:color w:val="auto"/>
        </w:rPr>
      </w:pPr>
      <w:r>
        <w:rPr>
          <w:rFonts w:ascii="Arial" w:cs="Arial" w:eastAsia="Arial" w:hAnsi="Arial"/>
          <w:sz w:val="18"/>
          <w:szCs w:val="18"/>
          <w:color w:val="auto"/>
        </w:rPr>
        <w:t>Exhibit 8.2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18 April 2006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ownership and disposition of ADS's and ordinary shares by US holders</w:t>
      </w:r>
    </w:p>
    <w:p>
      <w:pPr>
        <w:spacing w:after="0" w:line="21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attach for your attention an extract entitled ‘Irish Taxation Considerations’ from the prospectus of ICON plc dated 18 April 2006 which is our opinion in relation to Irish Taxation matters (“our opinion”). The terms used in this letter shall have the same meanings assigned to them in the said prospectus.</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opinion accurately summarises the material Irish taxation consequences to US Holders of the acquisition, ownership and disposition of ordinary shares and ADS’s.</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set out in the introduction to the extract, the opinion is qualified in its entirety by the fact that it may not address all such potential consequences based upon specific circumstances which may be relevant to particular non-resident holders. The opinion is not a guarantee and merely respresents the judgement of KPMG regarding the matters addressed. This opinion is given as of the date hereof and is based on current Irish legislation, judicial interpretations thereof and known practices of the Irish Revenue Commissioners, all of which are subject to change.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hereby consent to the filing of this letter as Exhibit 8.2 to the Registration Statement (on Form F.3 (the “Registration Statement”)) and to the use of our name under the caption “Irish Taxation Considerations” in the Registration Statement.</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Yours faithfully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644"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31"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 xml:space="preserve">Set forth below is the opinion of KPMG, Tax Advisors to the Company, regarding the material aspects of Irish tax law and practice regarding the ownership and disposition of ordinary shares and ADSs by US Holders (as defined in the opinion included elsewhere in “US Federal Income Tax Considerations” provided by Cahill Gordan &amp; Reindel </w:t>
      </w:r>
      <w:r>
        <w:rPr>
          <w:rFonts w:ascii="Arial" w:cs="Arial" w:eastAsia="Arial" w:hAnsi="Arial"/>
          <w:sz w:val="11"/>
          <w:szCs w:val="11"/>
          <w:color w:val="auto"/>
        </w:rPr>
        <w:t>LLP</w:t>
      </w:r>
      <w:r>
        <w:rPr>
          <w:rFonts w:ascii="Arial" w:cs="Arial" w:eastAsia="Arial" w:hAnsi="Arial"/>
          <w:sz w:val="15"/>
          <w:szCs w:val="15"/>
          <w:color w:val="auto"/>
        </w:rPr>
        <w:t>).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not a guarantee and merely represents the judgement of KPMG regarding the specific matters addressed.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foregoing, it is the opinion of KPMG that: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ultimately controlled by residents of a Relevant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resident in a Relevant Territory and are not controlled by Irish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right="440"/>
        <w:spacing w:after="0" w:line="299" w:lineRule="auto"/>
        <w:rPr>
          <w:sz w:val="20"/>
          <w:szCs w:val="20"/>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4" w:name="page45"/>
    <w:bookmarkEnd w:id="44"/>
    <w:p>
      <w:pPr>
        <w:ind w:left="40"/>
        <w:spacing w:after="0"/>
        <w:rPr>
          <w:sz w:val="20"/>
          <w:szCs w:val="20"/>
          <w:color w:val="auto"/>
        </w:rPr>
      </w:pPr>
      <w:r>
        <w:rPr>
          <w:rFonts w:ascii="Courier New" w:cs="Courier New" w:eastAsia="Courier New" w:hAnsi="Courier New"/>
          <w:sz w:val="14"/>
          <w:szCs w:val="14"/>
          <w:color w:val="auto"/>
        </w:rPr>
        <w:t>kpmg</w:t>
      </w:r>
    </w:p>
    <w:p>
      <w:pPr>
        <w:spacing w:after="0" w:line="276" w:lineRule="exact"/>
        <w:rPr>
          <w:sz w:val="20"/>
          <w:szCs w:val="20"/>
          <w:color w:val="auto"/>
        </w:rPr>
      </w:pPr>
    </w:p>
    <w:p>
      <w:pPr>
        <w:ind w:left="540" w:right="400"/>
        <w:spacing w:after="0" w:line="299" w:lineRule="auto"/>
        <w:rPr>
          <w:sz w:val="20"/>
          <w:szCs w:val="20"/>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8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43" w:lineRule="exact"/>
        <w:rPr>
          <w:sz w:val="20"/>
          <w:szCs w:val="20"/>
          <w:color w:val="auto"/>
        </w:rPr>
      </w:pPr>
    </w:p>
    <w:p>
      <w:pPr>
        <w:ind w:left="540" w:right="460"/>
        <w:spacing w:after="0" w:line="299" w:lineRule="auto"/>
        <w:rPr>
          <w:sz w:val="20"/>
          <w:szCs w:val="20"/>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depositary bank’s ADS register shows that the beneficial owner has a U.S. address on the register;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right="660"/>
        <w:spacing w:after="0" w:line="299" w:lineRule="auto"/>
        <w:rPr>
          <w:sz w:val="20"/>
          <w:szCs w:val="20"/>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individual resident in the U.S. (or any other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corporation that is ultimately controlled by persons resident in the U.S. (or any other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761365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69" w:right="239" w:bottom="1440" w:gutter="0" w:footer="0" w:header="0"/>
        </w:sectPr>
      </w:pPr>
    </w:p>
    <w:bookmarkStart w:id="45" w:name="page46"/>
    <w:bookmarkEnd w:id="45"/>
    <w:p>
      <w:pPr>
        <w:ind w:left="40"/>
        <w:spacing w:after="0"/>
        <w:rPr>
          <w:sz w:val="20"/>
          <w:szCs w:val="20"/>
          <w:color w:val="auto"/>
        </w:rPr>
      </w:pPr>
      <w:r>
        <w:rPr>
          <w:rFonts w:ascii="Courier New" w:cs="Courier New" w:eastAsia="Courier New" w:hAnsi="Courier New"/>
          <w:sz w:val="14"/>
          <w:szCs w:val="14"/>
          <w:color w:val="auto"/>
        </w:rPr>
        <w:t>kpmg</w:t>
      </w:r>
    </w:p>
    <w:p>
      <w:pPr>
        <w:spacing w:after="0" w:line="276" w:lineRule="exact"/>
        <w:rPr>
          <w:sz w:val="20"/>
          <w:szCs w:val="20"/>
          <w:color w:val="auto"/>
        </w:rPr>
      </w:pPr>
    </w:p>
    <w:p>
      <w:pPr>
        <w:ind w:left="540" w:right="60"/>
        <w:spacing w:after="0" w:line="299" w:lineRule="auto"/>
        <w:rPr>
          <w:sz w:val="20"/>
          <w:szCs w:val="20"/>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right="420"/>
        <w:spacing w:after="0" w:line="299" w:lineRule="auto"/>
        <w:rPr>
          <w:sz w:val="20"/>
          <w:szCs w:val="20"/>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right="700"/>
        <w:spacing w:after="0" w:line="367" w:lineRule="auto"/>
        <w:rPr>
          <w:sz w:val="20"/>
          <w:szCs w:val="20"/>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-321310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 domiciled individuals:</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cease to be Irish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own the shares when they cease to be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right="220"/>
        <w:spacing w:after="0" w:line="299" w:lineRule="auto"/>
        <w:rPr>
          <w:sz w:val="20"/>
          <w:szCs w:val="20"/>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who dispose of an interest in a company during this temporary non-residence;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746760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169" w:right="259" w:bottom="1440" w:gutter="0" w:footer="0" w:header="0"/>
        </w:sectPr>
      </w:pPr>
    </w:p>
    <w:bookmarkStart w:id="46" w:name="page47"/>
    <w:bookmarkEnd w:id="46"/>
    <w:p>
      <w:pPr>
        <w:ind w:left="40"/>
        <w:spacing w:after="0"/>
        <w:rPr>
          <w:sz w:val="20"/>
          <w:szCs w:val="20"/>
          <w:color w:val="auto"/>
        </w:rPr>
      </w:pPr>
      <w:r>
        <w:rPr>
          <w:rFonts w:ascii="Courier New" w:cs="Courier New" w:eastAsia="Courier New" w:hAnsi="Courier New"/>
          <w:sz w:val="14"/>
          <w:szCs w:val="14"/>
          <w:color w:val="auto"/>
        </w:rPr>
        <w:t>kpmg</w:t>
      </w:r>
    </w:p>
    <w:p>
      <w:pPr>
        <w:spacing w:after="0" w:line="2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 transfer of assets between spouses will not give rise to a gain or a loss for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it in the year in which acquired.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70" w:right="299" w:bottom="1440" w:gutter="0" w:footer="0" w:header="0"/>
        </w:sectPr>
      </w:pPr>
    </w:p>
    <w:bookmarkStart w:id="47" w:name="page48"/>
    <w:bookmarkEnd w:id="47"/>
    <w:p>
      <w:pPr>
        <w:ind w:left="40"/>
        <w:spacing w:after="0"/>
        <w:rPr>
          <w:sz w:val="20"/>
          <w:szCs w:val="20"/>
          <w:color w:val="auto"/>
        </w:rPr>
      </w:pPr>
      <w:r>
        <w:rPr>
          <w:rFonts w:ascii="Courier New" w:cs="Courier New" w:eastAsia="Courier New" w:hAnsi="Courier New"/>
          <w:sz w:val="14"/>
          <w:szCs w:val="14"/>
          <w:color w:val="auto"/>
        </w:rPr>
        <w:t>kpmg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duty arises where the transfer contains the appropriate certificate and, in the absence of such certificate, the nominal rate stamp duty of €12.70 applies.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70" w:right="47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333-XXXXX) on Form F-3 of ICON plc of our report dated February 27, 2006, with respect to the consolidated balance sheets of ICON plc as of December 31, 2005, May 31, 2005 and 2004, and the related consolidated statements of operations, shareholders’ equity and comprehensive income and cash flows for the seven months ended December 31, 2005 and for each of the years in the three-year period ended May 31, 2005, which report appears in the December 31, 2005, transition report on Form 20-F of ICON plc and to the reference to our firm under the heading “Experts”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
    <w:nsid w:val="66EF438D"/>
    <w:multiLevelType w:val="hybridMultilevel"/>
    <w:lvl w:ilvl="0">
      <w:lvlJc w:val="left"/>
      <w:lvlText w:val="(%1)"/>
      <w:numFmt w:val="lowerRoman"/>
      <w:start w:val="3"/>
    </w:lvl>
  </w:abstractNum>
  <w:abstractNum w:abstractNumId="9">
    <w:nsid w:val="140E0F76"/>
    <w:multiLevelType w:val="hybridMultilevel"/>
    <w:lvl w:ilvl="0">
      <w:lvlJc w:val="left"/>
      <w:lvlText w:val="%1."/>
      <w:numFmt w:val="decimal"/>
      <w:start w:val="2"/>
    </w:lvl>
    <w:lvl w:ilvl="1">
      <w:lvlJc w:val="left"/>
      <w:lvlText w:val="(%2)"/>
      <w:numFmt w:val="upperLetter"/>
      <w:start w:val="1"/>
    </w:lvl>
  </w:abstractNum>
  <w:abstractNum w:abstractNumId="10">
    <w:nsid w:val="3352255A"/>
    <w:multiLevelType w:val="hybridMultilevel"/>
    <w:lvl w:ilvl="0">
      <w:lvlJc w:val="left"/>
      <w:lvlText w:val="%1."/>
      <w:numFmt w:val="decimal"/>
      <w:start w:val="6"/>
    </w:lvl>
    <w:lvl w:ilvl="1">
      <w:lvlJc w:val="left"/>
      <w:lvlText w:val="(%2)"/>
      <w:numFmt w:val="lowerRoman"/>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2019-12-14T20:44:26Z</dcterms:created>
  <dcterms:modified xsi:type="dcterms:W3CDTF">2019-12-14T20:44:26Z</dcterms:modified>
</cp:coreProperties>
</file>