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18"/>
          <w:szCs w:val="18"/>
          <w:b w:val="1"/>
          <w:bCs w:val="1"/>
          <w:color w:val="auto"/>
        </w:rPr>
        <w:t>FORM 6-K</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8"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the month ended July, 2016</w:t>
      </w:r>
    </w:p>
    <w:p>
      <w:pPr>
        <w:spacing w:after="0" w:line="234"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333-08704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798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79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79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79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29"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2016 we had approximately 12,346 employees, in 89 locations in 37 countries. During the six months ended June 30, 2016 we derived approximately 46.6%, 43.3% and 10.1% of our net revenue in the United States, Europe and Rest of World respectively.</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30, 2016, the Company announced that it has agreed, subject to certain closing conditions (including applicable regulatory approvals), to acquire Clinical Research Management, Inc. (ClinicalRM). ClinicalRM is a full-service Contract Research Organization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Their extensive expertise extends across basic and applied research, infectious diseases, vaccines development and testing and the response to bio-threats. They have worked in collaboration with government and commercial customers to respond to the threat of global viral epidemics.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4, 2015, Inclinix-PMG Holdings, Inc (‘PMG’) was acquired by ICON Clinical Research LLC a subsidiary of the Company, resulting in initial net cash outflows of $63.5 million (including certain payments made on behalf of PMG totalling $9.9 million). PMG is an integrated network of clinical research sites operating from 14 metropolitan areas throughout the US. PMG conducts clinical trials in all major therapeutic areas with particular experience in cardiology, dermatology, endocrinology, gastroenterology, men's health, neurology, pulmonology, rheumatology, vaccine, and women's health trials. In addition to a proprietary research database of clinical trial participants, PMG also has access to over 2 million active patient lives via electronic health records through their unique partnerships with healthcare systems and community physician practices. The acquisition agreement provides for working capital targets to be achieved by PMG within 90 days of acquisition. In March 2016, the Company agreed to pay an additional $1.6 million on completion of this working capital review (</w:t>
      </w:r>
      <w:r>
        <w:rPr>
          <w:rFonts w:ascii="Arial" w:cs="Arial" w:eastAsia="Arial" w:hAnsi="Arial"/>
          <w:sz w:val="17"/>
          <w:szCs w:val="17"/>
          <w:i w:val="1"/>
          <w:iCs w:val="1"/>
          <w:color w:val="auto"/>
        </w:rPr>
        <w:t>see note 3 Business Combinations for further information)</w:t>
      </w:r>
      <w:r>
        <w:rPr>
          <w:rFonts w:ascii="Arial" w:cs="Arial" w:eastAsia="Arial" w:hAnsi="Arial"/>
          <w:sz w:val="17"/>
          <w:szCs w:val="17"/>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completed a share buyback program in December 2015. During the year ended December 31, 2015, the Company redeemed a total of 6,198,481 ordinary shares for a total consideration of $457.9 million. A resolution was passed at the Company’s Annual General Meeting ("AGM") on July 22, 2016 which authorizes the Directors to purchase (buy-back) up to 10% of the outstanding shares in the Company.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Financing</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 In October 2015, the Company entered into an interest rate hedge in respect of the planned issuance of the Senior Notes in December 2015. The interest rate hedge matured in November 2015 when the interest rate on the Senior Notes was fixed. The interest rate hedge was effective in accordance with Financial Accounting Standards Board (“FASB”)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cash proceeds, representing the realized gain on the interest rate hedge were received on maturity in November 2015.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Board composition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Company announced that Mr. Thomas Lynch, non-executive Chairman of the Board of Directors, had notified ICON that he would retire as Chairman on March 31, 2016. Mr. Lynch did not stand for re-election to the Board at the Company's AGM and retired from the Board on July 22, 2016. Mr. Lynch was a non-executive Director of ICON since 1994 and served as senior independent Director from 2010 to 2012 and as Chairman from January 2013 to March 2016. ICON's senior independent Director, Mr. Declan McKeon, continues to serve as acting Chairman from Mr. Lynch's retirement as Chairman and the Board has initiated a process to appoint a new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Accounting Standards Update (‘ASU’) 2015-03 ‘Interest – Imputation of Interest (Subtopic 835-30) – Simplifying the Presentation of Debt Issuance Costs’ was issued in April 2015 to simplify the presentation of debt issuance costs. The guidance requires debt issuance costs related to term loans to be presented as a direct deduction from the carrying amount of the associated debt liability. The standard is effective for financial statements issued for fiscal years beginning after December 15, 2015 and interim periods within those fiscal years. The new guidance is reflected in the Condensed Consolidated Financial Statements (unaudited) presented. The new guidance is also required to be applied on a retrospective basis. The Condensed Consolidated Balance Sheet at December 31, 2015 has therefore been restated to reflect the accounting standards update.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JUNE 30, 2016 AND DECEMBER 31,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(Unaudited)</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(Audited)</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r>
      <w:tr>
        <w:trPr>
          <w:trHeight w:val="22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20" w:type="dxa"/>
            <w:vAlign w:val="bottom"/>
          </w:tcPr>
          <w:p>
            <w:pPr>
              <w:spacing w:after="0"/>
              <w:rPr>
                <w:sz w:val="19"/>
                <w:szCs w:val="19"/>
                <w:color w:val="auto"/>
              </w:rPr>
            </w:pPr>
          </w:p>
        </w:tc>
        <w:tc>
          <w:tcPr>
            <w:tcW w:w="24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168,470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103,911</w:t>
            </w: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Short term investments - available for sale</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82,481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85,990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366,903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409,165</w:t>
            </w: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Unbilled revenue</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190,025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173,649</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39,097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30,935</w:t>
            </w: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Prepayments and other current assets</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37,180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36,128</w:t>
            </w:r>
          </w:p>
        </w:tc>
      </w:tr>
      <w:tr>
        <w:trPr>
          <w:trHeight w:val="223"/>
        </w:trPr>
        <w:tc>
          <w:tcPr>
            <w:tcW w:w="20" w:type="dxa"/>
            <w:vAlign w:val="bottom"/>
          </w:tcPr>
          <w:p>
            <w:pPr>
              <w:spacing w:after="0"/>
              <w:rPr>
                <w:sz w:val="19"/>
                <w:szCs w:val="19"/>
                <w:color w:val="auto"/>
              </w:rPr>
            </w:pPr>
          </w:p>
        </w:tc>
        <w:tc>
          <w:tcPr>
            <w:tcW w:w="75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Income taxes receivable</w:t>
            </w:r>
          </w:p>
        </w:tc>
        <w:tc>
          <w:tcPr>
            <w:tcW w:w="1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24,832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22,961</w:t>
            </w:r>
          </w:p>
        </w:tc>
      </w:tr>
      <w:tr>
        <w:trPr>
          <w:trHeight w:val="216"/>
        </w:trPr>
        <w:tc>
          <w:tcPr>
            <w:tcW w:w="20" w:type="dxa"/>
            <w:vAlign w:val="bottom"/>
          </w:tcPr>
          <w:p>
            <w:pPr>
              <w:spacing w:after="0"/>
              <w:rPr>
                <w:sz w:val="18"/>
                <w:szCs w:val="18"/>
                <w:color w:val="auto"/>
              </w:rPr>
            </w:pPr>
          </w:p>
        </w:tc>
        <w:tc>
          <w:tcPr>
            <w:tcW w:w="75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908,988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862,739</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150,987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150,218</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590,428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588,434</w:t>
            </w: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Non-current other assets</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13,306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11,591</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income taxes receivable</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10,206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11,362</w:t>
            </w:r>
          </w:p>
        </w:tc>
      </w:tr>
      <w:tr>
        <w:trPr>
          <w:trHeight w:val="216"/>
        </w:trPr>
        <w:tc>
          <w:tcPr>
            <w:tcW w:w="20" w:type="dxa"/>
            <w:vAlign w:val="bottom"/>
          </w:tcPr>
          <w:p>
            <w:pPr>
              <w:spacing w:after="0"/>
              <w:rPr>
                <w:sz w:val="18"/>
                <w:szCs w:val="18"/>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Non-current deferred tax asset</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18,744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26,738</w:t>
            </w:r>
          </w:p>
        </w:tc>
      </w:tr>
      <w:tr>
        <w:trPr>
          <w:trHeight w:val="223"/>
        </w:trPr>
        <w:tc>
          <w:tcPr>
            <w:tcW w:w="20" w:type="dxa"/>
            <w:vAlign w:val="bottom"/>
          </w:tcPr>
          <w:p>
            <w:pPr>
              <w:spacing w:after="0"/>
              <w:rPr>
                <w:sz w:val="19"/>
                <w:szCs w:val="19"/>
                <w:color w:val="auto"/>
              </w:rPr>
            </w:pPr>
          </w:p>
        </w:tc>
        <w:tc>
          <w:tcPr>
            <w:tcW w:w="75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Intangible assets</w:t>
            </w:r>
          </w:p>
        </w:tc>
        <w:tc>
          <w:tcPr>
            <w:tcW w:w="1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57,581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66,127</w:t>
            </w:r>
          </w:p>
        </w:tc>
      </w:tr>
      <w:tr>
        <w:trPr>
          <w:trHeight w:val="223"/>
        </w:trPr>
        <w:tc>
          <w:tcPr>
            <w:tcW w:w="20" w:type="dxa"/>
            <w:vAlign w:val="bottom"/>
            <w:tcBorders>
              <w:bottom w:val="single" w:sz="8" w:color="auto"/>
            </w:tcBorders>
          </w:tcPr>
          <w:p>
            <w:pPr>
              <w:spacing w:after="0"/>
              <w:rPr>
                <w:sz w:val="19"/>
                <w:szCs w:val="19"/>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1,750,240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1,717,209</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6,123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7,021</w:t>
            </w: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Payments on account</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257,514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318,697</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178,941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231,879</w:t>
            </w:r>
          </w:p>
        </w:tc>
      </w:tr>
      <w:tr>
        <w:trPr>
          <w:trHeight w:val="223"/>
        </w:trPr>
        <w:tc>
          <w:tcPr>
            <w:tcW w:w="20" w:type="dxa"/>
            <w:vAlign w:val="bottom"/>
          </w:tcPr>
          <w:p>
            <w:pPr>
              <w:spacing w:after="0"/>
              <w:rPr>
                <w:sz w:val="19"/>
                <w:szCs w:val="19"/>
                <w:color w:val="auto"/>
              </w:rPr>
            </w:pPr>
          </w:p>
        </w:tc>
        <w:tc>
          <w:tcPr>
            <w:tcW w:w="7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Income taxes payable</w:t>
            </w:r>
          </w:p>
        </w:tc>
        <w:tc>
          <w:tcPr>
            <w:tcW w:w="1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14,337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14,203</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456,915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571,800</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Liabilities:</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bank credit lines and loan facilities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348,322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348,306</w:t>
            </w: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Non-current other liabilities</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14,309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12,224</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government grants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Non-current income taxes payable</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15,655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16,180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deferred tax liability</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4,111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4,644</w:t>
            </w:r>
          </w:p>
        </w:tc>
      </w:tr>
      <w:tr>
        <w:trPr>
          <w:trHeight w:val="216"/>
        </w:trPr>
        <w:tc>
          <w:tcPr>
            <w:tcW w:w="20" w:type="dxa"/>
            <w:vAlign w:val="bottom"/>
          </w:tcPr>
          <w:p>
            <w:pPr>
              <w:spacing w:after="0"/>
              <w:rPr>
                <w:sz w:val="18"/>
                <w:szCs w:val="18"/>
                <w:color w:val="auto"/>
              </w:rPr>
            </w:pPr>
          </w:p>
        </w:tc>
        <w:tc>
          <w:tcPr>
            <w:tcW w:w="752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55,459,627 shares issued and outstanding at June 30, 2016 and</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54,958,912 shares issued and outstanding at December 31, 2015</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4,685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4,679</w:t>
            </w:r>
          </w:p>
        </w:tc>
      </w:tr>
      <w:tr>
        <w:trPr>
          <w:trHeight w:val="216"/>
        </w:trPr>
        <w:tc>
          <w:tcPr>
            <w:tcW w:w="20" w:type="dxa"/>
            <w:vAlign w:val="bottom"/>
          </w:tcPr>
          <w:p>
            <w:pPr>
              <w:spacing w:after="0"/>
              <w:rPr>
                <w:sz w:val="18"/>
                <w:szCs w:val="18"/>
                <w:color w:val="auto"/>
              </w:rPr>
            </w:pPr>
          </w:p>
        </w:tc>
        <w:tc>
          <w:tcPr>
            <w:tcW w:w="7520" w:type="dxa"/>
            <w:vAlign w:val="bottom"/>
          </w:tcPr>
          <w:p>
            <w:pPr>
              <w:ind w:left="32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408,588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383,395</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redemption reserve</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216"/>
        </w:trPr>
        <w:tc>
          <w:tcPr>
            <w:tcW w:w="20" w:type="dxa"/>
            <w:vAlign w:val="bottom"/>
          </w:tcPr>
          <w:p>
            <w:pPr>
              <w:spacing w:after="0"/>
              <w:rPr>
                <w:sz w:val="18"/>
                <w:szCs w:val="18"/>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(64,000)</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(61,636)</w:t>
            </w:r>
          </w:p>
        </w:tc>
      </w:tr>
      <w:tr>
        <w:trPr>
          <w:trHeight w:val="223"/>
        </w:trPr>
        <w:tc>
          <w:tcPr>
            <w:tcW w:w="20" w:type="dxa"/>
            <w:vAlign w:val="bottom"/>
          </w:tcPr>
          <w:p>
            <w:pPr>
              <w:spacing w:after="0"/>
              <w:rPr>
                <w:sz w:val="19"/>
                <w:szCs w:val="19"/>
                <w:color w:val="auto"/>
              </w:rPr>
            </w:pPr>
          </w:p>
        </w:tc>
        <w:tc>
          <w:tcPr>
            <w:tcW w:w="75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559,981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435,943</w:t>
            </w:r>
          </w:p>
        </w:tc>
      </w:tr>
      <w:tr>
        <w:trPr>
          <w:trHeight w:val="223"/>
        </w:trPr>
        <w:tc>
          <w:tcPr>
            <w:tcW w:w="20" w:type="dxa"/>
            <w:vAlign w:val="bottom"/>
            <w:tcBorders>
              <w:bottom w:val="single" w:sz="8" w:color="auto"/>
            </w:tcBorders>
          </w:tcPr>
          <w:p>
            <w:pPr>
              <w:spacing w:after="0"/>
              <w:rPr>
                <w:sz w:val="19"/>
                <w:szCs w:val="19"/>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1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909,969</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763,096</w:t>
            </w:r>
          </w:p>
        </w:tc>
      </w:tr>
      <w:tr>
        <w:trPr>
          <w:trHeight w:val="223"/>
        </w:trPr>
        <w:tc>
          <w:tcPr>
            <w:tcW w:w="20" w:type="dxa"/>
            <w:vAlign w:val="bottom"/>
          </w:tcPr>
          <w:p>
            <w:pPr>
              <w:spacing w:after="0"/>
              <w:rPr>
                <w:sz w:val="19"/>
                <w:szCs w:val="19"/>
                <w:color w:val="auto"/>
              </w:rPr>
            </w:pPr>
          </w:p>
        </w:tc>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1,750,240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1,717,209</w:t>
            </w:r>
          </w:p>
        </w:tc>
      </w:tr>
    </w:tbl>
    <w:p>
      <w:pPr>
        <w:ind w:left="180" w:right="20" w:hanging="10"/>
        <w:spacing w:after="0" w:line="261" w:lineRule="auto"/>
        <w:tabs>
          <w:tab w:leader="none" w:pos="345"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The December 31, 2015 Balance Sheet has been retrospectively restated as required to reflect the requirements of new guidance in respect of the presentation of debt issue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2016 AND JUNE 30, 2015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8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June 30,</w:t>
            </w:r>
          </w:p>
        </w:tc>
        <w:tc>
          <w:tcPr>
            <w:tcW w:w="40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20" w:type="dxa"/>
            <w:vAlign w:val="bottom"/>
            <w:gridSpan w:val="15"/>
          </w:tcPr>
          <w:p>
            <w:pPr>
              <w:jc w:val="right"/>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revenue</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589,647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524,098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1,132,230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9"/>
              </w:rPr>
              <w:t>1,027,464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Reimbursable expenses</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(179,017)</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(135,441)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(321,078)</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(250,576)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Net revenue</w:t>
            </w:r>
          </w:p>
        </w:tc>
        <w:tc>
          <w:tcPr>
            <w:tcW w:w="11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410,630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388,657</w:t>
            </w:r>
          </w:p>
        </w:tc>
        <w:tc>
          <w:tcPr>
            <w:tcW w:w="30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811,152</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776,888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Costs and expenses: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costs</w:t>
            </w:r>
          </w:p>
        </w:tc>
        <w:tc>
          <w:tcPr>
            <w:tcW w:w="1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237,984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224,961</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466,587</w:t>
            </w: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1140" w:type="dxa"/>
            <w:vAlign w:val="bottom"/>
          </w:tcPr>
          <w:p>
            <w:pPr>
              <w:spacing w:after="0"/>
              <w:rPr>
                <w:sz w:val="18"/>
                <w:szCs w:val="18"/>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80,168</w:t>
            </w: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81,321</w:t>
            </w:r>
          </w:p>
        </w:tc>
        <w:tc>
          <w:tcPr>
            <w:tcW w:w="30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160,957</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160,875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14,457</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14,244</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29,577</w:t>
            </w: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28,169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Restructuring</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4,094</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4,094</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costs and expenses</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336,703</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320,526</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661,215</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642,083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tcPr>
          <w:p>
            <w:pPr>
              <w:spacing w:after="0"/>
              <w:rPr>
                <w:sz w:val="18"/>
                <w:szCs w:val="18"/>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73,927</w:t>
            </w: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68,131</w:t>
            </w:r>
          </w:p>
        </w:tc>
        <w:tc>
          <w:tcPr>
            <w:tcW w:w="30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149,937</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134,805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693</w:t>
            </w: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(3,198)</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(229)</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(6,413)</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140" w:type="dxa"/>
            <w:vAlign w:val="bottom"/>
          </w:tcPr>
          <w:p>
            <w:pPr>
              <w:spacing w:after="0"/>
              <w:rPr>
                <w:sz w:val="18"/>
                <w:szCs w:val="18"/>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71,088</w:t>
            </w: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68,121</w:t>
            </w:r>
          </w:p>
        </w:tc>
        <w:tc>
          <w:tcPr>
            <w:tcW w:w="30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144,217</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134,792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(10,014)</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(9,537)</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(20,179)</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(20,338)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61,074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58,584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124,038</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114,454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Ordinary Share: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0.97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0.95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55,318,923</w:t>
            </w: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60,244,982</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9"/>
              </w:rPr>
              <w:t>55,164,971</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8"/>
              </w:rPr>
              <w:t>60,263,021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56,580,799</w:t>
            </w: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61,801,687</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9"/>
              </w:rPr>
              <w:t>56,427,516</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8"/>
              </w:rPr>
              <w:t>61,849,326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 AND 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8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124,038</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property, plant and equipment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4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20,699</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8,878</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80"/>
              <w:spacing w:after="0"/>
              <w:rPr>
                <w:sz w:val="20"/>
                <w:szCs w:val="20"/>
                <w:color w:val="auto"/>
              </w:rPr>
            </w:pPr>
            <w:r>
              <w:rPr>
                <w:rFonts w:ascii="Arial" w:cs="Arial" w:eastAsia="Arial" w:hAnsi="Arial"/>
                <w:sz w:val="18"/>
                <w:szCs w:val="18"/>
                <w:color w:val="auto"/>
              </w:rPr>
              <w:t>Amortization of grants</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on short term investments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rPr>
              <w:t>Realised gain on sale of short term investments</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compensation expense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20,690</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Amortization of gain on interest rate hedge</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financing costs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276</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4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7,469</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Decrease in accounts receivable</w:t>
            </w:r>
          </w:p>
        </w:tc>
        <w:tc>
          <w:tcPr>
            <w:tcW w:w="4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42,548</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unbilled revenue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(15,892)</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80"/>
              <w:spacing w:after="0"/>
              <w:rPr>
                <w:sz w:val="20"/>
                <w:szCs w:val="20"/>
                <w:color w:val="auto"/>
              </w:rPr>
            </w:pPr>
            <w:r>
              <w:rPr>
                <w:rFonts w:ascii="Arial" w:cs="Arial" w:eastAsia="Arial" w:hAnsi="Arial"/>
                <w:sz w:val="18"/>
                <w:szCs w:val="18"/>
                <w:color w:val="auto"/>
              </w:rPr>
              <w:t>Increase in other receivables</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(8,305)</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prepayments and other current assets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Increase in other non-current assets</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(1,505)</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payments on account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(61,187)</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80"/>
              <w:spacing w:after="0"/>
              <w:rPr>
                <w:sz w:val="20"/>
                <w:szCs w:val="20"/>
                <w:color w:val="auto"/>
              </w:rPr>
            </w:pPr>
            <w:r>
              <w:rPr>
                <w:rFonts w:ascii="Arial" w:cs="Arial" w:eastAsia="Arial" w:hAnsi="Arial"/>
                <w:sz w:val="18"/>
                <w:szCs w:val="18"/>
                <w:color w:val="auto"/>
              </w:rPr>
              <w:t>Decrease in other current liabilities</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(48,168)</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non-current liabilities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2,108</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(Decrease)/increase in income taxes payable</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(763)</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(Decrease)/increase in accounts payable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Change in deferred tax liability</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83,754</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(19,893)</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80"/>
              <w:spacing w:after="0"/>
              <w:rPr>
                <w:sz w:val="20"/>
                <w:szCs w:val="20"/>
                <w:color w:val="auto"/>
              </w:rPr>
            </w:pPr>
            <w:r>
              <w:rPr>
                <w:rFonts w:ascii="Arial" w:cs="Arial" w:eastAsia="Arial" w:hAnsi="Arial"/>
                <w:sz w:val="18"/>
                <w:szCs w:val="18"/>
                <w:color w:val="auto"/>
              </w:rPr>
              <w:t>Purchase of subsidiary undertakings</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(1,613)</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(103,139)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short term investments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(10,969)</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Sale of short term investments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15,441</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(17,034)</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share options &amp; restricted share units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2,180</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80"/>
              <w:spacing w:after="0"/>
              <w:rPr>
                <w:sz w:val="20"/>
                <w:szCs w:val="20"/>
                <w:color w:val="auto"/>
              </w:rPr>
            </w:pPr>
            <w:r>
              <w:rPr>
                <w:rFonts w:ascii="Arial" w:cs="Arial" w:eastAsia="Arial" w:hAnsi="Arial"/>
                <w:sz w:val="18"/>
                <w:szCs w:val="18"/>
                <w:color w:val="auto"/>
              </w:rPr>
              <w:t>Share issuance costs</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 from the exercise of share options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2,338</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80"/>
              <w:spacing w:after="0"/>
              <w:rPr>
                <w:sz w:val="20"/>
                <w:szCs w:val="20"/>
                <w:color w:val="auto"/>
              </w:rPr>
            </w:pPr>
            <w:r>
              <w:rPr>
                <w:rFonts w:ascii="Arial" w:cs="Arial" w:eastAsia="Arial" w:hAnsi="Arial"/>
                <w:sz w:val="18"/>
                <w:szCs w:val="18"/>
                <w:color w:val="auto"/>
              </w:rPr>
              <w:t>Repurchase of ordinary shares</w:t>
            </w:r>
          </w:p>
        </w:tc>
        <w:tc>
          <w:tcPr>
            <w:tcW w:w="4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repurchase costs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80"/>
              <w:spacing w:after="0"/>
              <w:rPr>
                <w:sz w:val="20"/>
                <w:szCs w:val="20"/>
                <w:color w:val="auto"/>
              </w:rPr>
            </w:pPr>
            <w:r>
              <w:rPr>
                <w:rFonts w:ascii="Arial" w:cs="Arial" w:eastAsia="Arial" w:hAnsi="Arial"/>
                <w:sz w:val="18"/>
                <w:szCs w:val="18"/>
                <w:color w:val="auto"/>
              </w:rPr>
              <w:t>Drawdown of bank credit lines and loan facilities</w:t>
            </w:r>
          </w:p>
        </w:tc>
        <w:tc>
          <w:tcPr>
            <w:tcW w:w="4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20,000</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bank credit lines and loan facilities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Financing costs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(6,541)</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15,302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64,559</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103,911</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168,470</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107,469</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640" w:type="dxa"/>
            <w:vAlign w:val="bottom"/>
          </w:tcPr>
          <w:p>
            <w:pPr>
              <w:spacing w:after="0"/>
              <w:rPr>
                <w:sz w:val="20"/>
                <w:szCs w:val="20"/>
                <w:color w:val="auto"/>
              </w:rPr>
            </w:pPr>
            <w:r>
              <w:rPr>
                <w:rFonts w:ascii="Arial" w:cs="Arial" w:eastAsia="Arial" w:hAnsi="Arial"/>
                <w:sz w:val="22"/>
                <w:szCs w:val="22"/>
                <w:color w:val="auto"/>
                <w:w w:val="88"/>
              </w:rPr>
              <w:t>The accompanying notes are an integral part of these condensed consolidated financial statements.</w:t>
            </w: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0"/>
        </w:trPr>
        <w:tc>
          <w:tcPr>
            <w:tcW w:w="8660" w:type="dxa"/>
            <w:vAlign w:val="bottom"/>
            <w:gridSpan w:val="2"/>
          </w:tcPr>
          <w:p>
            <w:pPr>
              <w:jc w:val="right"/>
              <w:ind w:right="281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ICON plc</w:t>
      </w:r>
    </w:p>
    <w:p>
      <w:pPr>
        <w:spacing w:after="0" w:line="24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60" w:type="dxa"/>
            <w:vAlign w:val="bottom"/>
            <w:gridSpan w:val="3"/>
            <w:vMerge w:val="restart"/>
          </w:tcPr>
          <w:p>
            <w:pPr>
              <w:ind w:left="640"/>
              <w:spacing w:after="0"/>
              <w:rPr>
                <w:sz w:val="20"/>
                <w:szCs w:val="20"/>
                <w:color w:val="auto"/>
              </w:rPr>
            </w:pPr>
            <w:r>
              <w:rPr>
                <w:rFonts w:ascii="Arial" w:cs="Arial" w:eastAsia="Arial" w:hAnsi="Arial"/>
                <w:sz w:val="18"/>
                <w:szCs w:val="18"/>
                <w:b w:val="1"/>
                <w:bCs w:val="1"/>
                <w:color w:val="auto"/>
                <w:w w:val="99"/>
              </w:rPr>
              <w:t>Shares</w:t>
            </w:r>
          </w:p>
        </w:tc>
        <w:tc>
          <w:tcPr>
            <w:tcW w:w="220" w:type="dxa"/>
            <w:vAlign w:val="bottom"/>
          </w:tcPr>
          <w:p>
            <w:pPr>
              <w:spacing w:after="0"/>
              <w:rPr>
                <w:sz w:val="17"/>
                <w:szCs w:val="17"/>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w w:val="94"/>
              </w:rPr>
              <w:t>Amount</w:t>
            </w:r>
          </w:p>
        </w:tc>
        <w:tc>
          <w:tcPr>
            <w:tcW w:w="1040" w:type="dxa"/>
            <w:vAlign w:val="bottom"/>
            <w:gridSpan w:val="5"/>
          </w:tcPr>
          <w:p>
            <w:pPr>
              <w:ind w:left="100"/>
              <w:spacing w:after="0" w:line="196" w:lineRule="exact"/>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w w:val="89"/>
              </w:rPr>
              <w:t>Capital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1"/>
              </w:rPr>
              <w:t>Other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auto"/>
                <w:w w:val="89"/>
              </w:rPr>
              <w:t>Paid-in</w:t>
            </w:r>
          </w:p>
        </w:tc>
        <w:tc>
          <w:tcPr>
            <w:tcW w:w="14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3"/>
            <w:vMerge w:val="restart"/>
          </w:tcPr>
          <w:p>
            <w:pPr>
              <w:jc w:val="right"/>
              <w:ind w:right="120"/>
              <w:spacing w:after="0" w:line="196" w:lineRule="exact"/>
              <w:rPr>
                <w:sz w:val="20"/>
                <w:szCs w:val="20"/>
                <w:color w:val="auto"/>
              </w:rPr>
            </w:pPr>
            <w:r>
              <w:rPr>
                <w:rFonts w:ascii="Arial" w:cs="Arial" w:eastAsia="Arial" w:hAnsi="Arial"/>
                <w:sz w:val="18"/>
                <w:szCs w:val="18"/>
                <w:b w:val="1"/>
                <w:bCs w:val="1"/>
                <w:color w:val="auto"/>
                <w:w w:val="88"/>
              </w:rPr>
              <w:t>Redemption</w:t>
            </w:r>
          </w:p>
        </w:tc>
        <w:tc>
          <w:tcPr>
            <w:tcW w:w="1440" w:type="dxa"/>
            <w:vAlign w:val="bottom"/>
            <w:gridSpan w:val="6"/>
            <w:vMerge w:val="restart"/>
          </w:tcPr>
          <w:p>
            <w:pPr>
              <w:jc w:val="right"/>
              <w:ind w:right="140"/>
              <w:spacing w:after="0" w:line="196" w:lineRule="exact"/>
              <w:rPr>
                <w:sz w:val="20"/>
                <w:szCs w:val="20"/>
                <w:color w:val="auto"/>
              </w:rPr>
            </w:pPr>
            <w:r>
              <w:rPr>
                <w:rFonts w:ascii="Arial" w:cs="Arial" w:eastAsia="Arial" w:hAnsi="Arial"/>
                <w:sz w:val="18"/>
                <w:szCs w:val="18"/>
                <w:b w:val="1"/>
                <w:bCs w:val="1"/>
                <w:color w:val="auto"/>
                <w:w w:val="94"/>
              </w:rPr>
              <w:t>Comprehensive</w:t>
            </w:r>
          </w:p>
        </w:tc>
        <w:tc>
          <w:tcPr>
            <w:tcW w:w="160" w:type="dxa"/>
            <w:vAlign w:val="bottom"/>
          </w:tcPr>
          <w:p>
            <w:pPr>
              <w:spacing w:after="0"/>
              <w:rPr>
                <w:sz w:val="7"/>
                <w:szCs w:val="7"/>
                <w:color w:val="auto"/>
              </w:rPr>
            </w:pPr>
          </w:p>
        </w:tc>
        <w:tc>
          <w:tcPr>
            <w:tcW w:w="80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auto"/>
              </w:rPr>
              <w:t>Retained</w:t>
            </w: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440" w:type="dxa"/>
            <w:vAlign w:val="bottom"/>
            <w:gridSpan w:val="6"/>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Capital</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w w:val="77"/>
              </w:rPr>
              <w:t>Reserve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7"/>
                <w:szCs w:val="17"/>
                <w:color w:val="auto"/>
              </w:rPr>
            </w:pPr>
          </w:p>
        </w:tc>
        <w:tc>
          <w:tcPr>
            <w:tcW w:w="8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Earnings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14"/>
          </w:tcPr>
          <w:p>
            <w:pPr>
              <w:jc w:val="right"/>
              <w:ind w:right="340"/>
              <w:spacing w:after="0"/>
              <w:rPr>
                <w:sz w:val="20"/>
                <w:szCs w:val="20"/>
                <w:color w:val="auto"/>
              </w:rPr>
            </w:pPr>
            <w:r>
              <w:rPr>
                <w:rFonts w:ascii="Arial" w:cs="Arial" w:eastAsia="Arial" w:hAnsi="Arial"/>
                <w:sz w:val="18"/>
                <w:szCs w:val="18"/>
                <w:b w:val="1"/>
                <w:bCs w:val="1"/>
                <w:color w:val="auto"/>
                <w:w w:val="90"/>
              </w:rPr>
              <w:t>(dollars in thousands, except share data)</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2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54,958,912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4,679</w:t>
            </w:r>
          </w:p>
        </w:tc>
        <w:tc>
          <w:tcPr>
            <w:tcW w:w="26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383,395</w:t>
            </w:r>
          </w:p>
        </w:tc>
        <w:tc>
          <w:tcPr>
            <w:tcW w:w="140" w:type="dxa"/>
            <w:vAlign w:val="bottom"/>
            <w:tcBorders>
              <w:left w:val="single" w:sz="8" w:color="CCEEFF"/>
              <w:bottom w:val="single" w:sz="8" w:color="auto"/>
            </w:tcBorders>
            <w:shd w:val="clear" w:color="auto" w:fill="CCEEFF"/>
          </w:tcPr>
          <w:p>
            <w:pPr>
              <w:spacing w:after="0"/>
              <w:rPr>
                <w:sz w:val="19"/>
                <w:szCs w:val="19"/>
                <w:color w:val="auto"/>
              </w:rPr>
            </w:pPr>
          </w:p>
        </w:tc>
        <w:tc>
          <w:tcPr>
            <w:tcW w:w="460" w:type="dxa"/>
            <w:vAlign w:val="bottom"/>
            <w:tcBorders>
              <w:bottom w:val="single" w:sz="8" w:color="auto"/>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w:t>
            </w:r>
          </w:p>
        </w:tc>
        <w:tc>
          <w:tcPr>
            <w:tcW w:w="1440" w:type="dxa"/>
            <w:vAlign w:val="bottom"/>
            <w:tcBorders>
              <w:bottom w:val="single" w:sz="8" w:color="auto"/>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($61,636)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435,943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763,096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124,038</w:t>
            </w:r>
          </w:p>
        </w:tc>
        <w:tc>
          <w:tcPr>
            <w:tcW w:w="2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124,038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(3,107)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Currency impact of long term funding</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Tax on currency impact of long term funding</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Unrealized capital gain – investments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interest rate hedge</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right w:val="single" w:sz="8" w:color="CCEEFF"/>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(458)</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right w:val="single" w:sz="8" w:color="CCEEFF"/>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(2,364)</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124,038</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121,674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93,168</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Issue of restricted share units</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407,547</w:t>
            </w:r>
          </w:p>
        </w:tc>
        <w:tc>
          <w:tcPr>
            <w:tcW w:w="22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Non-cash stock compensation expense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20,690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20,690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benefit on exercise of options</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40" w:type="dxa"/>
            <w:vAlign w:val="bottom"/>
            <w:tcBorders>
              <w:left w:val="single" w:sz="8" w:color="CCEEFF"/>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right w:val="single" w:sz="8" w:color="CCEEFF"/>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June 30, 2016</w:t>
            </w: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55,459,627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4,685</w:t>
            </w:r>
          </w:p>
        </w:tc>
        <w:tc>
          <w:tcPr>
            <w:tcW w:w="2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408,588</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715</w:t>
            </w:r>
          </w:p>
        </w:tc>
        <w:tc>
          <w:tcPr>
            <w:tcW w:w="14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($64,000)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559,981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5"/>
              </w:rPr>
              <w:t>909,969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40" w:type="dxa"/>
            <w:vAlign w:val="bottom"/>
            <w:gridSpan w:val="23"/>
          </w:tcPr>
          <w:p>
            <w:pPr>
              <w:jc w:val="right"/>
              <w:ind w:right="8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2015. Operating results for the three and six months ended June 30, 2016 are not necessarily indicative of the results that may be expected for the fiscal period ending December 31,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86"/>
              </w:rPr>
              <w:t>Six months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82"/>
              </w:rPr>
              <w:t>ended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June 30,</w:t>
            </w:r>
          </w:p>
        </w:tc>
        <w:tc>
          <w:tcPr>
            <w:tcW w:w="160" w:type="dxa"/>
            <w:vAlign w:val="bottom"/>
          </w:tcPr>
          <w:p>
            <w:pPr>
              <w:spacing w:after="0"/>
              <w:rPr>
                <w:sz w:val="17"/>
                <w:szCs w:val="17"/>
                <w:color w:val="auto"/>
              </w:rPr>
            </w:pPr>
          </w:p>
        </w:tc>
        <w:tc>
          <w:tcPr>
            <w:tcW w:w="116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8"/>
          </w:tcPr>
          <w:p>
            <w:pPr>
              <w:jc w:val="right"/>
              <w:ind w:right="80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4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588,434</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Current period acquisitions (Note 3)</w:t>
            </w:r>
          </w:p>
        </w:tc>
        <w:tc>
          <w:tcPr>
            <w:tcW w:w="49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133,123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 (Note 3)</w:t>
            </w:r>
          </w:p>
        </w:tc>
        <w:tc>
          <w:tcPr>
            <w:tcW w:w="49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49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(3,779)</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(12,431)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Closing balance</w:t>
            </w:r>
          </w:p>
        </w:tc>
        <w:tc>
          <w:tcPr>
            <w:tcW w:w="4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590,428</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588,434</w:t>
            </w: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960" w:type="dxa"/>
            <w:vAlign w:val="bottom"/>
          </w:tcPr>
          <w:p>
            <w:pPr>
              <w:jc w:val="right"/>
              <w:ind w:right="325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Borders>
              <w:bottom w:val="single" w:sz="8" w:color="auto"/>
            </w:tcBorders>
          </w:tcPr>
          <w:p>
            <w:pPr>
              <w:spacing w:after="0"/>
              <w:rPr>
                <w:sz w:val="5"/>
                <w:szCs w:val="5"/>
                <w:color w:val="auto"/>
              </w:rPr>
            </w:pPr>
          </w:p>
        </w:tc>
        <w:tc>
          <w:tcPr>
            <w:tcW w:w="4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PMG</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4, 2015 the Company acquired PMG, resulting in an initial net cash outflow of $63.5 million, including certain payments made on behalf of PMG totaling $9.9 million. PMG is an integrated network of 48 clinical research sites in North Carolina, South Carolina, Tennessee and Illinois. The site network includes wholly owned facilities and dedicated clinical research sites. PMG conducts clinical trials in all major therapeutic areas and has particular expertise in vaccine, gastroenterology, cardiovascular, neurology and endocrinology studies. It has a proprietary database of clinical trial participants. It also has access to in excess of 2 million active patients via electronic medical records through its partnerships with healthcare institutions and community physical practices. The acquisition agreement provides for working capital targets to be achieved by PMG within 90 days of acquisition. In March 2016, the Company agreed to pay an additional $1.6 million on completion of this working capital review. This amount was paid in April 2016.</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acquisition of PMG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made a provisional assessment of the fair value of assets acquired and liabilities assumed as at that date. The table following summarizes the Company’s provisional estimates of the fair values of the assets acquired and liabilities assumed;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December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Intangible assets**</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liabilities</w:t>
            </w:r>
          </w:p>
        </w:tc>
        <w:tc>
          <w:tcPr>
            <w:tcW w:w="39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39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9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liabilities assumed</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Working capital adjustment</w:t>
            </w:r>
          </w:p>
        </w:tc>
        <w:tc>
          <w:tcPr>
            <w:tcW w:w="39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Total cash outflows</w:t>
            </w:r>
          </w:p>
        </w:tc>
        <w:tc>
          <w:tcPr>
            <w:tcW w:w="39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280"/>
        <w:spacing w:after="0" w:line="290" w:lineRule="auto"/>
        <w:rPr>
          <w:sz w:val="20"/>
          <w:szCs w:val="20"/>
          <w:color w:val="auto"/>
        </w:rPr>
      </w:pPr>
      <w:r>
        <w:rPr>
          <w:rFonts w:ascii="Arial" w:cs="Arial" w:eastAsia="Arial" w:hAnsi="Arial"/>
          <w:sz w:val="16"/>
          <w:szCs w:val="16"/>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w:t>
      </w:r>
    </w:p>
    <w:p>
      <w:pPr>
        <w:spacing w:after="0" w:line="261" w:lineRule="auto"/>
        <w:rPr>
          <w:sz w:val="20"/>
          <w:szCs w:val="20"/>
          <w:color w:val="auto"/>
        </w:rPr>
      </w:pPr>
      <w:r>
        <w:rPr>
          <w:rFonts w:ascii="Arial" w:cs="Arial" w:eastAsia="Arial" w:hAnsi="Arial"/>
          <w:sz w:val="18"/>
          <w:szCs w:val="18"/>
          <w:color w:val="auto"/>
        </w:rPr>
        <w:t>**The Company has made an initial estimate of separate intangible assets acquired, being customer lists and order backlog, of $10.6 million. This assessment is under review and will be finalized within 12 months of the date of acquisition.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Acquisitions - MediMedia Pharma Solutions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27, 2015 the Company acquired MediMedia Pharma Solutions for cash consideration of $104.7 million (net of working capital adjustments of $4 million). In addition to the cash consideration, certain payments were made on behalf of MediMedia Pharma Solutions on completion totaling $11.3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acquisition agreement also provided for certain working capital targets to be achieved by MediMedia Pharma Solutions.</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acquisition of MediMedia Pharma Solutions has been accounted for as a business combination in accordance with FASB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The following table summarizes the Company’s estimate of the fair values of the assets acquired and liabilities assumed: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Goodwill*</w:t>
            </w: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Order backlog</w:t>
            </w: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Unbilled Revenue</w:t>
            </w: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Accounts payable</w:t>
            </w:r>
          </w:p>
        </w:tc>
        <w:tc>
          <w:tcPr>
            <w:tcW w:w="3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108,717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 assumed**</w:t>
            </w:r>
          </w:p>
        </w:tc>
        <w:tc>
          <w:tcPr>
            <w:tcW w:w="3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Gross cash outflows</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outflows</w:t>
            </w:r>
          </w:p>
        </w:tc>
        <w:tc>
          <w:tcPr>
            <w:tcW w:w="3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116,002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20" w:hanging="412"/>
        <w:spacing w:after="0" w:line="256"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the provision of strategic payer-validated market access solutions while the acquisition of Complete Healthcare Communications comprises an established workforce with significant communication experience working with medical affairs, commercial and brand development teams within the life science industry.</w:t>
      </w:r>
    </w:p>
    <w:p>
      <w:pPr>
        <w:ind w:left="5620" w:right="940" w:hanging="5612"/>
        <w:spacing w:after="0" w:line="746" w:lineRule="auto"/>
        <w:tabs>
          <w:tab w:leader="none" w:pos="409"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Payments made at acquisition date of $11.3 million were in respect of certain one-time liabilities which have subsequently been discharged.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Acquisitions - Aptiv Solutions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7, 2014 the Company acquired 100% of the common stock of Aptiv Solutions (“Aptiv”), a global biopharmaceutical and medical device development services company and leader in adaptive clinical trials for cash consideration of $143.5 million, including certain payments to be made on behalf of the company on completion totaling $22.4 million. The acquisition agreement provided for working capital targets to be achieved. On March 25, 2015, the Company received $2.0 million in respect of these targets on completion of the working capital review. Aptiv offers full-service clinical trial consulting and regulatory support for drugs, medical devices and diagnostics with a specific focus on strategies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Aptiv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summarizes the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May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Goodwill*</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Order backlog</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Accounts receivable</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Accounts payable</w:t>
            </w:r>
          </w:p>
        </w:tc>
        <w:tc>
          <w:tcPr>
            <w:tcW w:w="4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Payments on account</w:t>
            </w:r>
          </w:p>
        </w:tc>
        <w:tc>
          <w:tcPr>
            <w:tcW w:w="4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notes payable**</w:t>
            </w:r>
          </w:p>
        </w:tc>
        <w:tc>
          <w:tcPr>
            <w:tcW w:w="40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4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119,137</w:t>
            </w:r>
          </w:p>
        </w:tc>
        <w:tc>
          <w:tcPr>
            <w:tcW w:w="0" w:type="dxa"/>
            <w:vAlign w:val="bottom"/>
          </w:tcPr>
          <w:p>
            <w:pPr>
              <w:spacing w:after="0"/>
              <w:rPr>
                <w:sz w:val="1"/>
                <w:szCs w:val="1"/>
                <w:color w:val="auto"/>
              </w:rPr>
            </w:pPr>
          </w:p>
        </w:tc>
      </w:tr>
      <w:tr>
        <w:trPr>
          <w:trHeight w:val="21"/>
        </w:trPr>
        <w:tc>
          <w:tcPr>
            <w:tcW w:w="642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Cash consideration</w:t>
            </w:r>
          </w:p>
        </w:tc>
        <w:tc>
          <w:tcPr>
            <w:tcW w:w="40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Working capital adjustment</w:t>
            </w:r>
          </w:p>
        </w:tc>
        <w:tc>
          <w:tcPr>
            <w:tcW w:w="40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141,536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Adjustments to cash consideration**</w:t>
            </w:r>
          </w:p>
        </w:tc>
        <w:tc>
          <w:tcPr>
            <w:tcW w:w="40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(22,399)</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purchase consideration</w:t>
            </w:r>
          </w:p>
        </w:tc>
        <w:tc>
          <w:tcPr>
            <w:tcW w:w="4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119,137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Goodwill related to the US portion of the business acquired is tax deductible.</w:t>
      </w:r>
    </w:p>
    <w:p>
      <w:pPr>
        <w:ind w:right="280"/>
        <w:spacing w:after="0" w:line="261" w:lineRule="auto"/>
        <w:rPr>
          <w:sz w:val="20"/>
          <w:szCs w:val="20"/>
          <w:color w:val="auto"/>
        </w:rPr>
      </w:pPr>
      <w:r>
        <w:rPr>
          <w:rFonts w:ascii="Arial" w:cs="Arial" w:eastAsia="Arial" w:hAnsi="Arial"/>
          <w:sz w:val="18"/>
          <w:szCs w:val="18"/>
          <w:color w:val="auto"/>
        </w:rPr>
        <w:t>**Adjustments to cash consideration represent certain one-time liabilities (including loan notes) identified at the acquisition date which have subsequently been paid.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Restructuring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5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 restructuring charge of $4.1 million was recognized during the three months ended June 30, 2016 under a restructuring plan adopted following a review by the company of its operations. The restructuring plan includes resource rationalizations in certain areas of the business to improve resource utilization.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restructuring charge recognized in the three and six months ended 30 June 2016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0"/>
              </w:rPr>
              <w:t>June</w:t>
            </w:r>
          </w:p>
        </w:tc>
        <w:tc>
          <w:tcPr>
            <w:tcW w:w="96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0"/>
              </w:rPr>
              <w:t>June</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5"/>
          </w:tcPr>
          <w:p>
            <w:pPr>
              <w:ind w:left="240"/>
              <w:spacing w:after="0" w:line="196" w:lineRule="exact"/>
              <w:rPr>
                <w:sz w:val="20"/>
                <w:szCs w:val="20"/>
                <w:color w:val="auto"/>
              </w:rPr>
            </w:pPr>
            <w:r>
              <w:rPr>
                <w:rFonts w:ascii="Arial" w:cs="Arial" w:eastAsia="Arial" w:hAnsi="Arial"/>
                <w:sz w:val="18"/>
                <w:szCs w:val="18"/>
                <w:b w:val="1"/>
                <w:bCs w:val="1"/>
                <w:color w:val="auto"/>
              </w:rPr>
              <w:t>June</w:t>
            </w:r>
          </w:p>
        </w:tc>
        <w:tc>
          <w:tcPr>
            <w:tcW w:w="4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June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160" w:type="dxa"/>
            <w:vAlign w:val="bottom"/>
            <w:gridSpan w:val="3"/>
          </w:tcPr>
          <w:p>
            <w:pPr>
              <w:jc w:val="right"/>
              <w:ind w:right="820"/>
              <w:spacing w:after="0" w:line="196" w:lineRule="exact"/>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7"/>
                <w:szCs w:val="17"/>
                <w:color w:val="auto"/>
              </w:rPr>
            </w:pPr>
          </w:p>
        </w:tc>
        <w:tc>
          <w:tcPr>
            <w:tcW w:w="4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9"/>
              </w:rPr>
              <w:t>2015</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gridSpan w:val="5"/>
          </w:tcPr>
          <w:p>
            <w:pPr>
              <w:jc w:val="right"/>
              <w:ind w:right="820"/>
              <w:spacing w:after="0" w:line="196" w:lineRule="exact"/>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7"/>
                <w:szCs w:val="17"/>
                <w:color w:val="auto"/>
              </w:rPr>
            </w:pPr>
          </w:p>
        </w:tc>
        <w:tc>
          <w:tcPr>
            <w:tcW w:w="4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84"/>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7"/>
              </w:rPr>
              <w:t>(in thousands)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gridSpan w:val="5"/>
            <w:shd w:val="clear" w:color="auto" w:fill="CCEEFF"/>
          </w:tcPr>
          <w:p>
            <w:pPr>
              <w:jc w:val="right"/>
              <w:ind w:right="820"/>
              <w:spacing w:after="0"/>
              <w:rPr>
                <w:sz w:val="20"/>
                <w:szCs w:val="20"/>
                <w:color w:val="auto"/>
              </w:rPr>
            </w:pPr>
            <w:r>
              <w:rPr>
                <w:rFonts w:ascii="Arial" w:cs="Arial" w:eastAsia="Arial" w:hAnsi="Arial"/>
                <w:sz w:val="18"/>
                <w:szCs w:val="18"/>
                <w:color w:val="auto"/>
              </w:rPr>
              <w:t>4,094</w:t>
            </w:r>
          </w:p>
        </w:tc>
        <w:tc>
          <w:tcPr>
            <w:tcW w:w="18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19"/>
                <w:szCs w:val="19"/>
                <w:color w:val="auto"/>
              </w:rPr>
            </w:pP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gridSpan w:val="5"/>
            <w:shd w:val="clear" w:color="auto" w:fill="CCEEFF"/>
          </w:tcPr>
          <w:p>
            <w:pPr>
              <w:jc w:val="right"/>
              <w:ind w:right="820"/>
              <w:spacing w:after="0"/>
              <w:rPr>
                <w:sz w:val="20"/>
                <w:szCs w:val="20"/>
                <w:color w:val="auto"/>
              </w:rPr>
            </w:pPr>
            <w:r>
              <w:rPr>
                <w:rFonts w:ascii="Arial" w:cs="Arial" w:eastAsia="Arial" w:hAnsi="Arial"/>
                <w:sz w:val="18"/>
                <w:szCs w:val="18"/>
                <w:color w:val="auto"/>
              </w:rPr>
              <w:t>4,094</w:t>
            </w:r>
          </w:p>
        </w:tc>
        <w:tc>
          <w:tcPr>
            <w:tcW w:w="18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9140" w:type="dxa"/>
            <w:vAlign w:val="bottom"/>
            <w:gridSpan w:val="15"/>
          </w:tcPr>
          <w:p>
            <w:pPr>
              <w:spacing w:after="0"/>
              <w:rPr>
                <w:sz w:val="20"/>
                <w:szCs w:val="20"/>
                <w:color w:val="auto"/>
              </w:rPr>
            </w:pPr>
            <w:r>
              <w:rPr>
                <w:rFonts w:ascii="Arial" w:cs="Arial" w:eastAsia="Arial" w:hAnsi="Arial"/>
                <w:sz w:val="18"/>
                <w:szCs w:val="18"/>
                <w:color w:val="auto"/>
                <w:w w:val="90"/>
              </w:rPr>
              <w:t>Details of the movement in the restructuring charge recognized in the three and six months ended 30 June 2016 are as follows;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Workforce</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b w:val="1"/>
                <w:bCs w:val="1"/>
                <w:color w:val="auto"/>
                <w:w w:val="84"/>
              </w:rPr>
              <w:t>reductions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7"/>
          </w:tcPr>
          <w:p>
            <w:pPr>
              <w:jc w:val="right"/>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Initial restructuring charge recorded</w:t>
            </w:r>
          </w:p>
        </w:tc>
        <w:tc>
          <w:tcPr>
            <w:tcW w:w="2000" w:type="dxa"/>
            <w:vAlign w:val="bottom"/>
            <w:shd w:val="clear" w:color="auto" w:fill="CCEEFF"/>
          </w:tcPr>
          <w:p>
            <w:pPr>
              <w:spacing w:after="0"/>
              <w:rPr>
                <w:sz w:val="18"/>
                <w:szCs w:val="18"/>
                <w:color w:val="auto"/>
              </w:rPr>
            </w:pPr>
          </w:p>
        </w:tc>
        <w:tc>
          <w:tcPr>
            <w:tcW w:w="1820" w:type="dxa"/>
            <w:vAlign w:val="bottom"/>
            <w:gridSpan w:val="6"/>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4,094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payments</w:t>
            </w:r>
          </w:p>
        </w:tc>
        <w:tc>
          <w:tcPr>
            <w:tcW w:w="2000" w:type="dxa"/>
            <w:vAlign w:val="bottom"/>
          </w:tcPr>
          <w:p>
            <w:pPr>
              <w:spacing w:after="0"/>
              <w:rPr>
                <w:sz w:val="18"/>
                <w:szCs w:val="18"/>
                <w:color w:val="auto"/>
              </w:rPr>
            </w:pPr>
          </w:p>
        </w:tc>
        <w:tc>
          <w:tcPr>
            <w:tcW w:w="1820" w:type="dxa"/>
            <w:vAlign w:val="bottom"/>
            <w:gridSpan w:val="6"/>
          </w:tcPr>
          <w:p>
            <w:pPr>
              <w:jc w:val="right"/>
              <w:ind w:right="4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0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Provision at June 30, 2016</w:t>
            </w:r>
          </w:p>
        </w:tc>
        <w:tc>
          <w:tcPr>
            <w:tcW w:w="2000" w:type="dxa"/>
            <w:vAlign w:val="bottom"/>
            <w:shd w:val="clear" w:color="auto" w:fill="CCEEFF"/>
          </w:tcPr>
          <w:p>
            <w:pPr>
              <w:spacing w:after="0"/>
              <w:rPr>
                <w:sz w:val="18"/>
                <w:szCs w:val="18"/>
                <w:color w:val="auto"/>
              </w:rPr>
            </w:pPr>
          </w:p>
        </w:tc>
        <w:tc>
          <w:tcPr>
            <w:tcW w:w="1820" w:type="dxa"/>
            <w:vAlign w:val="bottom"/>
            <w:gridSpan w:val="6"/>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3,193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Income Taxes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Income taxes recognized during the three and six months ended June 30, 2016 comprise: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62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2100" w:type="dxa"/>
            <w:vAlign w:val="bottom"/>
            <w:gridSpan w:val="8"/>
          </w:tcPr>
          <w:p>
            <w:pPr>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gridSpan w:val="5"/>
          </w:tcPr>
          <w:p>
            <w:pPr>
              <w:ind w:left="8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8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June 30,</w:t>
            </w:r>
          </w:p>
        </w:tc>
        <w:tc>
          <w:tcPr>
            <w:tcW w:w="520" w:type="dxa"/>
            <w:vAlign w:val="bottom"/>
          </w:tcPr>
          <w:p>
            <w:pPr>
              <w:spacing w:after="0"/>
              <w:rPr>
                <w:sz w:val="17"/>
                <w:szCs w:val="17"/>
                <w:color w:val="auto"/>
              </w:rPr>
            </w:pPr>
          </w:p>
        </w:tc>
        <w:tc>
          <w:tcPr>
            <w:tcW w:w="800" w:type="dxa"/>
            <w:vAlign w:val="bottom"/>
            <w:gridSpan w:val="4"/>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17"/>
                <w:szCs w:val="17"/>
                <w:color w:val="auto"/>
              </w:rPr>
            </w:pPr>
          </w:p>
        </w:tc>
        <w:tc>
          <w:tcPr>
            <w:tcW w:w="80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before restructuring and other items</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10,526</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9,537</w:t>
            </w:r>
          </w:p>
        </w:tc>
        <w:tc>
          <w:tcPr>
            <w:tcW w:w="600" w:type="dxa"/>
            <w:vAlign w:val="bottom"/>
            <w:tcBorders>
              <w:right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20,691</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20,338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impact of restructuring and other items</w:t>
            </w:r>
          </w:p>
        </w:tc>
        <w:tc>
          <w:tcPr>
            <w:tcW w:w="1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(512)</w:t>
            </w: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(512)</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 after restructuring and other items</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10,014</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9,537</w:t>
            </w:r>
          </w:p>
        </w:tc>
        <w:tc>
          <w:tcPr>
            <w:tcW w:w="600" w:type="dxa"/>
            <w:vAlign w:val="bottom"/>
            <w:tcBorders>
              <w:bottom w:val="single" w:sz="8" w:color="auto"/>
              <w:right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20,179</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20,338</w:t>
            </w: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jc w:val="both"/>
        <w:ind w:right="20"/>
        <w:spacing w:after="0" w:line="312" w:lineRule="auto"/>
        <w:rPr>
          <w:sz w:val="20"/>
          <w:szCs w:val="20"/>
          <w:color w:val="auto"/>
        </w:rPr>
      </w:pPr>
      <w:r>
        <w:rPr>
          <w:rFonts w:ascii="Arial" w:cs="Arial" w:eastAsia="Arial" w:hAnsi="Arial"/>
          <w:sz w:val="16"/>
          <w:szCs w:val="16"/>
          <w:color w:val="auto"/>
        </w:rPr>
        <w:t>As at June 30, 2016 the Company maintains a $31.1 million liability (December 31, 2015: $31.4 million) for unrecognized tax benefit, which is comprised of $27.6 million (December 31, 2015: $28.1 million) related to items generating unrecognized tax benefits and $3.5 million (December 31, 2015: $3.3 million) for interest and related penalties to such items. The Company recognizes interest accrued on unrecognized tax benefits as an additional income tax expense.</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2011 through 2015 tax years. The Company does not believe that the outcome of any examination will have a material impact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72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640" w:type="dxa"/>
            <w:vAlign w:val="bottom"/>
            <w:gridSpan w:val="5"/>
          </w:tcPr>
          <w:p>
            <w:pPr>
              <w:ind w:left="740"/>
              <w:spacing w:after="0" w:line="196" w:lineRule="exact"/>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7"/>
                <w:szCs w:val="17"/>
                <w:color w:val="auto"/>
              </w:rPr>
            </w:pPr>
          </w:p>
        </w:tc>
        <w:tc>
          <w:tcPr>
            <w:tcW w:w="920" w:type="dxa"/>
            <w:vAlign w:val="bottom"/>
            <w:gridSpan w:val="4"/>
          </w:tcPr>
          <w:p>
            <w:pPr>
              <w:jc w:val="right"/>
              <w:ind w:right="280"/>
              <w:spacing w:after="0" w:line="196" w:lineRule="exact"/>
              <w:rPr>
                <w:sz w:val="20"/>
                <w:szCs w:val="20"/>
                <w:color w:val="auto"/>
              </w:rPr>
            </w:pPr>
            <w:r>
              <w:rPr>
                <w:rFonts w:ascii="Arial" w:cs="Arial" w:eastAsia="Arial" w:hAnsi="Arial"/>
                <w:sz w:val="18"/>
                <w:szCs w:val="18"/>
                <w:b w:val="1"/>
                <w:bCs w:val="1"/>
                <w:color w:val="auto"/>
                <w:w w:val="85"/>
              </w:rPr>
              <w:t>June 30,</w:t>
            </w:r>
          </w:p>
        </w:tc>
        <w:tc>
          <w:tcPr>
            <w:tcW w:w="1180" w:type="dxa"/>
            <w:vAlign w:val="bottom"/>
            <w:gridSpan w:val="5"/>
          </w:tcPr>
          <w:p>
            <w:pPr>
              <w:ind w:left="4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04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74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4"/>
          </w:tcPr>
          <w:p>
            <w:pPr>
              <w:jc w:val="right"/>
              <w:ind w:right="280"/>
              <w:spacing w:after="0" w:line="196" w:lineRule="exact"/>
              <w:rPr>
                <w:sz w:val="20"/>
                <w:szCs w:val="20"/>
                <w:color w:val="auto"/>
              </w:rPr>
            </w:pPr>
            <w:r>
              <w:rPr>
                <w:rFonts w:ascii="Arial" w:cs="Arial" w:eastAsia="Arial" w:hAnsi="Arial"/>
                <w:sz w:val="18"/>
                <w:szCs w:val="18"/>
                <w:b w:val="1"/>
                <w:bCs w:val="1"/>
                <w:color w:val="auto"/>
              </w:rPr>
              <w:t>2016</w:t>
            </w:r>
          </w:p>
        </w:tc>
        <w:tc>
          <w:tcPr>
            <w:tcW w:w="11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outstanding for</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ordinary share</w:t>
            </w:r>
          </w:p>
        </w:tc>
        <w:tc>
          <w:tcPr>
            <w:tcW w:w="2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55,318,923</w:t>
            </w:r>
          </w:p>
        </w:tc>
        <w:tc>
          <w:tcPr>
            <w:tcW w:w="16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60,244,982</w:t>
            </w:r>
          </w:p>
        </w:tc>
        <w:tc>
          <w:tcPr>
            <w:tcW w:w="13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55,164,971</w:t>
            </w:r>
          </w:p>
        </w:tc>
        <w:tc>
          <w:tcPr>
            <w:tcW w:w="11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60,263,021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spacing w:after="0" w:line="201" w:lineRule="exact"/>
              <w:rPr>
                <w:sz w:val="20"/>
                <w:szCs w:val="20"/>
                <w:color w:val="auto"/>
              </w:rPr>
            </w:pPr>
            <w:r>
              <w:rPr>
                <w:rFonts w:ascii="Arial" w:cs="Arial" w:eastAsia="Arial" w:hAnsi="Arial"/>
                <w:sz w:val="18"/>
                <w:szCs w:val="18"/>
                <w:color w:val="auto"/>
              </w:rPr>
              <w:t>Effect of dilutive share options</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outstanding</w:t>
            </w: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1,261,876</w:t>
            </w: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1,556,705</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color w:val="auto"/>
              </w:rPr>
              <w:t>1,262,545</w:t>
            </w:r>
          </w:p>
        </w:tc>
        <w:tc>
          <w:tcPr>
            <w:tcW w:w="11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1,586,305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outstanding for</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net income per ordinary share</w:t>
            </w:r>
          </w:p>
        </w:tc>
        <w:tc>
          <w:tcPr>
            <w:tcW w:w="26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56,580,799</w:t>
            </w:r>
          </w:p>
        </w:tc>
        <w:tc>
          <w:tcPr>
            <w:tcW w:w="1640" w:type="dxa"/>
            <w:vAlign w:val="bottom"/>
            <w:tcBorders>
              <w:bottom w:val="single" w:sz="8" w:color="auto"/>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61,801,687</w:t>
            </w:r>
          </w:p>
        </w:tc>
        <w:tc>
          <w:tcPr>
            <w:tcW w:w="1360" w:type="dxa"/>
            <w:vAlign w:val="bottom"/>
            <w:tcBorders>
              <w:bottom w:val="single" w:sz="8" w:color="auto"/>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56,427,516</w:t>
            </w:r>
          </w:p>
        </w:tc>
        <w:tc>
          <w:tcPr>
            <w:tcW w:w="11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61,849,326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Each option granted under the 2008 Employee Plan or the 2008 Consultants Plan (together the “2008 Option Plans”) will be an employee stock option, or Non-qualifying Stock Options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June 30, 2016 is eight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six months ended June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98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98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98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98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3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2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1,626,582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11.94</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256,191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69.61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20.10</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Exercised</w:t>
            </w:r>
          </w:p>
        </w:tc>
        <w:tc>
          <w:tcPr>
            <w:tcW w:w="2980" w:type="dxa"/>
            <w:vAlign w:val="bottom"/>
          </w:tcPr>
          <w:p>
            <w:pPr>
              <w:jc w:val="right"/>
              <w:spacing w:after="0"/>
              <w:rPr>
                <w:sz w:val="20"/>
                <w:szCs w:val="20"/>
                <w:color w:val="auto"/>
              </w:rPr>
            </w:pPr>
            <w:r>
              <w:rPr>
                <w:rFonts w:ascii="Arial" w:cs="Arial" w:eastAsia="Arial" w:hAnsi="Arial"/>
                <w:sz w:val="18"/>
                <w:szCs w:val="18"/>
                <w:color w:val="auto"/>
              </w:rPr>
              <w:t>(93,168)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23.10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9.35</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22.48</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9.57</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June 30, 2016</w:t>
            </w:r>
          </w:p>
        </w:tc>
        <w:tc>
          <w:tcPr>
            <w:tcW w:w="2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1,779,840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40.55</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13.26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June 30, 2016</w:t>
            </w:r>
          </w:p>
        </w:tc>
        <w:tc>
          <w:tcPr>
            <w:tcW w:w="2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886,188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28.36</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outstanding options with fair values ranging from $5.88 to $20.78 per option or a weighted average fair value of $10.62 per option. The Company issues ordinary shares for all options exercised. The total amount of fully vested share options which remained outstanding at June 30, 2016, was 886,188. Fully vested share options at June 30, 2016, have an average remaining contractual term of 3.50 years, an average exercise price of $28.36 and a total intrinsic value of $36.9 million. The total intrinsic value of options exercised during the six months ended June 30, 2016 was $4.1 million (June 30, 2015: $12.6 million).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The following table summarizes the movement in non-vested share options for the six months ended June 30, 2016:</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Average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Exercise Price</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2015</w:t>
            </w:r>
          </w:p>
        </w:tc>
        <w:tc>
          <w:tcPr>
            <w:tcW w:w="3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968,853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256,191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Vested</w:t>
            </w:r>
          </w:p>
        </w:tc>
        <w:tc>
          <w:tcPr>
            <w:tcW w:w="3260" w:type="dxa"/>
            <w:vAlign w:val="bottom"/>
          </w:tcPr>
          <w:p>
            <w:pPr>
              <w:jc w:val="right"/>
              <w:spacing w:after="0"/>
              <w:rPr>
                <w:sz w:val="20"/>
                <w:szCs w:val="20"/>
                <w:color w:val="auto"/>
              </w:rPr>
            </w:pPr>
            <w:r>
              <w:rPr>
                <w:rFonts w:ascii="Arial" w:cs="Arial" w:eastAsia="Arial" w:hAnsi="Arial"/>
                <w:sz w:val="18"/>
                <w:szCs w:val="18"/>
                <w:color w:val="auto"/>
              </w:rPr>
              <w:t>(324,315)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June 30, 2016</w:t>
            </w:r>
          </w:p>
        </w:tc>
        <w:tc>
          <w:tcPr>
            <w:tcW w:w="3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893,652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432"/>
        </w:trPr>
        <w:tc>
          <w:tcPr>
            <w:tcW w:w="5480" w:type="dxa"/>
            <w:vAlign w:val="bottom"/>
            <w:gridSpan w:val="2"/>
          </w:tcPr>
          <w:p>
            <w:pPr>
              <w:spacing w:after="0"/>
              <w:rPr>
                <w:sz w:val="20"/>
                <w:szCs w:val="20"/>
                <w:color w:val="auto"/>
              </w:rPr>
            </w:pPr>
            <w:r>
              <w:rPr>
                <w:rFonts w:ascii="Arial" w:cs="Arial" w:eastAsia="Arial" w:hAnsi="Arial"/>
                <w:sz w:val="18"/>
                <w:szCs w:val="18"/>
                <w:i w:val="1"/>
                <w:iCs w:val="1"/>
                <w:color w:val="auto"/>
              </w:rPr>
              <w:t>Fair value of Stock Options Assumptions</w:t>
            </w:r>
          </w:p>
        </w:tc>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fair value of options granted during the six months ended June 30, 2016 and June 30, 2015 was calculated using the Black-Scholes option pricing model. The weighted average fair values and assumptions used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7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8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Assumptions:</w:t>
            </w:r>
          </w:p>
        </w:tc>
        <w:tc>
          <w:tcPr>
            <w:tcW w:w="4380" w:type="dxa"/>
            <w:vAlign w:val="bottom"/>
            <w:tcBorders>
              <w:bottom w:val="single" w:sz="8" w:color="CCEEFF"/>
            </w:tcBorders>
            <w:shd w:val="clear" w:color="auto" w:fill="CCEEFF"/>
          </w:tcPr>
          <w:p>
            <w:pPr>
              <w:spacing w:after="0"/>
              <w:rPr>
                <w:sz w:val="17"/>
                <w:szCs w:val="17"/>
                <w:color w:val="auto"/>
              </w:rPr>
            </w:pPr>
          </w:p>
        </w:tc>
        <w:tc>
          <w:tcPr>
            <w:tcW w:w="38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84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8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84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8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4"/>
              </w:rPr>
              <w:t>5 years</w:t>
            </w:r>
          </w:p>
        </w:tc>
        <w:tc>
          <w:tcPr>
            <w:tcW w:w="3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5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ind w:right="540"/>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six months ended June 30,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PSU</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PSU</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PSU</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Average</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RSU</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RSU</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Remaining</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Contractual</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Life</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901,773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48.33</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1.22</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1,067,613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48.30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247,992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71.58</w:t>
            </w: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368,889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66.81</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Shares vested</w:t>
            </w:r>
          </w:p>
        </w:tc>
        <w:tc>
          <w:tcPr>
            <w:tcW w:w="1620" w:type="dxa"/>
            <w:vAlign w:val="bottom"/>
          </w:tcPr>
          <w:p>
            <w:pPr>
              <w:jc w:val="right"/>
              <w:spacing w:after="0"/>
              <w:rPr>
                <w:sz w:val="20"/>
                <w:szCs w:val="20"/>
                <w:color w:val="auto"/>
              </w:rPr>
            </w:pPr>
            <w:r>
              <w:rPr>
                <w:rFonts w:ascii="Arial" w:cs="Arial" w:eastAsia="Arial" w:hAnsi="Arial"/>
                <w:sz w:val="18"/>
                <w:szCs w:val="18"/>
                <w:color w:val="auto"/>
              </w:rPr>
              <w:t>(253,602)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32.38</w:t>
            </w:r>
          </w:p>
        </w:tc>
        <w:tc>
          <w:tcPr>
            <w:tcW w:w="1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(153,945)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35.33</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31.49</w:t>
            </w:r>
          </w:p>
        </w:tc>
        <w:tc>
          <w:tcPr>
            <w:tcW w:w="1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49.68</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June 30, 2016</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895,727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57.78</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1.42</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1,225,226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55.44</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six months ended June 30, 2016 totaled $5.4 million (full year 2015: $7.0 million).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PSUs vested for the six months ended June 30, 2016 totaled $8.2 million (the fair value of PSUs vested for the full year 2015 was $0.3 million).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PSUs vest based on service and specified EPS targets over the period 2013 – 2016, 2014 – 2017, 2015 – 2018 and 2016 - 2019. Since 2013, 482,626 PSUs (net of forfeitures) have been granted. Depending on the actual amount of EPS from 2013 to 2019, up to an additional 413,101 PSUs may also be granted.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 for the three and six months ended June 30, 2016 has been allocated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40" w:type="dxa"/>
            <w:vAlign w:val="bottom"/>
            <w:gridSpan w:val="7"/>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4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0"/>
              </w:rPr>
              <w:t>Six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0"/>
              </w:rPr>
              <w:t>June</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0"/>
              </w:rPr>
              <w:t>June</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Borders>
              <w:top w:val="single" w:sz="8" w:color="auto"/>
            </w:tcBorders>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June</w:t>
            </w: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June</w:t>
            </w:r>
          </w:p>
        </w:tc>
      </w:tr>
      <w:tr>
        <w:trPr>
          <w:trHeight w:val="20"/>
        </w:trPr>
        <w:tc>
          <w:tcPr>
            <w:tcW w:w="4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r>
      <w:tr>
        <w:trPr>
          <w:trHeight w:val="20"/>
        </w:trPr>
        <w:tc>
          <w:tcPr>
            <w:tcW w:w="4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2015</w:t>
            </w:r>
          </w:p>
        </w:tc>
      </w:tr>
      <w:tr>
        <w:trPr>
          <w:trHeight w:val="20"/>
        </w:trPr>
        <w:tc>
          <w:tcPr>
            <w:tcW w:w="4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87"/>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4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3"/>
              </w:rPr>
              <w:t>4,636</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11,075</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7,966</w:t>
            </w:r>
          </w:p>
        </w:tc>
      </w:tr>
      <w:tr>
        <w:trPr>
          <w:trHeight w:val="223"/>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20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5,309</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3"/>
              </w:rPr>
              <w:t>4,333</w:t>
            </w:r>
          </w:p>
        </w:tc>
        <w:tc>
          <w:tcPr>
            <w:tcW w:w="6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9,615</w:t>
            </w: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7,046</w:t>
            </w:r>
          </w:p>
        </w:tc>
      </w:tr>
      <w:tr>
        <w:trPr>
          <w:trHeight w:val="216"/>
        </w:trPr>
        <w:tc>
          <w:tcPr>
            <w:tcW w:w="4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3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11,099</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3"/>
              </w:rPr>
              <w:t>8,969</w:t>
            </w:r>
          </w:p>
        </w:tc>
        <w:tc>
          <w:tcPr>
            <w:tcW w:w="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20,690</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0"/>
              </w:rPr>
              <w:t>15,012</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non-cash stock compensation expense not yet recognized at June 30, 2016 amounted to $87.9 million. The weighted average period over which this is expected to be recognized is 2.4 years . Total tax benefit recognized in additional paid in capital related to the non-cash compensation expense amounted to $2.3 million for the six months ended June 30, 2016 (June 30, 2015: $2.5 million).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8. Business Segment Information</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Chief Financial Officer and Chief Operating Officer, who together are considered the Company’s chief operating decision maker, in accordance with FASB ASC 280-10 </w:t>
      </w:r>
      <w:r>
        <w:rPr>
          <w:rFonts w:ascii="Arial" w:cs="Arial" w:eastAsia="Arial" w:hAnsi="Arial"/>
          <w:sz w:val="18"/>
          <w:szCs w:val="18"/>
          <w:i w:val="1"/>
          <w:iCs w:val="1"/>
          <w:color w:val="auto"/>
        </w:rPr>
        <w:t>Disclosures about Segments of an Enterprises and Related Information</w:t>
      </w:r>
      <w:r>
        <w:rPr>
          <w:rFonts w:ascii="Arial" w:cs="Arial" w:eastAsia="Arial" w:hAnsi="Arial"/>
          <w:sz w:val="18"/>
          <w:szCs w:val="18"/>
          <w:color w:val="auto"/>
        </w:rPr>
        <w:t>.</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As such it enters into the majority of the Company’s customer contracts.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 up for the services they perform in each of their local territories. The cost plus mark 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net revenues of the Group after deducting the cost plus revenues attributable to the activities performed outside Ireland.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areas of operation outside of Ireland include the United States, United Kingdom, France, Germany, Italy, Spain, The Netherlands, Sweden, Turkey, Poland, Czech Republic, Latvia, Russia, Ukraine, Hungary, Israel, Romania, Switzerland, Canada, Mexico, Brazil, Colombia, Argentina, Chile, Peru, India, China, South Korea, Japan, Thailand, Taiwan, Singapore, The Philippines, Australia, New Zealand, and South Africa.</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Segment information as at June 30, 2016 and December 31, 2015 and for the three and six months ended June 30, 2016 and June 30, 2015 is as follows: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a) The distribution of net revenue by geographical area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95,653</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105,413</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196,488</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219,503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Rest of Europe</w:t>
            </w:r>
          </w:p>
        </w:tc>
        <w:tc>
          <w:tcPr>
            <w:tcW w:w="2780" w:type="dxa"/>
            <w:vAlign w:val="bottom"/>
          </w:tcPr>
          <w:p>
            <w:pPr>
              <w:spacing w:after="0"/>
              <w:rPr>
                <w:sz w:val="18"/>
                <w:szCs w:val="18"/>
                <w:color w:val="auto"/>
              </w:rPr>
            </w:pPr>
          </w:p>
        </w:tc>
        <w:tc>
          <w:tcPr>
            <w:tcW w:w="1000" w:type="dxa"/>
            <w:vAlign w:val="bottom"/>
            <w:gridSpan w:val="5"/>
          </w:tcPr>
          <w:p>
            <w:pPr>
              <w:jc w:val="right"/>
              <w:ind w:right="120"/>
              <w:spacing w:after="0"/>
              <w:rPr>
                <w:sz w:val="20"/>
                <w:szCs w:val="20"/>
                <w:color w:val="auto"/>
              </w:rPr>
            </w:pPr>
            <w:r>
              <w:rPr>
                <w:rFonts w:ascii="Arial" w:cs="Arial" w:eastAsia="Arial" w:hAnsi="Arial"/>
                <w:sz w:val="18"/>
                <w:szCs w:val="18"/>
                <w:color w:val="auto"/>
              </w:rPr>
              <w:t>79,436</w:t>
            </w: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78,540</w:t>
            </w: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155,078</w:t>
            </w:r>
          </w:p>
        </w:tc>
        <w:tc>
          <w:tcPr>
            <w:tcW w:w="5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162,628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7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193,377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164,300</w:t>
            </w: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377,467</w:t>
            </w:r>
          </w:p>
        </w:tc>
        <w:tc>
          <w:tcPr>
            <w:tcW w:w="5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314,364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42,164</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40,404</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82,119</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80,393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w:t>
            </w:r>
          </w:p>
        </w:tc>
        <w:tc>
          <w:tcPr>
            <w:tcW w:w="2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410,630</w:t>
            </w:r>
          </w:p>
        </w:tc>
        <w:tc>
          <w:tcPr>
            <w:tcW w:w="120" w:type="dxa"/>
            <w:vAlign w:val="bottom"/>
          </w:tcPr>
          <w:p>
            <w:pPr>
              <w:spacing w:after="0"/>
              <w:rPr>
                <w:sz w:val="20"/>
                <w:szCs w:val="20"/>
                <w:color w:val="auto"/>
              </w:rPr>
            </w:pP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388,657</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811,152</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776,888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60" w:hanging="142"/>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43"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distribution of income from operations, including restructuring, by geographical area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62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54,597</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49,436</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114,148</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97,002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Rest of Europe</w:t>
            </w:r>
          </w:p>
        </w:tc>
        <w:tc>
          <w:tcPr>
            <w:tcW w:w="28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3,521</w:t>
            </w: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8,307</w:t>
            </w:r>
          </w:p>
        </w:tc>
        <w:tc>
          <w:tcPr>
            <w:tcW w:w="5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8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12,592</w:t>
            </w: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22,610</w:t>
            </w:r>
          </w:p>
        </w:tc>
        <w:tc>
          <w:tcPr>
            <w:tcW w:w="5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22,447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2,641</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2,582</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4,872</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73,927</w:t>
            </w: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68,131</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5"/>
              </w:rPr>
              <w:t>149,937</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134,805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The distribution of income from operations, excluding restructuring,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0" w:type="dxa"/>
            <w:vAlign w:val="bottom"/>
            <w:gridSpan w:val="11"/>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gridSpan w:val="10"/>
          </w:tcPr>
          <w:p>
            <w:pPr>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58,326</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49,436</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117,877</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97,002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Rest of Europe</w:t>
            </w:r>
          </w:p>
        </w:tc>
        <w:tc>
          <w:tcPr>
            <w:tcW w:w="29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5,171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3,521</w:t>
            </w:r>
          </w:p>
        </w:tc>
        <w:tc>
          <w:tcPr>
            <w:tcW w:w="6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8,615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9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12,592</w:t>
            </w: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22,610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22,447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9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2,698</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2,582</w:t>
            </w: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4,929</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78,021</w:t>
            </w: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68,131</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154,031</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134,805</w:t>
            </w:r>
          </w:p>
        </w:tc>
        <w:tc>
          <w:tcPr>
            <w:tcW w:w="0" w:type="dxa"/>
            <w:vAlign w:val="bottom"/>
          </w:tcPr>
          <w:p>
            <w:pPr>
              <w:spacing w:after="0"/>
              <w:rPr>
                <w:sz w:val="1"/>
                <w:szCs w:val="1"/>
                <w:color w:val="auto"/>
              </w:rPr>
            </w:pPr>
          </w:p>
        </w:tc>
      </w:tr>
      <w:tr>
        <w:trPr>
          <w:trHeight w:val="459"/>
        </w:trPr>
        <w:tc>
          <w:tcPr>
            <w:tcW w:w="7360" w:type="dxa"/>
            <w:vAlign w:val="bottom"/>
            <w:gridSpan w:val="8"/>
          </w:tcPr>
          <w:p>
            <w:pPr>
              <w:spacing w:after="0"/>
              <w:rPr>
                <w:sz w:val="20"/>
                <w:szCs w:val="20"/>
                <w:color w:val="auto"/>
              </w:rPr>
            </w:pPr>
            <w:r>
              <w:rPr>
                <w:rFonts w:ascii="Arial" w:cs="Arial" w:eastAsia="Arial" w:hAnsi="Arial"/>
                <w:sz w:val="18"/>
                <w:szCs w:val="18"/>
                <w:color w:val="auto"/>
                <w:w w:val="98"/>
              </w:rPr>
              <w:t>d) The distribution of property, plant and equipment, net, by geographical area was as follows:</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24"/>
                <w:szCs w:val="24"/>
                <w:color w:val="auto"/>
              </w:rPr>
            </w:pPr>
          </w:p>
        </w:tc>
        <w:tc>
          <w:tcPr>
            <w:tcW w:w="116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105,892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Rest of Europe</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7,117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31,750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34,520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6,228</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150,987</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150,218</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960" w:type="dxa"/>
            <w:vAlign w:val="bottom"/>
          </w:tcPr>
          <w:p>
            <w:pPr>
              <w:jc w:val="right"/>
              <w:ind w:right="43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4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e) The distribution of depreciation and amortization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62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60" w:type="dxa"/>
            <w:vAlign w:val="bottom"/>
            <w:gridSpan w:val="11"/>
          </w:tcPr>
          <w:p>
            <w:pPr>
              <w:jc w:val="center"/>
              <w:ind w:right="68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4,915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12,558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9,828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Rest of Europe</w:t>
            </w:r>
          </w:p>
        </w:tc>
        <w:tc>
          <w:tcPr>
            <w:tcW w:w="9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1,946</w:t>
            </w:r>
          </w:p>
        </w:tc>
        <w:tc>
          <w:tcPr>
            <w:tcW w:w="3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5"/>
          </w:tcPr>
          <w:p>
            <w:pPr>
              <w:jc w:val="right"/>
              <w:ind w:right="80"/>
              <w:spacing w:after="0"/>
              <w:rPr>
                <w:sz w:val="20"/>
                <w:szCs w:val="20"/>
                <w:color w:val="auto"/>
              </w:rPr>
            </w:pPr>
            <w:r>
              <w:rPr>
                <w:rFonts w:ascii="Arial" w:cs="Arial" w:eastAsia="Arial" w:hAnsi="Arial"/>
                <w:sz w:val="18"/>
                <w:szCs w:val="18"/>
                <w:color w:val="auto"/>
              </w:rPr>
              <w:t>4,214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6,417</w:t>
            </w:r>
          </w:p>
        </w:tc>
        <w:tc>
          <w:tcPr>
            <w:tcW w:w="3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12,135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9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966</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1,992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14,457</w:t>
            </w: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14,244</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29,577</w:t>
            </w: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28,169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560" w:type="dxa"/>
            <w:vAlign w:val="bottom"/>
            <w:gridSpan w:val="2"/>
          </w:tcPr>
          <w:p>
            <w:pPr>
              <w:spacing w:after="0"/>
              <w:rPr>
                <w:sz w:val="20"/>
                <w:szCs w:val="20"/>
                <w:color w:val="auto"/>
              </w:rPr>
            </w:pPr>
            <w:r>
              <w:rPr>
                <w:rFonts w:ascii="Arial" w:cs="Arial" w:eastAsia="Arial" w:hAnsi="Arial"/>
                <w:sz w:val="18"/>
                <w:szCs w:val="18"/>
                <w:color w:val="auto"/>
                <w:w w:val="99"/>
              </w:rPr>
              <w:t>f) The distribution of total assets by geographical area was as follows:</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24"/>
                <w:szCs w:val="24"/>
                <w:color w:val="auto"/>
              </w:rPr>
            </w:pPr>
          </w:p>
        </w:tc>
        <w:tc>
          <w:tcPr>
            <w:tcW w:w="116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6"/>
          </w:tcPr>
          <w:p>
            <w:pPr>
              <w:jc w:val="right"/>
              <w:ind w:right="2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60" w:type="dxa"/>
            <w:vAlign w:val="bottom"/>
            <w:gridSpan w:val="11"/>
          </w:tcPr>
          <w:p>
            <w:pPr>
              <w:jc w:val="center"/>
              <w:ind w:right="64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620,924</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663,060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Rest of Europe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421,570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5"/>
          </w:tcPr>
          <w:p>
            <w:pPr>
              <w:jc w:val="right"/>
              <w:ind w:right="80"/>
              <w:spacing w:after="0"/>
              <w:rPr>
                <w:sz w:val="20"/>
                <w:szCs w:val="20"/>
                <w:color w:val="auto"/>
              </w:rPr>
            </w:pPr>
            <w:r>
              <w:rPr>
                <w:rFonts w:ascii="Arial" w:cs="Arial" w:eastAsia="Arial" w:hAnsi="Arial"/>
                <w:sz w:val="18"/>
                <w:szCs w:val="18"/>
                <w:color w:val="auto"/>
              </w:rPr>
              <w:t>343,733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619,866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641,769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87,880</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68,647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1,750,240</w:t>
            </w:r>
          </w:p>
        </w:tc>
        <w:tc>
          <w:tcPr>
            <w:tcW w:w="100" w:type="dxa"/>
            <w:vAlign w:val="bottom"/>
          </w:tcPr>
          <w:p>
            <w:pPr>
              <w:spacing w:after="0"/>
              <w:rPr>
                <w:sz w:val="20"/>
                <w:szCs w:val="20"/>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5"/>
          </w:tcPr>
          <w:p>
            <w:pPr>
              <w:jc w:val="right"/>
              <w:ind w:right="80"/>
              <w:spacing w:after="0"/>
              <w:rPr>
                <w:sz w:val="20"/>
                <w:szCs w:val="20"/>
                <w:color w:val="auto"/>
              </w:rPr>
            </w:pPr>
            <w:r>
              <w:rPr>
                <w:rFonts w:ascii="Arial" w:cs="Arial" w:eastAsia="Arial" w:hAnsi="Arial"/>
                <w:sz w:val="18"/>
                <w:szCs w:val="18"/>
                <w:color w:val="auto"/>
              </w:rPr>
              <w:t>1,717,209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20" w:hanging="2"/>
        <w:spacing w:after="0" w:line="275" w:lineRule="auto"/>
        <w:tabs>
          <w:tab w:leader="none" w:pos="66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December 31, 2015 Balance Sheet has been retrospectively restated as required to reflect the requirements of new guidance in respect of the presentation of debt issue costs.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ICON plc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2015.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2016, we employed approximately 12,346 employees, in 89 locations in 37 countries. During the six months ended June 30, 2016 we derived approximately 46.6%, 43.3% and 10.1% of our net revenue in the United States, Europe and Rest of World respectively.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June 30, 2016 we had a backlog of approximately $4.0 billion, compared with approximately $3.9 billion at December 31, 2015.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jc w:val="both"/>
        <w:spacing w:after="0" w:line="273" w:lineRule="auto"/>
        <w:rPr>
          <w:sz w:val="20"/>
          <w:szCs w:val="20"/>
          <w:color w:val="auto"/>
        </w:rPr>
      </w:pPr>
      <w:r>
        <w:rPr>
          <w:rFonts w:ascii="Arial" w:cs="Arial" w:eastAsia="Arial" w:hAnsi="Arial"/>
          <w:sz w:val="19"/>
          <w:szCs w:val="19"/>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19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compared with Three Months Ended June 30, 2015</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60" w:type="dxa"/>
            <w:vAlign w:val="bottom"/>
            <w:gridSpan w:val="9"/>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760" w:type="dxa"/>
            <w:vAlign w:val="bottom"/>
          </w:tcPr>
          <w:p>
            <w:pPr>
              <w:spacing w:after="0"/>
              <w:rPr>
                <w:sz w:val="17"/>
                <w:szCs w:val="17"/>
                <w:color w:val="auto"/>
              </w:rPr>
            </w:pPr>
          </w:p>
        </w:tc>
        <w:tc>
          <w:tcPr>
            <w:tcW w:w="6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360" w:type="dxa"/>
            <w:vAlign w:val="bottom"/>
          </w:tcPr>
          <w:p>
            <w:pPr>
              <w:spacing w:after="0"/>
              <w:rPr>
                <w:sz w:val="17"/>
                <w:szCs w:val="17"/>
                <w:color w:val="auto"/>
              </w:rPr>
            </w:pPr>
          </w:p>
        </w:tc>
        <w:tc>
          <w:tcPr>
            <w:tcW w:w="680" w:type="dxa"/>
            <w:vAlign w:val="bottom"/>
            <w:gridSpan w:val="5"/>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4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760" w:type="dxa"/>
            <w:vAlign w:val="bottom"/>
          </w:tcPr>
          <w:p>
            <w:pPr>
              <w:spacing w:after="0"/>
              <w:rPr>
                <w:sz w:val="17"/>
                <w:szCs w:val="17"/>
                <w:color w:val="auto"/>
              </w:rPr>
            </w:pPr>
          </w:p>
        </w:tc>
        <w:tc>
          <w:tcPr>
            <w:tcW w:w="1000" w:type="dxa"/>
            <w:vAlign w:val="bottom"/>
            <w:gridSpan w:val="5"/>
          </w:tcPr>
          <w:p>
            <w:pPr>
              <w:jc w:val="right"/>
              <w:ind w:right="360"/>
              <w:spacing w:after="0" w:line="196" w:lineRule="exact"/>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w w:val="86"/>
              </w:rPr>
              <w:t>to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8"/>
          </w:tcPr>
          <w:p>
            <w:pPr>
              <w:jc w:val="right"/>
              <w:ind w:right="220"/>
              <w:spacing w:after="0" w:line="196"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160" w:type="dxa"/>
            <w:vAlign w:val="bottom"/>
            <w:gridSpan w:val="10"/>
          </w:tcPr>
          <w:p>
            <w:pPr>
              <w:jc w:val="right"/>
              <w:ind w:right="600"/>
              <w:spacing w:after="0" w:line="196" w:lineRule="exact"/>
              <w:rPr>
                <w:sz w:val="20"/>
                <w:szCs w:val="20"/>
                <w:color w:val="auto"/>
              </w:rPr>
            </w:pPr>
            <w:r>
              <w:rPr>
                <w:rFonts w:ascii="Arial" w:cs="Arial" w:eastAsia="Arial" w:hAnsi="Arial"/>
                <w:sz w:val="18"/>
                <w:szCs w:val="18"/>
                <w:b w:val="1"/>
                <w:bCs w:val="1"/>
                <w:color w:val="auto"/>
              </w:rPr>
              <w:t>Percentage of Net Revenue</w:t>
            </w:r>
          </w:p>
        </w:tc>
        <w:tc>
          <w:tcPr>
            <w:tcW w:w="2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w w:val="87"/>
              </w:rPr>
              <w:t>Increase/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6"/>
          </w:tcPr>
          <w:p>
            <w:pPr>
              <w:jc w:val="right"/>
              <w:ind w:right="220"/>
              <w:spacing w:after="0" w:line="196" w:lineRule="exact"/>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4160" w:type="dxa"/>
            <w:vAlign w:val="bottom"/>
            <w:tcBorders>
              <w:bottom w:val="single" w:sz="8" w:color="auto"/>
            </w:tcBorders>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000" w:type="dxa"/>
            <w:vAlign w:val="bottom"/>
            <w:tcBorders>
              <w:bottom w:val="single" w:sz="8" w:color="auto"/>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Costs and expenses:</w:t>
            </w:r>
          </w:p>
        </w:tc>
        <w:tc>
          <w:tcPr>
            <w:tcW w:w="354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4160" w:type="dxa"/>
            <w:vAlign w:val="bottom"/>
            <w:gridSpan w:val="5"/>
          </w:tcPr>
          <w:p>
            <w:pPr>
              <w:jc w:val="right"/>
              <w:ind w:right="620"/>
              <w:spacing w:after="0"/>
              <w:rPr>
                <w:sz w:val="20"/>
                <w:szCs w:val="20"/>
                <w:color w:val="auto"/>
              </w:rPr>
            </w:pPr>
            <w:r>
              <w:rPr>
                <w:rFonts w:ascii="Arial" w:cs="Arial" w:eastAsia="Arial" w:hAnsi="Arial"/>
                <w:sz w:val="18"/>
                <w:szCs w:val="18"/>
                <w:color w:val="auto"/>
              </w:rPr>
              <w:t>58.0%</w:t>
            </w:r>
          </w:p>
        </w:tc>
        <w:tc>
          <w:tcPr>
            <w:tcW w:w="1000" w:type="dxa"/>
            <w:vAlign w:val="bottom"/>
            <w:gridSpan w:val="5"/>
          </w:tcPr>
          <w:p>
            <w:pPr>
              <w:jc w:val="right"/>
              <w:ind w:right="220"/>
              <w:spacing w:after="0"/>
              <w:rPr>
                <w:sz w:val="20"/>
                <w:szCs w:val="20"/>
                <w:color w:val="auto"/>
              </w:rPr>
            </w:pPr>
            <w:r>
              <w:rPr>
                <w:rFonts w:ascii="Arial" w:cs="Arial" w:eastAsia="Arial" w:hAnsi="Arial"/>
                <w:sz w:val="18"/>
                <w:szCs w:val="18"/>
                <w:color w:val="auto"/>
              </w:rPr>
              <w:t>57.9%</w:t>
            </w:r>
          </w:p>
        </w:tc>
        <w:tc>
          <w:tcPr>
            <w:tcW w:w="1260" w:type="dxa"/>
            <w:vAlign w:val="bottom"/>
            <w:gridSpan w:val="8"/>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16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19.5%</w:t>
            </w:r>
          </w:p>
        </w:tc>
        <w:tc>
          <w:tcPr>
            <w:tcW w:w="10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12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4160" w:type="dxa"/>
            <w:vAlign w:val="bottom"/>
            <w:gridSpan w:val="5"/>
          </w:tcPr>
          <w:p>
            <w:pPr>
              <w:jc w:val="right"/>
              <w:ind w:right="620"/>
              <w:spacing w:after="0"/>
              <w:rPr>
                <w:sz w:val="20"/>
                <w:szCs w:val="20"/>
                <w:color w:val="auto"/>
              </w:rPr>
            </w:pPr>
            <w:r>
              <w:rPr>
                <w:rFonts w:ascii="Arial" w:cs="Arial" w:eastAsia="Arial" w:hAnsi="Arial"/>
                <w:sz w:val="18"/>
                <w:szCs w:val="18"/>
                <w:color w:val="auto"/>
              </w:rPr>
              <w:t>2.5%</w:t>
            </w:r>
          </w:p>
        </w:tc>
        <w:tc>
          <w:tcPr>
            <w:tcW w:w="1000" w:type="dxa"/>
            <w:vAlign w:val="bottom"/>
            <w:gridSpan w:val="5"/>
          </w:tcPr>
          <w:p>
            <w:pPr>
              <w:jc w:val="right"/>
              <w:ind w:right="220"/>
              <w:spacing w:after="0"/>
              <w:rPr>
                <w:sz w:val="20"/>
                <w:szCs w:val="20"/>
                <w:color w:val="auto"/>
              </w:rPr>
            </w:pPr>
            <w:r>
              <w:rPr>
                <w:rFonts w:ascii="Arial" w:cs="Arial" w:eastAsia="Arial" w:hAnsi="Arial"/>
                <w:sz w:val="18"/>
                <w:szCs w:val="18"/>
                <w:color w:val="auto"/>
              </w:rPr>
              <w:t>2.5%</w:t>
            </w:r>
          </w:p>
        </w:tc>
        <w:tc>
          <w:tcPr>
            <w:tcW w:w="1260" w:type="dxa"/>
            <w:vAlign w:val="bottom"/>
            <w:gridSpan w:val="8"/>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416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10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2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Restructuring</w:t>
            </w:r>
          </w:p>
        </w:tc>
        <w:tc>
          <w:tcPr>
            <w:tcW w:w="41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color w:val="auto"/>
              </w:rPr>
              <w:t>1.0%</w:t>
            </w:r>
          </w:p>
        </w:tc>
        <w:tc>
          <w:tcPr>
            <w:tcW w:w="10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160" w:type="dxa"/>
            <w:vAlign w:val="bottom"/>
            <w:tcBorders>
              <w:bottom w:val="single" w:sz="8" w:color="auto"/>
            </w:tcBorders>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18.0%</w:t>
            </w:r>
          </w:p>
        </w:tc>
        <w:tc>
          <w:tcPr>
            <w:tcW w:w="1000" w:type="dxa"/>
            <w:vAlign w:val="bottom"/>
            <w:tcBorders>
              <w:bottom w:val="single" w:sz="8" w:color="auto"/>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revenue for the period increased by $21.9 million, or 5.7%, from $388.7 million for the three months ended June 30, 2015 to $410.6 million for the three months ended June 30, 2016. Net revenue increased by 5.2% in constant currency and by 3.0% in constant dollar organic terms. The increase in revenues in the three months ended June 30, 2016 can be explained in part by the additional net revenues from the acquisition of PMG which was acquired on December 4, 2015. During the three months ended June 30, 2016 we derived approximately 47.1%, 42.6% and 10.3% of our net revenue in the United States, Europe and Rest of World respectively. During the three months ended June 30, 2016 $190.0 million or 46.3% of our net revenues were derived from our top 5 customers compared to $197.8 million or 50.9% of net revenues derived from our top 5 customers during the three months ended June 30, 2015. The largest of these customers related to a Strategic Partnership with a large global pharmaceutical company. Net revenue from this customer contributed 28.0% of net revenue for the quarter, compared to 30% of net revenue in respect of the three months ended June 30, 2015. The addition of new customer accounts, particularly mid-tier pharma customers and biotech customers continues to result in a reduction in concentration of revenues from our top five customers.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jc w:val="both"/>
        <w:spacing w:after="0" w:line="245" w:lineRule="auto"/>
        <w:rPr>
          <w:sz w:val="20"/>
          <w:szCs w:val="20"/>
          <w:color w:val="auto"/>
        </w:rPr>
      </w:pPr>
      <w:r>
        <w:rPr>
          <w:rFonts w:ascii="Arial" w:cs="Arial" w:eastAsia="Arial" w:hAnsi="Arial"/>
          <w:sz w:val="21"/>
          <w:szCs w:val="21"/>
          <w:color w:val="auto"/>
        </w:rPr>
        <w:t>Net revenue in Ireland decreased from $105.4 million for the three months ended June 30, 2015 to $95.7 million for the three months ended June 30, 2016. Net revenue in Ireland is principally a function of the Company’s global transfer pricing model (</w:t>
      </w:r>
      <w:r>
        <w:rPr>
          <w:rFonts w:ascii="Arial" w:cs="Arial" w:eastAsia="Arial" w:hAnsi="Arial"/>
          <w:sz w:val="21"/>
          <w:szCs w:val="21"/>
          <w:i w:val="1"/>
          <w:iCs w:val="1"/>
          <w:color w:val="auto"/>
        </w:rPr>
        <w:t>see</w:t>
      </w:r>
      <w:r>
        <w:rPr>
          <w:rFonts w:ascii="Arial" w:cs="Arial" w:eastAsia="Arial" w:hAnsi="Arial"/>
          <w:sz w:val="21"/>
          <w:szCs w:val="21"/>
          <w:color w:val="auto"/>
        </w:rPr>
        <w:t xml:space="preserve"> </w:t>
      </w:r>
      <w:r>
        <w:rPr>
          <w:rFonts w:ascii="Arial" w:cs="Arial" w:eastAsia="Arial" w:hAnsi="Arial"/>
          <w:sz w:val="21"/>
          <w:szCs w:val="21"/>
          <w:i w:val="1"/>
          <w:iCs w:val="1"/>
          <w:color w:val="auto"/>
        </w:rPr>
        <w:t>note 8 Business Segmental Information for further details</w:t>
      </w:r>
      <w:r>
        <w:rPr>
          <w:rFonts w:ascii="Arial" w:cs="Arial" w:eastAsia="Arial" w:hAnsi="Arial"/>
          <w:sz w:val="21"/>
          <w:szCs w:val="21"/>
          <w:color w:val="auto"/>
        </w:rPr>
        <w:t>). Net revenue in our Rest of Europe region increased from $78.5 million</w:t>
      </w:r>
      <w:r>
        <w:rPr>
          <w:rFonts w:ascii="Arial" w:cs="Arial" w:eastAsia="Arial" w:hAnsi="Arial"/>
          <w:sz w:val="21"/>
          <w:szCs w:val="21"/>
          <w:i w:val="1"/>
          <w:iCs w:val="1"/>
          <w:color w:val="auto"/>
        </w:rPr>
        <w:t xml:space="preserve"> </w:t>
      </w:r>
      <w:r>
        <w:rPr>
          <w:rFonts w:ascii="Arial" w:cs="Arial" w:eastAsia="Arial" w:hAnsi="Arial"/>
          <w:sz w:val="21"/>
          <w:szCs w:val="21"/>
          <w:color w:val="auto"/>
        </w:rPr>
        <w:t>for the three months ended June 30, 2015 to $79.4 million for the three months ended June 30, 2016, while net revenue in our Rest of World region increased from $40.4 million for the three months ended June 30, 2015 to $42.2 million for the three months ended June 30, 2016. Net revenues in non-U.S. dollar operations in this region were impacted by foreign currency translation and the movement in local rates to the U.S. dollar over the comparative quarter. Net revenue in the U.S. region increased from $164.3 million for the three months ended June 30, 2015 to $193.4 million for the three months ended June 30, 2016. Net revenues in the U.S. region for the three months ended June 30, 2016 was impacted positively by the acquisition of PMG, which was acquired on December 4, 2015.</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 costs for the period increased by $13.0 million, or 5.8%, from $225.0 million for the three months ended June 30, 2015 to $238.0 million for the three months ended June 30, 2016.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$11.4 million, an increase in other direct project related costs of $1.6 million and laboratory costs of $1.0 million offset, in part, by a decrease in travel related costs of $0.9 million As a percentage of net revenue, direct costs have increased from 57.9% for the three months ended June 30, 2015 to 58.0% for the three months ended June 30, 2016.</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for the period decreased by $1.2 million, or 1.4%, from $81.3 million for the three months ended June 30, 2015 to $80.2 million for the three months ended June 30, 2016.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decrease in selling, general and administration expenses for the period arose due to an increase in personnel related expenditure of $3.1 million, a decrease in facilities and related costs expenditure of $1.4 million and a decrease in general and administrative expenses net of foreign exchange movements of $2.9 million. As a percentage of net revenue, selling, general and administrative expenses, decreased from 20.9% for the three months ended June 30, 2015 to 19.5% for the three months ended June 30, 2016.</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Depreciation expense for the period increased by $0.7 million, or 7.2%, from $9.8 million for three months ended June 30, 2015 to $10.5 million for three months ended June 30, 2016. Depreciation expense arises principally from continued investment in facilities, information systems and equipment to support the Company’s growth. As a percentage of net revenue (2.5%), the depreciation expense for the three months ended 30 June 2016 remained in line with the percentage of net revenue charge for the three months ended June 30, 2015. Amortization expense for the period decreased by $0.6 million, or 12.5%, from $4.5 million for the three months ended June 30, 2015 to $3.9 million for the three months ended June 30, 2016. Amortization expense represents the amortization of intangible assets acquired on business combinations. The main reason for the decrease in the amortization expense for the period relates to the finalisation of the amortization charge for the MediMedia acquisition, this was offset in part by the additional amortization for the period related to the PMG acquisition. As a percentage of net revenue, amortization expense decreased from 1.2% for the three months ended June 30, 2015 to 1.0% for the three months ended June 30, 2016.</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During the three months ended June 30, 2016, a restructuring charge of $4.1 million was recognized under a restructuring plan adopted following a review by the company of its operations. The restructuring plan includes resource rationalizations in certain areas of the business to improve resource utilization (see </w:t>
      </w:r>
      <w:r>
        <w:rPr>
          <w:rFonts w:ascii="Arial" w:cs="Arial" w:eastAsia="Arial" w:hAnsi="Arial"/>
          <w:sz w:val="17"/>
          <w:szCs w:val="17"/>
          <w:i w:val="1"/>
          <w:iCs w:val="1"/>
          <w:color w:val="auto"/>
        </w:rPr>
        <w:t xml:space="preserve">note 4 Restructuring for further information). </w:t>
      </w:r>
      <w:r>
        <w:rPr>
          <w:rFonts w:ascii="Arial" w:cs="Arial" w:eastAsia="Arial" w:hAnsi="Arial"/>
          <w:sz w:val="17"/>
          <w:szCs w:val="17"/>
          <w:color w:val="auto"/>
        </w:rPr>
        <w:t>During the three months ended June 30, 2015, there was no restructuring charge incurred.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above, income from operations for the three months increased by $5.8 million, or 8.5%, from $68.1 million for the three months ended June 30, 2015 to $73.9 million for the three months ended June 30, 2016 ($78.0 million excluding restructuring charges). As a percentage of net revenue, income from operations increased from 17.5% of net revenues for the three months ended June 30, 2015 to 18.0% of net revenues for the three months ended June 30, 2016 (19.0% excluding restructuring charges).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 xml:space="preserve">Income from operations in Ireland increased from $49.4 million for the three months ended June 30, 2015 to $54.6 million for the three months ended June 30, 2016 ($58.3 million excluding restructuring charges). Income from operations in Ireland is impacted by the Group’s global transfer pricing model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note 8 Business Segmental Information for further details). </w:t>
      </w:r>
      <w:r>
        <w:rPr>
          <w:rFonts w:ascii="Arial" w:cs="Arial" w:eastAsia="Arial" w:hAnsi="Arial"/>
          <w:sz w:val="17"/>
          <w:szCs w:val="17"/>
          <w:color w:val="auto"/>
        </w:rPr>
        <w:t>Income from operations in our Rest of Europe region increased from $3.5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2015 to $4.9 million for the three months ended June 30, 2016 ($5.2 million excluding restructuring charges), while income from operations in our Rest of world region remained unchanged at $2.6 million for the three months ended June 30, 2015 and June 30, 2016 ($2.7 million excluding restructuring charges). Income from operations in these regions was impacted by foreign currency translation and the movement in local rates to the U.S. dollar over the comparative quarter. Income from operations in the U.S. region decreased from $12.6 million for the three months ended June 30, 2015 to $11.8 million for the three months ended June 30, 2016 ($11.8 million excluding restructuring charges). Income from operations in this region was positively impacted by the acquisition of PMG, which was acquired on December 4, 2015. This increase was offset by the impact of bringing MediMedia Pharma Solutions within the Group's global transfer pricing model in the period.</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period increased by $3.0 million or 1,296.5%, from $0.2 million for the three months ended June 30, 2015 to $3.2 million for the three months ended June 30, 2016. Interest income increased by $0.2 million or 64.0%, from $0.2 million for the three months ended June 30, 2015 to $0.4 million for the three months ended June 30, 2016.</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for the period increased from $9.5 million for the three months ended June 30, 2015 to $10.0 million for the three months ended June 30, 2016. The Company’s effective tax rate for the three months ended June 30, 2016 was 14.1% (14.0% excluding the impact of restructuring) compared with 14.0% for the three months ended June 30, 2015. The Company’s effective tax rate is principally a function of the distribution of pre-tax profits amongst the territories in which it operates.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compared with Six Months Ended June 30, 2015</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12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4"/>
          </w:tcPr>
          <w:p>
            <w:pPr>
              <w:jc w:val="right"/>
              <w:ind w:right="780"/>
              <w:spacing w:after="0" w:line="196" w:lineRule="exact"/>
              <w:rPr>
                <w:sz w:val="20"/>
                <w:szCs w:val="20"/>
                <w:color w:val="auto"/>
              </w:rPr>
            </w:pPr>
            <w:r>
              <w:rPr>
                <w:rFonts w:ascii="Arial" w:cs="Arial" w:eastAsia="Arial" w:hAnsi="Arial"/>
                <w:sz w:val="18"/>
                <w:szCs w:val="18"/>
                <w:b w:val="1"/>
                <w:bCs w:val="1"/>
                <w:color w:val="auto"/>
                <w:w w:val="85"/>
              </w:rPr>
              <w:t>June 30,</w:t>
            </w:r>
          </w:p>
        </w:tc>
        <w:tc>
          <w:tcPr>
            <w:tcW w:w="1200" w:type="dxa"/>
            <w:vAlign w:val="bottom"/>
            <w:gridSpan w:val="5"/>
          </w:tcPr>
          <w:p>
            <w:pPr>
              <w:jc w:val="right"/>
              <w:ind w:right="560"/>
              <w:spacing w:after="0" w:line="196" w:lineRule="exact"/>
              <w:rPr>
                <w:sz w:val="20"/>
                <w:szCs w:val="20"/>
                <w:color w:val="auto"/>
              </w:rPr>
            </w:pPr>
            <w:r>
              <w:rPr>
                <w:rFonts w:ascii="Arial" w:cs="Arial" w:eastAsia="Arial" w:hAnsi="Arial"/>
                <w:sz w:val="18"/>
                <w:szCs w:val="18"/>
                <w:b w:val="1"/>
                <w:bCs w:val="1"/>
                <w:color w:val="auto"/>
                <w:w w:val="85"/>
              </w:rPr>
              <w:t>June 30,</w:t>
            </w:r>
          </w:p>
        </w:tc>
        <w:tc>
          <w:tcPr>
            <w:tcW w:w="860" w:type="dxa"/>
            <w:vAlign w:val="bottom"/>
            <w:gridSpan w:val="6"/>
          </w:tcPr>
          <w:p>
            <w:pPr>
              <w:jc w:val="right"/>
              <w:ind w:right="20"/>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76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2016</w:t>
            </w:r>
          </w:p>
        </w:tc>
        <w:tc>
          <w:tcPr>
            <w:tcW w:w="820" w:type="dxa"/>
            <w:vAlign w:val="bottom"/>
          </w:tcPr>
          <w:p>
            <w:pPr>
              <w:spacing w:after="0"/>
              <w:rPr>
                <w:sz w:val="17"/>
                <w:szCs w:val="17"/>
                <w:color w:val="auto"/>
              </w:rPr>
            </w:pPr>
          </w:p>
        </w:tc>
        <w:tc>
          <w:tcPr>
            <w:tcW w:w="1200" w:type="dxa"/>
            <w:vAlign w:val="bottom"/>
            <w:gridSpan w:val="5"/>
          </w:tcPr>
          <w:p>
            <w:pPr>
              <w:jc w:val="right"/>
              <w:ind w:right="560"/>
              <w:spacing w:after="0" w:line="196" w:lineRule="exact"/>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4"/>
          </w:tcPr>
          <w:p>
            <w:pPr>
              <w:jc w:val="right"/>
              <w:ind w:right="160"/>
              <w:spacing w:after="0" w:line="196" w:lineRule="exact"/>
              <w:rPr>
                <w:sz w:val="20"/>
                <w:szCs w:val="20"/>
                <w:color w:val="auto"/>
              </w:rPr>
            </w:pPr>
            <w:r>
              <w:rPr>
                <w:rFonts w:ascii="Arial" w:cs="Arial" w:eastAsia="Arial" w:hAnsi="Arial"/>
                <w:sz w:val="18"/>
                <w:szCs w:val="18"/>
                <w:b w:val="1"/>
                <w:bCs w:val="1"/>
                <w:color w:val="auto"/>
                <w:w w:val="86"/>
              </w:rPr>
              <w:t>to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Borders>
              <w:bottom w:val="single" w:sz="8" w:color="auto"/>
            </w:tcBorders>
            <w:gridSpan w:val="6"/>
          </w:tcPr>
          <w:p>
            <w:pPr>
              <w:jc w:val="right"/>
              <w:ind w:right="20"/>
              <w:spacing w:after="0" w:line="196" w:lineRule="exact"/>
              <w:rPr>
                <w:sz w:val="20"/>
                <w:szCs w:val="20"/>
                <w:color w:val="auto"/>
              </w:rPr>
            </w:pPr>
            <w:r>
              <w:rPr>
                <w:rFonts w:ascii="Arial" w:cs="Arial" w:eastAsia="Arial" w:hAnsi="Arial"/>
                <w:sz w:val="18"/>
                <w:szCs w:val="18"/>
                <w:b w:val="1"/>
                <w:bCs w:val="1"/>
                <w:color w:val="auto"/>
                <w:w w:val="84"/>
              </w:rPr>
              <w:t>Percentage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380" w:type="dxa"/>
            <w:vAlign w:val="bottom"/>
            <w:gridSpan w:val="11"/>
          </w:tcPr>
          <w:p>
            <w:pPr>
              <w:jc w:val="center"/>
              <w:ind w:left="1630"/>
              <w:spacing w:after="0" w:line="196" w:lineRule="exact"/>
              <w:rPr>
                <w:sz w:val="20"/>
                <w:szCs w:val="20"/>
                <w:color w:val="auto"/>
              </w:rPr>
            </w:pPr>
            <w:r>
              <w:rPr>
                <w:rFonts w:ascii="Arial" w:cs="Arial" w:eastAsia="Arial" w:hAnsi="Arial"/>
                <w:sz w:val="18"/>
                <w:szCs w:val="18"/>
                <w:b w:val="1"/>
                <w:bCs w:val="1"/>
                <w:color w:val="auto"/>
                <w:w w:val="88"/>
              </w:rPr>
              <w:t>Percentage of Net Revenue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6"/>
          </w:tcPr>
          <w:p>
            <w:pPr>
              <w:jc w:val="right"/>
              <w:ind w:right="160"/>
              <w:spacing w:after="0" w:line="196" w:lineRule="exact"/>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4180" w:type="dxa"/>
            <w:vAlign w:val="bottom"/>
            <w:tcBorders>
              <w:bottom w:val="single" w:sz="8" w:color="auto"/>
            </w:tcBorders>
            <w:gridSpan w:val="6"/>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auto"/>
            </w:tcBorders>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000" w:type="dxa"/>
            <w:vAlign w:val="bottom"/>
            <w:tcBorders>
              <w:bottom w:val="single" w:sz="8" w:color="auto"/>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Costs and expenses:</w:t>
            </w:r>
          </w:p>
        </w:tc>
        <w:tc>
          <w:tcPr>
            <w:tcW w:w="358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left w:val="single" w:sz="8" w:color="CCEEFF"/>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left w:val="single" w:sz="8" w:color="CCEEFF"/>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4180" w:type="dxa"/>
            <w:vAlign w:val="bottom"/>
            <w:gridSpan w:val="6"/>
          </w:tcPr>
          <w:p>
            <w:pPr>
              <w:jc w:val="right"/>
              <w:ind w:right="620"/>
              <w:spacing w:after="0"/>
              <w:rPr>
                <w:sz w:val="20"/>
                <w:szCs w:val="20"/>
                <w:color w:val="auto"/>
              </w:rPr>
            </w:pPr>
            <w:r>
              <w:rPr>
                <w:rFonts w:ascii="Arial" w:cs="Arial" w:eastAsia="Arial" w:hAnsi="Arial"/>
                <w:sz w:val="18"/>
                <w:szCs w:val="18"/>
                <w:color w:val="auto"/>
              </w:rPr>
              <w:t>57.5%</w:t>
            </w:r>
          </w:p>
        </w:tc>
        <w:tc>
          <w:tcPr>
            <w:tcW w:w="1200" w:type="dxa"/>
            <w:vAlign w:val="bottom"/>
            <w:gridSpan w:val="5"/>
          </w:tcPr>
          <w:p>
            <w:pPr>
              <w:jc w:val="right"/>
              <w:ind w:right="420"/>
              <w:spacing w:after="0"/>
              <w:rPr>
                <w:sz w:val="20"/>
                <w:szCs w:val="20"/>
                <w:color w:val="auto"/>
              </w:rPr>
            </w:pPr>
            <w:r>
              <w:rPr>
                <w:rFonts w:ascii="Arial" w:cs="Arial" w:eastAsia="Arial" w:hAnsi="Arial"/>
                <w:sz w:val="18"/>
                <w:szCs w:val="18"/>
                <w:color w:val="auto"/>
              </w:rPr>
              <w:t>58.3%</w:t>
            </w:r>
          </w:p>
        </w:tc>
        <w:tc>
          <w:tcPr>
            <w:tcW w:w="1000" w:type="dxa"/>
            <w:vAlign w:val="bottom"/>
            <w:gridSpan w:val="7"/>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180" w:type="dxa"/>
            <w:vAlign w:val="bottom"/>
            <w:gridSpan w:val="6"/>
            <w:shd w:val="clear" w:color="auto" w:fill="CCEEFF"/>
          </w:tcPr>
          <w:p>
            <w:pPr>
              <w:jc w:val="right"/>
              <w:ind w:right="620"/>
              <w:spacing w:after="0"/>
              <w:rPr>
                <w:sz w:val="20"/>
                <w:szCs w:val="20"/>
                <w:color w:val="auto"/>
              </w:rPr>
            </w:pPr>
            <w:r>
              <w:rPr>
                <w:rFonts w:ascii="Arial" w:cs="Arial" w:eastAsia="Arial" w:hAnsi="Arial"/>
                <w:sz w:val="18"/>
                <w:szCs w:val="18"/>
                <w:color w:val="auto"/>
              </w:rPr>
              <w:t>19.8%</w:t>
            </w:r>
          </w:p>
        </w:tc>
        <w:tc>
          <w:tcPr>
            <w:tcW w:w="120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20.7%</w:t>
            </w:r>
          </w:p>
        </w:tc>
        <w:tc>
          <w:tcPr>
            <w:tcW w:w="100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4180" w:type="dxa"/>
            <w:vAlign w:val="bottom"/>
            <w:gridSpan w:val="6"/>
          </w:tcPr>
          <w:p>
            <w:pPr>
              <w:jc w:val="right"/>
              <w:ind w:right="620"/>
              <w:spacing w:after="0"/>
              <w:rPr>
                <w:sz w:val="20"/>
                <w:szCs w:val="20"/>
                <w:color w:val="auto"/>
              </w:rPr>
            </w:pPr>
            <w:r>
              <w:rPr>
                <w:rFonts w:ascii="Arial" w:cs="Arial" w:eastAsia="Arial" w:hAnsi="Arial"/>
                <w:sz w:val="18"/>
                <w:szCs w:val="18"/>
                <w:color w:val="auto"/>
              </w:rPr>
              <w:t>2.6%</w:t>
            </w:r>
          </w:p>
        </w:tc>
        <w:tc>
          <w:tcPr>
            <w:tcW w:w="1200" w:type="dxa"/>
            <w:vAlign w:val="bottom"/>
            <w:gridSpan w:val="5"/>
          </w:tcPr>
          <w:p>
            <w:pPr>
              <w:jc w:val="right"/>
              <w:ind w:right="420"/>
              <w:spacing w:after="0"/>
              <w:rPr>
                <w:sz w:val="20"/>
                <w:szCs w:val="20"/>
                <w:color w:val="auto"/>
              </w:rPr>
            </w:pPr>
            <w:r>
              <w:rPr>
                <w:rFonts w:ascii="Arial" w:cs="Arial" w:eastAsia="Arial" w:hAnsi="Arial"/>
                <w:sz w:val="18"/>
                <w:szCs w:val="18"/>
                <w:color w:val="auto"/>
              </w:rPr>
              <w:t>2.5%</w:t>
            </w:r>
          </w:p>
        </w:tc>
        <w:tc>
          <w:tcPr>
            <w:tcW w:w="1000" w:type="dxa"/>
            <w:vAlign w:val="bottom"/>
            <w:gridSpan w:val="7"/>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4180" w:type="dxa"/>
            <w:vAlign w:val="bottom"/>
            <w:gridSpan w:val="6"/>
            <w:shd w:val="clear" w:color="auto" w:fill="CCEEFF"/>
          </w:tcPr>
          <w:p>
            <w:pPr>
              <w:jc w:val="right"/>
              <w:ind w:right="620"/>
              <w:spacing w:after="0"/>
              <w:rPr>
                <w:sz w:val="20"/>
                <w:szCs w:val="20"/>
                <w:color w:val="auto"/>
              </w:rPr>
            </w:pPr>
            <w:r>
              <w:rPr>
                <w:rFonts w:ascii="Arial" w:cs="Arial" w:eastAsia="Arial" w:hAnsi="Arial"/>
                <w:sz w:val="18"/>
                <w:szCs w:val="18"/>
                <w:color w:val="auto"/>
              </w:rPr>
              <w:t>1.1%</w:t>
            </w:r>
          </w:p>
        </w:tc>
        <w:tc>
          <w:tcPr>
            <w:tcW w:w="120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100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Restructuring</w:t>
            </w:r>
          </w:p>
        </w:tc>
        <w:tc>
          <w:tcPr>
            <w:tcW w:w="418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8"/>
                <w:szCs w:val="18"/>
                <w:color w:val="auto"/>
              </w:rPr>
              <w:t>0.5%</w:t>
            </w:r>
          </w:p>
        </w:tc>
        <w:tc>
          <w:tcPr>
            <w:tcW w:w="12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from operations</w:t>
            </w:r>
          </w:p>
        </w:tc>
        <w:tc>
          <w:tcPr>
            <w:tcW w:w="418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8"/>
                <w:szCs w:val="18"/>
                <w:color w:val="auto"/>
              </w:rPr>
              <w:t>18.5%</w:t>
            </w:r>
          </w:p>
        </w:tc>
        <w:tc>
          <w:tcPr>
            <w:tcW w:w="12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color w:val="auto"/>
              </w:rPr>
              <w:t>17.4%</w:t>
            </w:r>
          </w:p>
        </w:tc>
        <w:tc>
          <w:tcPr>
            <w:tcW w:w="100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revenue for the period increased by $34.3 million, or 4.4%, from $776.9 million for the six months ended June 30, 2015 to $811.2 million for the six months ended June 30, 2016. Net revenue increased by 5.2% in constant currency and by 2.3% in constant dollar organic terms. The increase in revenues in the six months ended June 30, 2016 can be explained in part by the additional net revenues from the acquisition of MediMedia Pharma Solutions and PMG which were acquired on February 27, 2015 and December 4, 2015 respectively. During the six months ended June 30, 2016 we derived approximately 46.6%, 43.3% and 10.1% of our net revenue in the United States, Europe and Rest of World respectively. During the six months ended June 30, 2016 $367.7 million or 45.3% of our net revenues were derived from our top 5 customers compared to $406.8 million or 52.4% of net revenues derived from our top 5 customers during the six months ended June 30, 2015. The largest of these customers related to a Strategic Partnership with a large global pharmaceutical company. Net revenue from this customer contributed 28.6% of net revenue for the six months ended June 30, 2016, compared to 32% of net revenue in respect of the six months ended June 30, 2015. The addition of new customer accounts, particularly mid-tier pharma customers and biotech customers continues to result in a reduction in concentration of revenues from our top five customers.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both"/>
        <w:spacing w:after="0" w:line="290" w:lineRule="auto"/>
        <w:rPr>
          <w:sz w:val="20"/>
          <w:szCs w:val="20"/>
          <w:color w:val="auto"/>
        </w:rPr>
      </w:pPr>
      <w:r>
        <w:rPr>
          <w:rFonts w:ascii="Arial" w:cs="Arial" w:eastAsia="Arial" w:hAnsi="Arial"/>
          <w:sz w:val="16"/>
          <w:szCs w:val="16"/>
          <w:color w:val="auto"/>
        </w:rPr>
        <w:t>Net revenue in Ireland decreased from $219.5 million for the six months ended June 30, 2015 to $196.5 million for the six months ended June 30, 2016. Net revenue in Ireland is principally a function of the Company’s global transfer pricing model (</w:t>
      </w:r>
      <w:r>
        <w:rPr>
          <w:rFonts w:ascii="Arial" w:cs="Arial" w:eastAsia="Arial" w:hAnsi="Arial"/>
          <w:sz w:val="16"/>
          <w:szCs w:val="16"/>
          <w:i w:val="1"/>
          <w:iCs w:val="1"/>
          <w:color w:val="auto"/>
        </w:rPr>
        <w:t>see note 8 Business Segmental Information for further details</w:t>
      </w:r>
      <w:r>
        <w:rPr>
          <w:rFonts w:ascii="Arial" w:cs="Arial" w:eastAsia="Arial" w:hAnsi="Arial"/>
          <w:sz w:val="16"/>
          <w:szCs w:val="16"/>
          <w:color w:val="auto"/>
        </w:rPr>
        <w:t>). Net revenue in our Rest of Europe region decreased from $162.6 million for the six months ended June 30, 2015 to $155.1 million for the six months ended June 30, 2016, while net revenue in our Rest of World region increased from $80.4 million for the six months ended June 30, 2015 to $82.1 million for the six months ended June 30, 2016. Net revenues in non-U.S. dollar operations in this region were impacted by foreign currency translation and the movement in local rates to the U.S. dollar over the comparative quarter. Net revenue in the U.S. region increased from $314.4 million for the six months ended June 30, 2015 to $377.5 million for the six months ended June 30, 2016. Net revenues in the U.S. region for the six months ended June 30, 2016 were impacted positively by the acquisitions of MediMedia, which was acquired on February 27, 2015 and PMG, which was acquired on December 4, 2015.</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 costs for the period increased by $13.6 million, or 3.0%, from $453.0 million for the six months ended June 30, 2015 to $466.6 million for the six months ended June 30, 2016. Direct costs consist primarily of compensation, associated fringe benefits and share based compensation expense for project-related employees and other direct project driven costs. The increase in direct costs during the period arose from an increase in headcount with a corresponding increase in personnel related expenditure of $19.6 million, an increase in laboratory costs of $2.6 million which was offset by a decrease in other direct project related costs of $8.1 million. As a percentage of net revenue, direct costs have decreased from 58.3% for the six months ended June 30, 2015 to 57.5% for the six months ended June 30, 2016.</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for the period increased by $0.1 million, or 0.1%, from $160.9 million for the six months ended June 30, 2015 to $161.0 million for the six months ended June 30, 2016. Selling, general and administrative expenses are primarily comprised of compensation, related fringe benefits and share based compensation expense for non-project-related employees, recruitment expenditure, professional service costs, advertising costs and all costs related to facilities and information systems. The movement in selling, general and administration expenses for the period arose primarily from an increase in personnel related expenditure of $5.0 million, a decrease in facilities and related costs expenditure of $2.0 million and a decrease in general and administrative expenses net of foreign exchange movements of $2.9 million. As a percentage of net revenue, selling, general and administrative expenses, decreased from 20.7% for the six months ended June 30, 2015 to 19.8% for the six months ended June 30, 2016.</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Depreciation expense for the period increased by $1.0 million, or 5.2%, from $19.7 million for the six months ended June 30, 2015 to $20.7 million for the six months ended June 30, 2016. Depreciation expense arises principally from an investment in facilities, information systems and equipment to support the Company’s growth. As a percentage of net revenue, depreciation expense increased from 2.5% for the six months ended June 30, 2015 to 2.6% for the six months ended June 30, 2016. Amortization expense for the period increased by $0.4 million, or 4.5%, from $8.5 million for the six months ended June 30, 2015 to $8.9 million for the six months ended June 30, 2016. Amortization expense represents the amortization of intangible assets acquired on business combinations. The increase in the amortization expense for the period relates to the PMG acquisition, offset in part by the cessation of amortization on other assets. As a percentage of net revenue, amortization expense amounted to 1.1% for the six months ended June 30, 2015 and June 30, 2016.</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2016 the Company implemented a restructuring plan which contains Company resource rationalizations in order to improve operating efficiencies and reduce expenses. A restructuring charge of $4.1 million was recognized during the six months ended June 30, 2016. (S</w:t>
      </w:r>
      <w:r>
        <w:rPr>
          <w:rFonts w:ascii="Arial" w:cs="Arial" w:eastAsia="Arial" w:hAnsi="Arial"/>
          <w:sz w:val="18"/>
          <w:szCs w:val="18"/>
          <w:i w:val="1"/>
          <w:iCs w:val="1"/>
          <w:color w:val="auto"/>
        </w:rPr>
        <w:t>ee</w:t>
      </w:r>
      <w:r>
        <w:rPr>
          <w:rFonts w:ascii="Arial" w:cs="Arial" w:eastAsia="Arial" w:hAnsi="Arial"/>
          <w:sz w:val="18"/>
          <w:szCs w:val="18"/>
          <w:color w:val="auto"/>
        </w:rPr>
        <w:t xml:space="preserve"> </w:t>
      </w:r>
      <w:r>
        <w:rPr>
          <w:rFonts w:ascii="Arial" w:cs="Arial" w:eastAsia="Arial" w:hAnsi="Arial"/>
          <w:sz w:val="18"/>
          <w:szCs w:val="18"/>
          <w:i w:val="1"/>
          <w:iCs w:val="1"/>
          <w:color w:val="auto"/>
        </w:rPr>
        <w:t>note 4 Restructuring for further information).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above, income from operations for the six months ended June 30, 2016 increased by $15.1 million, or 11.2%, from $134.8 million for the six months ended June 30, 2015 to $149.9 million for the six months ended June 30, 2016 ($154.0 million excluding restructuring charges). As a percentage of net revenue, income from operations increased from 17.4% of net revenues for the six months ended June 30, 2015 to 18.5% of net revenues for the six months ended June 30, 2016 (19.0% excluding restructuring charges).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both"/>
        <w:spacing w:after="0" w:line="272" w:lineRule="auto"/>
        <w:rPr>
          <w:sz w:val="20"/>
          <w:szCs w:val="20"/>
          <w:color w:val="auto"/>
        </w:rPr>
      </w:pPr>
      <w:r>
        <w:rPr>
          <w:rFonts w:ascii="Arial" w:cs="Arial" w:eastAsia="Arial" w:hAnsi="Arial"/>
          <w:sz w:val="19"/>
          <w:szCs w:val="19"/>
          <w:color w:val="auto"/>
        </w:rPr>
        <w:t xml:space="preserve">Income from operations in Ireland increased from $97.0 million for the six months ended June 30, 2015 to $114.2 million for the six months ended June 30, 2016 ($117.9 million excluding restructuring charges). Income from operations in Ireland is impacted by the Group’s global transfer pricing model </w:t>
      </w:r>
      <w:r>
        <w:rPr>
          <w:rFonts w:ascii="Arial" w:cs="Arial" w:eastAsia="Arial" w:hAnsi="Arial"/>
          <w:sz w:val="16"/>
          <w:szCs w:val="16"/>
          <w:i w:val="1"/>
          <w:iCs w:val="1"/>
          <w:color w:val="auto"/>
        </w:rPr>
        <w:t>(see note 8 Business Segmental Information for further details).</w:t>
      </w:r>
      <w:r>
        <w:rPr>
          <w:rFonts w:ascii="Arial" w:cs="Arial" w:eastAsia="Arial" w:hAnsi="Arial"/>
          <w:sz w:val="19"/>
          <w:szCs w:val="19"/>
          <w:color w:val="auto"/>
        </w:rPr>
        <w:t xml:space="preserve"> Income from operations in our Rest of Europe region decreased from $10.3 million for the six months ended June 30, 2015 to $8.3 million for the six months ended June 30, 2016 ($8.6 million excluding restructuring charges), while income from operations in our Rest of World region decreased marginally from $5.1 million for the six months ended June 30, 2015 to $4.9 million for the six months ended June 30, 2016 ($4.9 million excluding restructuring charges). Income from operations in these regions was impacted by foreign currency translation and the movement in local rates to the U.S. dollar over the comparative period. Income from operations in the U.S. region increased from $22.5 million for the six months ended June 30, 2015 to $22.6 million for the six months ended June 30, 2016 ($22.6 million excluding restructuring charges). Income from operations in this region was impacted positively by the acquisitions of MediMedia, which was acquired on February 27, 2015 and PMG, which was acquired on December 4, 2015. This increase was offset in part by the impact of bringing MediMedia Pharma Solutions within the Group's global transfer pricing model in the period.</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period increased from $0.5 million for the six months ended June 30, 2015 to $6.4 million for the six months ended June 30, 2016. This increase is reflective of the drawdown of the Senior Notes issued in December 2015 and the bridge facility of $350 million in place from September 2015, which are discussed in the Liquidity and Capital Resources section below. Interest income increased from $0.5 million for the six months ended June 30, 2015 to $0.7 million for the six months ended June 30, 2016.</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Provision for income taxes for the period decreased from $20.3 million for the six months ended June 30, 2015 to $20.2 million for the six months ended June 30, 2016. The Company’s effective tax rate for the six months ended June 30, 2015 was 15.1% compared with 14.0% for the six months ended June 30, 2016. The Company’s effective tax rate is principally a function of the distribution of pre-tax profits amongst the territories in which it operates.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cash and short term investment balances at June 30, 2016 amounted to $251.0 million compared with cash and short term investment balances of $189.9 million at December 31, 2015. The Company’s cash and short term investment balances at June 30, 2016 comprised of cash and cash equivalents of $168.5 million and short-term investments of $82.5 million. The Company’s cash and short term investment balances at December 31, 2015 comprised of cash and cash equivalents of $103.9 million and short-term investments of $86.0 million.</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 In October 2015, the Company entered into an interest rate hedge in respect of the planned issuance of the Senior Notes in December 2015. The interest rate hedge matured in November 2015 when the interest rate on the Senior Notes was fixed. The interest rate hedge was effective in accordance with Financial Accounting Standards Board (“FASB”)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cash proceeds, representing the realized gain on the interest rate hedge were received on maturity in November 2015.</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27, 2015 the Company entered into a 364 day bridge facility for $350.0 million with two financial institutions. The facility bore interest at LIBOR plus a margin and included certain guarantees and indemnities in favor of the two financial institutions. The bridge facility was repaid in full in December 2015.</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ind w:right="300"/>
        <w:spacing w:after="0" w:line="235" w:lineRule="auto"/>
        <w:rPr>
          <w:sz w:val="20"/>
          <w:szCs w:val="20"/>
          <w:color w:val="auto"/>
        </w:rPr>
      </w:pPr>
      <w:r>
        <w:rPr>
          <w:rFonts w:ascii="Arial" w:cs="Arial" w:eastAsia="Arial" w:hAnsi="Arial"/>
          <w:sz w:val="22"/>
          <w:szCs w:val="22"/>
          <w:color w:val="auto"/>
        </w:rPr>
        <w:t>On June 30, 2014 the Company entered into a five year committed multi-currency Revolving Credit Facility for $100.0 million with Citibank, JP Morgan, Santander and Barclays Bank (“Revolving Credit Facility”). Each bank subject to the agreement has committed $25 million to the facility, with equal terms and conditions in place with all institutions. In December 2015 the Revolving Credit Facility was amended to remove certain guarantees, the facility is guaranteed by ICON plc. The facility bears interest at LIBOR plus a margin. No amounts were drawn at June 30, 2016 or at December 31, 2015 in respect of the Revolving Credit Facility.</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cash provided by operating activities was $83.8 million for the six months ended June 30, 2016 compared with cash provided by operating activities of $89.2 million for the six months ended June 30, 2015. The most significant influence on our operating cash flows has been an increase to revenues and underlying profitability of the Company. This was offset by an increase in revenue outstanding which comprises of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June 30, 2016 was 46 days compared to 41 days at December 31, 2015. The number of days revenue outstanding at June 30, 2015 was 45 days compared to 40 days at December 31, 2014.</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used in investing activities was $17.0 million for the six months ended June 30, 2016 compared to net cash used in investing activities of $114.7 million for the six months ended June 30, 2015. Net cash used in the six months ended June 30, 2016 relates to capital expenditure of $19.9 million, $1.6 million for a working capital adjustment in relation to the PMG acquisition (</w:t>
      </w:r>
      <w:r>
        <w:rPr>
          <w:rFonts w:ascii="Arial" w:cs="Arial" w:eastAsia="Arial" w:hAnsi="Arial"/>
          <w:sz w:val="17"/>
          <w:szCs w:val="17"/>
          <w:i w:val="1"/>
          <w:iCs w:val="1"/>
          <w:color w:val="auto"/>
        </w:rPr>
        <w:t>see note 3 Business Combinations for further details</w:t>
      </w:r>
      <w:r>
        <w:rPr>
          <w:rFonts w:ascii="Arial" w:cs="Arial" w:eastAsia="Arial" w:hAnsi="Arial"/>
          <w:sz w:val="17"/>
          <w:szCs w:val="17"/>
          <w:color w:val="auto"/>
        </w:rPr>
        <w:t>) and $11.0 million for the purchase of short term investments offset by the sale of short term investments of $15.4 million. Net cash used in the six months ended June 30, 2015 arose principally from cash paid in respect of the purchase of MediMedia Pharma Solutions of $103.1 million.</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used by financing activities during the six months ended June 30, 2016 amounted to $2.0 million compared to net cash provided by financing activities of $15.3 million for the six months ended June 30, 2015. During the six months ended June 30, 2016, $2.3 million was recognized in relation to the tax benefit from the exercise of share options. In addition, $2.2 million was received by the Company from the exercise of share options. During the six months ended June 30, 2016, there was also $20.0 million drawn down and subsequently repaid by the Company under a one year uncommitted short term revolving credit facility for $30.0 million with Santander UK plc. The facility bears interest at LIBOR plus a margin. No amounts were drawn under this facility at June 30, 2016. The Company also paid interest of $6.5 million during the six months ended June 30, 2016, on the $350.0 million private placement debt. During the six months ended June 30, 2015, the Company received $60.0 million from the drawdown of amounts under its negotiated banking facility, together with $13.5 million from the exercise of share options. This was offset by $58.2 million paid to repurchase ordinary shares under the Company’s share repurchase program (including $0.3 million share repurchase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SIGNATURES</w:t>
      </w:r>
    </w:p>
    <w:p>
      <w:pPr>
        <w:spacing w:after="0" w:line="2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80" w:type="dxa"/>
            <w:vAlign w:val="bottom"/>
            <w:tcBorders>
              <w:top w:val="single" w:sz="8" w:color="auto"/>
            </w:tcBorders>
          </w:tcPr>
          <w:p>
            <w:pPr>
              <w:spacing w:after="0"/>
              <w:rPr>
                <w:sz w:val="21"/>
                <w:szCs w:val="21"/>
                <w:color w:val="auto"/>
              </w:rPr>
            </w:pPr>
          </w:p>
        </w:tc>
        <w:tc>
          <w:tcPr>
            <w:tcW w:w="5700" w:type="dxa"/>
            <w:vAlign w:val="bottom"/>
          </w:tcPr>
          <w:p>
            <w:pPr>
              <w:spacing w:after="0"/>
              <w:rPr>
                <w:sz w:val="21"/>
                <w:szCs w:val="21"/>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Date: July 26, 2016</w:t>
            </w:r>
          </w:p>
        </w:tc>
        <w:tc>
          <w:tcPr>
            <w:tcW w:w="570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28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59"/>
        </w:trPr>
        <w:tc>
          <w:tcPr>
            <w:tcW w:w="2880" w:type="dxa"/>
            <w:vAlign w:val="bottom"/>
          </w:tcPr>
          <w:p>
            <w:pPr>
              <w:spacing w:after="0"/>
              <w:rPr>
                <w:sz w:val="24"/>
                <w:szCs w:val="24"/>
                <w:color w:val="auto"/>
              </w:rPr>
            </w:pPr>
          </w:p>
        </w:tc>
        <w:tc>
          <w:tcPr>
            <w:tcW w:w="5700" w:type="dxa"/>
            <w:vAlign w:val="bottom"/>
          </w:tcPr>
          <w:p>
            <w:pPr>
              <w:jc w:val="right"/>
              <w:ind w:right="2690"/>
              <w:spacing w:after="0"/>
              <w:rPr>
                <w:sz w:val="20"/>
                <w:szCs w:val="20"/>
                <w:color w:val="auto"/>
              </w:rPr>
            </w:pPr>
            <w:r>
              <w:rPr>
                <w:rFonts w:ascii="Arial" w:cs="Arial" w:eastAsia="Arial" w:hAnsi="Arial"/>
                <w:sz w:val="18"/>
                <w:szCs w:val="18"/>
                <w:color w:val="auto"/>
              </w:rPr>
              <w:t>27</w:t>
            </w:r>
          </w:p>
        </w:tc>
        <w:tc>
          <w:tcPr>
            <w:tcW w:w="28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2019-12-06T22:20:37Z</dcterms:created>
  <dcterms:modified xsi:type="dcterms:W3CDTF">2019-12-06T22:20:37Z</dcterms:modified>
</cp:coreProperties>
</file>