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August, 2019</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2019 we had approximately 14,400 employees, in 98 locations in 40 countries. During the six months ended June 30, 2019, we derived approximately 32.2%, 57.9% and 9.9% of our revenue in the United States, Europe and Rest of World respectively.</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Mr. Ronan Murphy (Non-Executive Director) was appointed as Lead Independent Director of ICON plc effective January 1, 2019. On July 23, 2019,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Declan McKeon and Mr. Dermot Kelleher retired from the Board. On the same date, Ms. Julie O'Neill was appointed to the Board.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MolecularMD Corp ("MMD"). The consideration was $42.2 million. MMD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3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23, 2019 a subsidiary of the Company, ICON Clinical Research (UK) Limited acquired a majority shareholding in MeDiNova Research ("MeDiNova"), a site network with research sites in key markets in Europe and Africa, and has the right to acquire the remaining shares in the company during 2020. The vendors have a right to sell the remaining shares exclusively to ICON during 2020. The initial consideration to acquire the majority shareholding is cash of $39.3 million and contingent consideration of $14.8 million payable in 2019. The acquisition further enhances ICON's patient recruitment capabilities in EMEA and complements ICON's existing site network in the US, PMG Research.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and July 23, 2019. On October 3, 2016, the Company commenced the share buyback program of up to $400 million. At December 31, 2018, a total of 4,026,576 ordinary shares were redeemed by the Company under this buyback program for a total consideration of $372.1 million. On January 8, 2019, the Company commenced a further share buyback program of up to 1.0 million shares. At June 30, 2019 a total of 496,235 ordinary shares were redeemed by the Company under this buyback program for a total consideration of $65.1 million. All ordinary shares that were redeemed under the buyback program were canceled in accordance with the Constitution of the Company and the nominal value of these shares transferred to other undenominated capital as required by Irish Company law.</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42"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new leasing standard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was issued in February 2016.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supersedes the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Financial Accounting Standards Board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the option to adopt the standard retrospectively for each prior period presented, as initially set out in ASU No. 2016-02, or as of the adoption date with a cumulative-effect adjustment to the opening balance of retained earnings. ASC 842 became effective for ICON plc with effect from January 1, 2019. ICON adopted the new standard as of January 1, 2019 under the cumulative-effect adjustment approach. Under this transition method, the new standard is applied from January 1, 2019 without restatement of comparative period amounts. Results as at December 31, 2018 and for the three and six months ended June 30, 2018 are therefore presented under the previous leasing accounting principles, ASC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 lease liability and right-of-use asset have been recorded on the Condensed Consolidated Balance Sheet as at January 1, 2019 of $106.5 million (see </w:t>
      </w:r>
      <w:r>
        <w:rPr>
          <w:rFonts w:ascii="Arial" w:cs="Arial" w:eastAsia="Arial" w:hAnsi="Arial"/>
          <w:sz w:val="17"/>
          <w:szCs w:val="17"/>
          <w:i w:val="1"/>
          <w:iCs w:val="1"/>
          <w:color w:val="auto"/>
        </w:rPr>
        <w:t>note 14 - Impact of change in accounting policies</w:t>
      </w:r>
      <w:r>
        <w:rPr>
          <w:rFonts w:ascii="Arial" w:cs="Arial" w:eastAsia="Arial" w:hAnsi="Arial"/>
          <w:sz w:val="17"/>
          <w:szCs w:val="17"/>
          <w:color w:val="auto"/>
        </w:rPr>
        <w:t xml:space="preserve"> for further details). The net operating cost of leases recorded in the three and six months ended June 30, 2019 was $8.4 million and $16.6 million, respectively (see </w:t>
      </w:r>
      <w:r>
        <w:rPr>
          <w:rFonts w:ascii="Arial" w:cs="Arial" w:eastAsia="Arial" w:hAnsi="Arial"/>
          <w:sz w:val="17"/>
          <w:szCs w:val="17"/>
          <w:i w:val="1"/>
          <w:iCs w:val="1"/>
          <w:color w:val="auto"/>
        </w:rPr>
        <w:t>note 8 - Operating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leases </w:t>
      </w:r>
      <w:r>
        <w:rPr>
          <w:rFonts w:ascii="Arial" w:cs="Arial" w:eastAsia="Arial" w:hAnsi="Arial"/>
          <w:sz w:val="17"/>
          <w:szCs w:val="17"/>
          <w:color w:val="auto"/>
        </w:rPr>
        <w:t>for further details).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which provides guidance on when to capitalize implementation costs incurred in hosting arrangements which are accounted for as service contracts. ICON is currently evaluating the impact of this ASU on its consolidated financial statements. This ASU will be effective for fiscal years beginning after December 15, 2019, and interim periods within those fiscal years,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4" w:name="page5"/>
    <w:bookmarkEnd w:id="4"/>
    <w:p>
      <w:pPr>
        <w:ind w:left="54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AT JUNE 30, 2019 AND DECEMBER 31,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(Unaudited)</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(Audited)</w:t>
            </w:r>
          </w:p>
        </w:tc>
      </w:tr>
      <w:tr>
        <w:trPr>
          <w:trHeight w:val="203"/>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7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gridSpan w:val="3"/>
          </w:tcPr>
          <w:p>
            <w:pPr>
              <w:ind w:left="60"/>
              <w:spacing w:after="0" w:line="196" w:lineRule="exact"/>
              <w:rPr>
                <w:sz w:val="20"/>
                <w:szCs w:val="20"/>
                <w:color w:val="auto"/>
              </w:rPr>
            </w:pPr>
            <w:r>
              <w:rPr>
                <w:rFonts w:ascii="Arial" w:cs="Arial" w:eastAsia="Arial" w:hAnsi="Arial"/>
                <w:sz w:val="18"/>
                <w:szCs w:val="18"/>
                <w:b w:val="1"/>
                <w:bCs w:val="1"/>
                <w:color w:val="auto"/>
              </w:rPr>
              <w:t>June 30, 2019</w:t>
            </w:r>
          </w:p>
        </w:tc>
        <w:tc>
          <w:tcPr>
            <w:tcW w:w="2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r>
      <w:tr>
        <w:trPr>
          <w:trHeight w:val="48"/>
        </w:trPr>
        <w:tc>
          <w:tcPr>
            <w:tcW w:w="7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7"/>
            <w:shd w:val="clear" w:color="auto" w:fill="CCEEFF"/>
          </w:tcPr>
          <w:p>
            <w:pPr>
              <w:jc w:val="right"/>
              <w:ind w:right="900"/>
              <w:spacing w:after="0"/>
              <w:rPr>
                <w:sz w:val="20"/>
                <w:szCs w:val="20"/>
                <w:color w:val="auto"/>
              </w:rPr>
            </w:pPr>
            <w:r>
              <w:rPr>
                <w:rFonts w:ascii="Arial" w:cs="Arial" w:eastAsia="Arial" w:hAnsi="Arial"/>
                <w:sz w:val="18"/>
                <w:szCs w:val="18"/>
                <w:color w:val="auto"/>
              </w:rPr>
              <w:t>(in thousands)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370,208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395,851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Available for sale investments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61,071</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59,910</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431,981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414,791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491,848</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362,926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39,956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41,010</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36,801</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31,034</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1,467,108</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1,330,183</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156,231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158,669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854,741</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756,260</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right-of-use assets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109,007</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16,456</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receivable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15,176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deferred tax asset</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15,345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equity-long term</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10,768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74,264</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2,719,096</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20,226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321,484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274,468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357,645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317,143</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9,462</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708,817</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610,623</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349,451</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349,264</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79,570</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other liabilities</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14,580</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government grants</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income taxes payable</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17,537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17,551</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liability</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19,421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1,190,223</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999,974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742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54,078,698 shares issued and outstanding at June 30, 2019 and</w:t>
            </w:r>
          </w:p>
        </w:tc>
        <w:tc>
          <w:tcPr>
            <w:tcW w:w="1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53,971,706 shares issued and outstanding at December 31, 2018</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4,664</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559,583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529,642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(72,669)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(69,328)</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1,003,328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888,326</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1,495,923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1,354,281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Redeemable noncontrolling interest</w:t>
            </w:r>
          </w:p>
        </w:tc>
        <w:tc>
          <w:tcPr>
            <w:tcW w:w="132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32,950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and Redeemable Noncontrolling Interest</w:t>
            </w:r>
          </w:p>
        </w:tc>
        <w:tc>
          <w:tcPr>
            <w:tcW w:w="13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1,528,873</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1,354,281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Shareholders' Equity and Redeemable Noncontrolling Interest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2,719,096</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2019 AND JUNE 30,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60" w:type="dxa"/>
            <w:vAlign w:val="bottom"/>
            <w:gridSpan w:val="8"/>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120" w:type="dxa"/>
            <w:vAlign w:val="bottom"/>
            <w:gridSpan w:val="6"/>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89"/>
              </w:rPr>
              <w:t>Six Months Ended</w:t>
            </w: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80" w:type="dxa"/>
            <w:vAlign w:val="bottom"/>
            <w:gridSpan w:val="3"/>
          </w:tcPr>
          <w:p>
            <w:pPr>
              <w:jc w:val="right"/>
              <w:ind w:right="14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40" w:type="dxa"/>
            <w:vAlign w:val="bottom"/>
          </w:tcPr>
          <w:p>
            <w:pPr>
              <w:spacing w:after="0"/>
              <w:rPr>
                <w:sz w:val="17"/>
                <w:szCs w:val="17"/>
                <w:color w:val="auto"/>
              </w:rPr>
            </w:pPr>
          </w:p>
        </w:tc>
        <w:tc>
          <w:tcPr>
            <w:tcW w:w="124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220" w:type="dxa"/>
            <w:vAlign w:val="bottom"/>
          </w:tcPr>
          <w:p>
            <w:pPr>
              <w:spacing w:after="0"/>
              <w:rPr>
                <w:sz w:val="17"/>
                <w:szCs w:val="17"/>
                <w:color w:val="auto"/>
              </w:rPr>
            </w:pPr>
          </w:p>
        </w:tc>
        <w:tc>
          <w:tcPr>
            <w:tcW w:w="1260" w:type="dxa"/>
            <w:vAlign w:val="bottom"/>
            <w:gridSpan w:val="4"/>
          </w:tcPr>
          <w:p>
            <w:pPr>
              <w:jc w:val="right"/>
              <w:ind w:right="160"/>
              <w:spacing w:after="0" w:line="202" w:lineRule="exact"/>
              <w:rPr>
                <w:sz w:val="20"/>
                <w:szCs w:val="20"/>
                <w:color w:val="auto"/>
              </w:rPr>
            </w:pPr>
            <w:r>
              <w:rPr>
                <w:rFonts w:ascii="Arial" w:cs="Arial" w:eastAsia="Arial" w:hAnsi="Arial"/>
                <w:sz w:val="18"/>
                <w:szCs w:val="18"/>
                <w:b w:val="1"/>
                <w:bCs w:val="1"/>
                <w:color w:val="auto"/>
                <w:w w:val="92"/>
              </w:rPr>
              <w:t>June 30, 2019</w:t>
            </w:r>
          </w:p>
        </w:tc>
        <w:tc>
          <w:tcPr>
            <w:tcW w:w="260" w:type="dxa"/>
            <w:vAlign w:val="bottom"/>
          </w:tcPr>
          <w:p>
            <w:pPr>
              <w:spacing w:after="0"/>
              <w:rPr>
                <w:sz w:val="17"/>
                <w:szCs w:val="17"/>
                <w:color w:val="auto"/>
              </w:rPr>
            </w:pPr>
          </w:p>
        </w:tc>
        <w:tc>
          <w:tcPr>
            <w:tcW w:w="11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8"/>
              </w:rPr>
              <w:t>June 30, 2018</w:t>
            </w:r>
          </w:p>
        </w:tc>
      </w:tr>
      <w:tr>
        <w:trPr>
          <w:trHeight w:val="48"/>
        </w:trPr>
        <w:tc>
          <w:tcPr>
            <w:tcW w:w="4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9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1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695,137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641,610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1,369,989</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1,261,735</w:t>
            </w:r>
          </w:p>
        </w:tc>
      </w:tr>
      <w:tr>
        <w:trPr>
          <w:trHeight w:val="324"/>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Direct costs</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490,656</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449,226</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966,153</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879,818</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83,203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80,936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165,115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161,851</w:t>
            </w: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15,188</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17,046</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30,685</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33,944</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w:t>
            </w:r>
          </w:p>
        </w:tc>
        <w:tc>
          <w:tcPr>
            <w:tcW w:w="9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12,490</w:t>
            </w: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r>
      <w:tr>
        <w:trPr>
          <w:trHeight w:val="297"/>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82"/>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589,047</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559,698</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1,161,953</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1,088,103</w:t>
            </w:r>
          </w:p>
        </w:tc>
      </w:tr>
      <w:tr>
        <w:trPr>
          <w:trHeight w:val="297"/>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106,090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81,912</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208,036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173,632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1,780</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1,017</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3,525</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1,840</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(3,199)</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(7,097)</w:t>
            </w:r>
          </w:p>
        </w:tc>
      </w:tr>
      <w:tr>
        <w:trPr>
          <w:trHeight w:val="297"/>
        </w:trPr>
        <w:tc>
          <w:tcPr>
            <w:tcW w:w="4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104,671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79,627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205,008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168,375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(12,456)</w:t>
            </w:r>
          </w:p>
        </w:tc>
        <w:tc>
          <w:tcPr>
            <w:tcW w:w="24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(7,759)</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(24,496)</w:t>
            </w:r>
          </w:p>
        </w:tc>
        <w:tc>
          <w:tcPr>
            <w:tcW w:w="26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(18,409)</w:t>
            </w:r>
          </w:p>
        </w:tc>
      </w:tr>
      <w:tr>
        <w:trPr>
          <w:trHeight w:val="34"/>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92,215</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71,868</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180,512</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149,966</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the Group</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91,857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71,868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180,154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149,966</w:t>
            </w:r>
          </w:p>
        </w:tc>
      </w:tr>
      <w:tr>
        <w:trPr>
          <w:trHeight w:val="67"/>
        </w:trPr>
        <w:tc>
          <w:tcPr>
            <w:tcW w:w="4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per Ordinary Share attributable to the Group:</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2.78</w:t>
            </w:r>
          </w:p>
        </w:tc>
      </w:tr>
      <w:tr>
        <w:trPr>
          <w:trHeight w:val="67"/>
        </w:trPr>
        <w:tc>
          <w:tcPr>
            <w:tcW w:w="4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51"/>
        </w:trPr>
        <w:tc>
          <w:tcPr>
            <w:tcW w:w="49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3.31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2.73</w:t>
            </w:r>
          </w:p>
        </w:tc>
      </w:tr>
      <w:tr>
        <w:trPr>
          <w:trHeight w:val="67"/>
        </w:trPr>
        <w:tc>
          <w:tcPr>
            <w:tcW w:w="4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78"/>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Weighted average number of Ordinary Shares outstanding:</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49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53,957,446</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54,109,702</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53,901,427</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54,017,631</w:t>
            </w:r>
          </w:p>
        </w:tc>
      </w:tr>
      <w:tr>
        <w:trPr>
          <w:trHeight w:val="67"/>
        </w:trPr>
        <w:tc>
          <w:tcPr>
            <w:tcW w:w="49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r>
        <w:trPr>
          <w:trHeight w:val="251"/>
        </w:trPr>
        <w:tc>
          <w:tcPr>
            <w:tcW w:w="49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54,449,117</w:t>
            </w:r>
          </w:p>
        </w:tc>
        <w:tc>
          <w:tcPr>
            <w:tcW w:w="240" w:type="dxa"/>
            <w:vAlign w:val="bottom"/>
          </w:tcPr>
          <w:p>
            <w:pPr>
              <w:spacing w:after="0"/>
              <w:rPr>
                <w:sz w:val="21"/>
                <w:szCs w:val="21"/>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54,852,453</w:t>
            </w:r>
          </w:p>
        </w:tc>
        <w:tc>
          <w:tcPr>
            <w:tcW w:w="220" w:type="dxa"/>
            <w:vAlign w:val="bottom"/>
          </w:tcPr>
          <w:p>
            <w:pPr>
              <w:spacing w:after="0"/>
              <w:rPr>
                <w:sz w:val="21"/>
                <w:szCs w:val="21"/>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54,355,705</w:t>
            </w:r>
          </w:p>
        </w:tc>
        <w:tc>
          <w:tcPr>
            <w:tcW w:w="26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54,875,451</w:t>
            </w:r>
          </w:p>
        </w:tc>
      </w:tr>
      <w:tr>
        <w:trPr>
          <w:trHeight w:val="27"/>
        </w:trPr>
        <w:tc>
          <w:tcPr>
            <w:tcW w:w="4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2019 AND JUNE 30, 2018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3" w:lineRule="exact"/>
        <w:rPr>
          <w:sz w:val="20"/>
          <w:szCs w:val="20"/>
          <w:color w:val="auto"/>
        </w:rPr>
      </w:pPr>
    </w:p>
    <w:p>
      <w:pPr>
        <w:ind w:left="9360"/>
        <w:spacing w:after="0"/>
        <w:rPr>
          <w:sz w:val="20"/>
          <w:szCs w:val="20"/>
          <w:color w:val="auto"/>
        </w:rPr>
      </w:pPr>
      <w:r>
        <w:rPr>
          <w:rFonts w:ascii="Arial" w:cs="Arial" w:eastAsia="Arial" w:hAnsi="Arial"/>
          <w:sz w:val="16"/>
          <w:szCs w:val="16"/>
          <w:b w:val="1"/>
          <w:bCs w:val="1"/>
          <w:u w:val="single" w:color="auto"/>
          <w:color w:val="auto"/>
        </w:rPr>
        <w:t>Six Months Ended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June 30, 2019</w:t>
            </w:r>
          </w:p>
        </w:tc>
        <w:tc>
          <w:tcPr>
            <w:tcW w:w="38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8"/>
              </w:rPr>
              <w:t>June 30, 2018</w:t>
            </w:r>
          </w:p>
        </w:tc>
      </w:tr>
      <w:tr>
        <w:trPr>
          <w:trHeight w:val="48"/>
        </w:trPr>
        <w:tc>
          <w:tcPr>
            <w:tcW w:w="7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5"/>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(in thousands)</w:t>
            </w:r>
          </w:p>
        </w:tc>
      </w:tr>
      <w:tr>
        <w:trPr>
          <w:trHeight w:val="224"/>
        </w:trPr>
        <w:tc>
          <w:tcPr>
            <w:tcW w:w="7060" w:type="dxa"/>
            <w:vAlign w:val="bottom"/>
          </w:tcPr>
          <w:p>
            <w:pPr>
              <w:ind w:left="180"/>
              <w:spacing w:after="0"/>
              <w:rPr>
                <w:sz w:val="20"/>
                <w:szCs w:val="20"/>
                <w:color w:val="auto"/>
              </w:rPr>
            </w:pPr>
            <w:r>
              <w:rPr>
                <w:rFonts w:ascii="Arial" w:cs="Arial" w:eastAsia="Arial" w:hAnsi="Arial"/>
                <w:sz w:val="16"/>
                <w:szCs w:val="16"/>
                <w:b w:val="1"/>
                <w:bCs w:val="1"/>
                <w:color w:val="auto"/>
              </w:rPr>
              <w:t>Cash flows from operating activities:</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180,512</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149,966</w:t>
            </w:r>
          </w:p>
        </w:tc>
      </w:tr>
      <w:tr>
        <w:trPr>
          <w:trHeight w:val="224"/>
        </w:trPr>
        <w:tc>
          <w:tcPr>
            <w:tcW w:w="706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disposal of property, plant and equipment</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Depreciation expense</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22,916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23,779</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operating right-of-use assets</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00"/>
              <w:spacing w:after="0"/>
              <w:rPr>
                <w:sz w:val="20"/>
                <w:szCs w:val="20"/>
                <w:color w:val="auto"/>
              </w:rPr>
            </w:pPr>
            <w:r>
              <w:rPr>
                <w:rFonts w:ascii="Arial" w:cs="Arial" w:eastAsia="Arial" w:hAnsi="Arial"/>
                <w:sz w:val="16"/>
                <w:szCs w:val="16"/>
                <w:color w:val="auto"/>
              </w:rPr>
              <w:t>Amortization of intangibles</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10,165</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government grants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Interest on short term investments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(538)</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(712)</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on non-current operating lease liability</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Gain on re-measurement of financial assets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(500)</w:t>
            </w: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16,430</w:t>
            </w:r>
          </w:p>
        </w:tc>
      </w:tr>
      <w:tr>
        <w:trPr>
          <w:trHeight w:val="237"/>
        </w:trPr>
        <w:tc>
          <w:tcPr>
            <w:tcW w:w="7060" w:type="dxa"/>
            <w:vAlign w:val="bottom"/>
          </w:tcPr>
          <w:p>
            <w:pPr>
              <w:ind w:left="300"/>
              <w:spacing w:after="0"/>
              <w:rPr>
                <w:sz w:val="20"/>
                <w:szCs w:val="20"/>
                <w:color w:val="auto"/>
              </w:rPr>
            </w:pPr>
            <w:r>
              <w:rPr>
                <w:rFonts w:ascii="Arial" w:cs="Arial" w:eastAsia="Arial" w:hAnsi="Arial"/>
                <w:sz w:val="16"/>
                <w:szCs w:val="16"/>
                <w:color w:val="auto"/>
              </w:rPr>
              <w:t>Amortization of interest rate hedge</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(464)</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(463)</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financing costs</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530</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Deferred taxes</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(2,745)</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 in accounts receivable</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(9,285)</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(26,685)</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unbilled revenue</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(124,158)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(51,052)</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Decrease/(increase) in other receivables</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1,666</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(5,082)</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(Increase)/decrease in prepayments and other current assets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(2,946)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(7,223)</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 in other non-current assets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(1,925)</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(338)</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payments on account</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2,616</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 in other current liabilities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(10,581)</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(21,547)</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Decrease in operating lease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(16,724)</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Increase/(decrease) in other non-current liabilities</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(1,083)</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Decrease in income taxes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(3,191)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(3,622)</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Increase/(decrease) in accounts payable</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(3,241)</w:t>
            </w:r>
          </w:p>
        </w:tc>
      </w:tr>
      <w:tr>
        <w:trPr>
          <w:trHeight w:val="40"/>
        </w:trPr>
        <w:tc>
          <w:tcPr>
            <w:tcW w:w="70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117,369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79,671</w:t>
            </w:r>
          </w:p>
        </w:tc>
      </w:tr>
      <w:tr>
        <w:trPr>
          <w:trHeight w:val="224"/>
        </w:trPr>
        <w:tc>
          <w:tcPr>
            <w:tcW w:w="7060" w:type="dxa"/>
            <w:vAlign w:val="bottom"/>
          </w:tcPr>
          <w:p>
            <w:pPr>
              <w:ind w:left="180"/>
              <w:spacing w:after="0"/>
              <w:rPr>
                <w:sz w:val="20"/>
                <w:szCs w:val="20"/>
                <w:color w:val="auto"/>
              </w:rPr>
            </w:pPr>
            <w:r>
              <w:rPr>
                <w:rFonts w:ascii="Arial" w:cs="Arial" w:eastAsia="Arial" w:hAnsi="Arial"/>
                <w:sz w:val="16"/>
                <w:szCs w:val="16"/>
                <w:b w:val="1"/>
                <w:bCs w:val="1"/>
                <w:color w:val="auto"/>
              </w:rPr>
              <w:t>Cash flows from investing activities:</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property, plant and equipment</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(18,217)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(17,219)</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Purchase of subsidiary undertakings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(81,631)</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(1,645)</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acquired with subsidiary undertaking</w:t>
            </w:r>
          </w:p>
        </w:tc>
        <w:tc>
          <w:tcPr>
            <w:tcW w:w="18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8,405</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Purchase of available for sale investments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(9,105)</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(55,608)</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Sale of available for sale investments</w:t>
            </w:r>
          </w:p>
        </w:tc>
        <w:tc>
          <w:tcPr>
            <w:tcW w:w="18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9,061</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49,708</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Purchase of investments in equity - long term</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(3,305)</w:t>
            </w: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0"/>
        </w:trPr>
        <w:tc>
          <w:tcPr>
            <w:tcW w:w="70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(94,792)</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(24,764)</w:t>
            </w:r>
          </w:p>
        </w:tc>
      </w:tr>
      <w:tr>
        <w:trPr>
          <w:trHeight w:val="224"/>
        </w:trPr>
        <w:tc>
          <w:tcPr>
            <w:tcW w:w="7060" w:type="dxa"/>
            <w:vAlign w:val="bottom"/>
          </w:tcPr>
          <w:p>
            <w:pPr>
              <w:ind w:left="180"/>
              <w:spacing w:after="0"/>
              <w:rPr>
                <w:sz w:val="20"/>
                <w:szCs w:val="20"/>
                <w:color w:val="auto"/>
              </w:rPr>
            </w:pPr>
            <w:r>
              <w:rPr>
                <w:rFonts w:ascii="Arial" w:cs="Arial" w:eastAsia="Arial" w:hAnsi="Arial"/>
                <w:sz w:val="16"/>
                <w:szCs w:val="16"/>
                <w:b w:val="1"/>
                <w:bCs w:val="1"/>
                <w:color w:val="auto"/>
              </w:rPr>
              <w:t>Cash flows from financing activities:</w:t>
            </w:r>
          </w:p>
        </w:tc>
        <w:tc>
          <w:tcPr>
            <w:tcW w:w="1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Financing costs</w:t>
            </w:r>
          </w:p>
        </w:tc>
        <w:tc>
          <w:tcPr>
            <w:tcW w:w="18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(823)</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Proceeds from exercise of equity compensation</w:t>
            </w:r>
          </w:p>
        </w:tc>
        <w:tc>
          <w:tcPr>
            <w:tcW w:w="18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17,054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10,334</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Share issue costs</w:t>
            </w:r>
          </w:p>
        </w:tc>
        <w:tc>
          <w:tcPr>
            <w:tcW w:w="1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Repurchase of ordinary shares</w:t>
            </w:r>
          </w:p>
        </w:tc>
        <w:tc>
          <w:tcPr>
            <w:tcW w:w="18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(65,100)</w:t>
            </w:r>
          </w:p>
        </w:tc>
        <w:tc>
          <w:tcPr>
            <w:tcW w:w="3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(54,172)</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Share repurchase costs</w:t>
            </w:r>
          </w:p>
        </w:tc>
        <w:tc>
          <w:tcPr>
            <w:tcW w:w="18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w:t>
            </w:r>
          </w:p>
        </w:tc>
      </w:tr>
      <w:tr>
        <w:trPr>
          <w:trHeight w:val="237"/>
        </w:trPr>
        <w:tc>
          <w:tcPr>
            <w:tcW w:w="7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18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(48,104)</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(44,714)</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18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w:t>
            </w: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(3,833)</w:t>
            </w:r>
          </w:p>
        </w:tc>
      </w:tr>
      <w:tr>
        <w:trPr>
          <w:trHeight w:val="237"/>
        </w:trPr>
        <w:tc>
          <w:tcPr>
            <w:tcW w:w="7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18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(25,643)</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6,360</w:t>
            </w:r>
          </w:p>
        </w:tc>
      </w:tr>
      <w:tr>
        <w:trPr>
          <w:trHeight w:val="33"/>
        </w:trPr>
        <w:tc>
          <w:tcPr>
            <w:tcW w:w="70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395,851</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282,859</w:t>
            </w:r>
          </w:p>
        </w:tc>
      </w:tr>
      <w:tr>
        <w:trPr>
          <w:trHeight w:val="237"/>
        </w:trPr>
        <w:tc>
          <w:tcPr>
            <w:tcW w:w="7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8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370,208</w:t>
            </w: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289,219</w:t>
            </w:r>
          </w:p>
        </w:tc>
      </w:tr>
      <w:tr>
        <w:trPr>
          <w:trHeight w:val="33"/>
        </w:trPr>
        <w:tc>
          <w:tcPr>
            <w:tcW w:w="70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38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381" w:gutter="0" w:footer="0" w:header="0"/>
          <w:type w:val="continuous"/>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Group</w:t>
            </w: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left w:val="single" w:sz="8" w:color="CCEEFF"/>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jc w:val="right"/>
              <w:spacing w:after="0" w:line="183" w:lineRule="exact"/>
              <w:rPr>
                <w:sz w:val="20"/>
                <w:szCs w:val="20"/>
                <w:color w:val="auto"/>
              </w:rPr>
            </w:pPr>
            <w:r>
              <w:rPr>
                <w:rFonts w:ascii="Arial" w:cs="Arial" w:eastAsia="Arial" w:hAnsi="Arial"/>
                <w:sz w:val="16"/>
                <w:szCs w:val="16"/>
                <w:b w:val="1"/>
                <w:bCs w:val="1"/>
                <w:color w:val="auto"/>
                <w:w w:val="91"/>
              </w:rPr>
              <w:t>Additional</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w w:val="93"/>
              </w:rPr>
              <w:t>Redeemable</w:t>
            </w: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Paid-in</w:t>
            </w:r>
          </w:p>
        </w:tc>
        <w:tc>
          <w:tcPr>
            <w:tcW w:w="140" w:type="dxa"/>
            <w:vAlign w:val="bottom"/>
          </w:tcPr>
          <w:p>
            <w:pPr>
              <w:spacing w:after="0"/>
              <w:rPr>
                <w:sz w:val="15"/>
                <w:szCs w:val="15"/>
                <w:color w:val="auto"/>
              </w:rPr>
            </w:pPr>
          </w:p>
        </w:tc>
        <w:tc>
          <w:tcPr>
            <w:tcW w:w="1100" w:type="dxa"/>
            <w:vAlign w:val="bottom"/>
            <w:gridSpan w:val="4"/>
          </w:tcPr>
          <w:p>
            <w:pPr>
              <w:jc w:val="right"/>
              <w:spacing w:after="0" w:line="183" w:lineRule="exact"/>
              <w:rPr>
                <w:sz w:val="20"/>
                <w:szCs w:val="20"/>
                <w:color w:val="auto"/>
              </w:rPr>
            </w:pPr>
            <w:r>
              <w:rPr>
                <w:rFonts w:ascii="Arial" w:cs="Arial" w:eastAsia="Arial" w:hAnsi="Arial"/>
                <w:sz w:val="16"/>
                <w:szCs w:val="16"/>
                <w:b w:val="1"/>
                <w:bCs w:val="1"/>
                <w:color w:val="auto"/>
                <w:w w:val="89"/>
              </w:rPr>
              <w:t>Undenominated</w:t>
            </w:r>
          </w:p>
        </w:tc>
        <w:tc>
          <w:tcPr>
            <w:tcW w:w="120" w:type="dxa"/>
            <w:vAlign w:val="bottom"/>
          </w:tcPr>
          <w:p>
            <w:pPr>
              <w:spacing w:after="0"/>
              <w:rPr>
                <w:sz w:val="15"/>
                <w:szCs w:val="15"/>
                <w:color w:val="auto"/>
              </w:rPr>
            </w:pPr>
          </w:p>
        </w:tc>
        <w:tc>
          <w:tcPr>
            <w:tcW w:w="1060" w:type="dxa"/>
            <w:vAlign w:val="bottom"/>
            <w:gridSpan w:val="4"/>
          </w:tcPr>
          <w:p>
            <w:pPr>
              <w:jc w:val="right"/>
              <w:spacing w:after="0" w:line="183"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8"/>
              </w:rPr>
              <w:t>Retained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5"/>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Noncontrolling</w:t>
            </w:r>
          </w:p>
        </w:tc>
      </w:tr>
      <w:tr>
        <w:trPr>
          <w:trHeight w:val="20"/>
        </w:trPr>
        <w:tc>
          <w:tcPr>
            <w:tcW w:w="30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080" w:type="dxa"/>
            <w:vAlign w:val="bottom"/>
          </w:tcPr>
          <w:p>
            <w:pPr>
              <w:spacing w:after="0"/>
              <w:rPr>
                <w:sz w:val="15"/>
                <w:szCs w:val="15"/>
                <w:color w:val="auto"/>
              </w:rPr>
            </w:pPr>
          </w:p>
        </w:tc>
        <w:tc>
          <w:tcPr>
            <w:tcW w:w="960" w:type="dxa"/>
            <w:vAlign w:val="bottom"/>
            <w:gridSpan w:val="3"/>
          </w:tcPr>
          <w:p>
            <w:pPr>
              <w:jc w:val="right"/>
              <w:ind w:right="120"/>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5"/>
                <w:szCs w:val="15"/>
                <w:color w:val="auto"/>
              </w:rPr>
            </w:pPr>
          </w:p>
        </w:tc>
        <w:tc>
          <w:tcPr>
            <w:tcW w:w="66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Amount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3"/>
          </w:tcPr>
          <w:p>
            <w:pPr>
              <w:jc w:val="right"/>
              <w:ind w:right="140"/>
              <w:spacing w:after="0" w:line="183" w:lineRule="exact"/>
              <w:rPr>
                <w:sz w:val="20"/>
                <w:szCs w:val="20"/>
                <w:color w:val="auto"/>
              </w:rPr>
            </w:pPr>
            <w:r>
              <w:rPr>
                <w:rFonts w:ascii="Arial" w:cs="Arial" w:eastAsia="Arial" w:hAnsi="Arial"/>
                <w:sz w:val="16"/>
                <w:szCs w:val="16"/>
                <w:b w:val="1"/>
                <w:bCs w:val="1"/>
                <w:color w:val="auto"/>
                <w:w w:val="93"/>
              </w:rPr>
              <w:t>Capital</w:t>
            </w:r>
          </w:p>
        </w:tc>
        <w:tc>
          <w:tcPr>
            <w:tcW w:w="320" w:type="dxa"/>
            <w:vAlign w:val="bottom"/>
          </w:tcPr>
          <w:p>
            <w:pPr>
              <w:spacing w:after="0"/>
              <w:rPr>
                <w:sz w:val="15"/>
                <w:szCs w:val="15"/>
                <w:color w:val="auto"/>
              </w:rPr>
            </w:pPr>
          </w:p>
        </w:tc>
        <w:tc>
          <w:tcPr>
            <w:tcW w:w="900" w:type="dxa"/>
            <w:vAlign w:val="bottom"/>
            <w:gridSpan w:val="4"/>
          </w:tcPr>
          <w:p>
            <w:pPr>
              <w:jc w:val="right"/>
              <w:ind w:right="120"/>
              <w:spacing w:after="0" w:line="183" w:lineRule="exact"/>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5"/>
                <w:szCs w:val="15"/>
                <w:color w:val="auto"/>
              </w:rPr>
            </w:pPr>
          </w:p>
        </w:tc>
        <w:tc>
          <w:tcPr>
            <w:tcW w:w="1020" w:type="dxa"/>
            <w:vAlign w:val="bottom"/>
            <w:gridSpan w:val="4"/>
          </w:tcPr>
          <w:p>
            <w:pPr>
              <w:jc w:val="right"/>
              <w:ind w:right="100"/>
              <w:spacing w:after="0" w:line="183" w:lineRule="exact"/>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5"/>
                <w:szCs w:val="15"/>
                <w:color w:val="auto"/>
              </w:rPr>
            </w:pPr>
          </w:p>
        </w:tc>
        <w:tc>
          <w:tcPr>
            <w:tcW w:w="740" w:type="dxa"/>
            <w:vAlign w:val="bottom"/>
            <w:gridSpan w:val="4"/>
          </w:tcPr>
          <w:p>
            <w:pPr>
              <w:jc w:val="right"/>
              <w:ind w:right="80"/>
              <w:spacing w:after="0" w:line="183" w:lineRule="exact"/>
              <w:rPr>
                <w:sz w:val="20"/>
                <w:szCs w:val="20"/>
                <w:color w:val="auto"/>
              </w:rPr>
            </w:pPr>
            <w:r>
              <w:rPr>
                <w:rFonts w:ascii="Arial" w:cs="Arial" w:eastAsia="Arial" w:hAnsi="Arial"/>
                <w:sz w:val="16"/>
                <w:szCs w:val="16"/>
                <w:b w:val="1"/>
                <w:bCs w:val="1"/>
                <w:color w:val="auto"/>
                <w:w w:val="93"/>
              </w:rPr>
              <w:t>Earnings</w:t>
            </w:r>
          </w:p>
        </w:tc>
        <w:tc>
          <w:tcPr>
            <w:tcW w:w="880" w:type="dxa"/>
            <w:vAlign w:val="bottom"/>
            <w:gridSpan w:val="3"/>
          </w:tcPr>
          <w:p>
            <w:pPr>
              <w:jc w:val="right"/>
              <w:ind w:right="100"/>
              <w:spacing w:after="0" w:line="183"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jc w:val="right"/>
              <w:ind w:right="100"/>
              <w:spacing w:after="0" w:line="183" w:lineRule="exact"/>
              <w:rPr>
                <w:sz w:val="20"/>
                <w:szCs w:val="20"/>
                <w:color w:val="auto"/>
              </w:rPr>
            </w:pPr>
            <w:r>
              <w:rPr>
                <w:rFonts w:ascii="Arial" w:cs="Arial" w:eastAsia="Arial" w:hAnsi="Arial"/>
                <w:sz w:val="16"/>
                <w:szCs w:val="16"/>
                <w:b w:val="1"/>
                <w:bCs w:val="1"/>
                <w:color w:val="auto"/>
                <w:w w:val="89"/>
              </w:rPr>
              <w:t>Interest</w:t>
            </w:r>
          </w:p>
        </w:tc>
      </w:tr>
      <w:tr>
        <w:trPr>
          <w:trHeight w:val="48"/>
        </w:trPr>
        <w:tc>
          <w:tcPr>
            <w:tcW w:w="3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17"/>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(dollars in thousands, except share data)</w:t>
            </w: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53,971,706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4,658</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529,642</w:t>
            </w:r>
          </w:p>
        </w:tc>
        <w:tc>
          <w:tcPr>
            <w:tcW w:w="140" w:type="dxa"/>
            <w:vAlign w:val="bottom"/>
          </w:tcPr>
          <w:p>
            <w:pPr>
              <w:spacing w:after="0"/>
              <w:rPr>
                <w:sz w:val="19"/>
                <w:szCs w:val="19"/>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(69,328)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6"/>
                <w:szCs w:val="16"/>
                <w:color w:val="auto"/>
              </w:rPr>
              <w:t>888,326</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w w:val="94"/>
              </w:rPr>
              <w:t>$1,354,281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40"/>
        </w:trPr>
        <w:tc>
          <w:tcPr>
            <w:tcW w:w="3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324"/>
        </w:trPr>
        <w:tc>
          <w:tcPr>
            <w:tcW w:w="30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37"/>
        </w:trPr>
        <w:tc>
          <w:tcPr>
            <w:tcW w:w="3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180,154</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180,154</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(2,726)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(2,726)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Currency impact of long term funding (net of</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3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w:t>
            </w: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(731)</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Unrealized capital gain – investments</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580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(464)</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331"/>
        </w:trPr>
        <w:tc>
          <w:tcPr>
            <w:tcW w:w="3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3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(3,341)</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180,154</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176,813</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324"/>
        </w:trPr>
        <w:tc>
          <w:tcPr>
            <w:tcW w:w="30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9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256,803</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17,014</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17,031</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Issue of restricted share units</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346,424</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 compensation expense</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12,933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12,933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color w:val="auto"/>
              </w:rPr>
              <w:t>Share issuance costs</w:t>
            </w:r>
          </w:p>
        </w:tc>
        <w:tc>
          <w:tcPr>
            <w:tcW w:w="3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 program</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(496,235)</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(65,100)</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(65,100)</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38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6"/>
                <w:szCs w:val="16"/>
                <w:color w:val="auto"/>
              </w:rPr>
              <w:t>(52)</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redeemable noncontrolling</w:t>
            </w: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9"/>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w:t>
            </w:r>
          </w:p>
        </w:tc>
        <w:tc>
          <w:tcPr>
            <w:tcW w:w="3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32,592</w:t>
            </w:r>
          </w:p>
        </w:tc>
      </w:tr>
      <w:tr>
        <w:trPr>
          <w:trHeight w:val="220"/>
        </w:trPr>
        <w:tc>
          <w:tcPr>
            <w:tcW w:w="3080" w:type="dxa"/>
            <w:vAlign w:val="bottom"/>
          </w:tcPr>
          <w:p>
            <w:pPr>
              <w:ind w:left="40"/>
              <w:spacing w:after="0"/>
              <w:rPr>
                <w:sz w:val="20"/>
                <w:szCs w:val="20"/>
                <w:color w:val="auto"/>
              </w:rPr>
            </w:pPr>
            <w:r>
              <w:rPr>
                <w:rFonts w:ascii="Arial" w:cs="Arial" w:eastAsia="Arial" w:hAnsi="Arial"/>
                <w:sz w:val="16"/>
                <w:szCs w:val="16"/>
                <w:color w:val="auto"/>
              </w:rPr>
              <w:t>Net income attributable to redeemable</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8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3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6"/>
                <w:szCs w:val="16"/>
                <w:color w:val="auto"/>
              </w:rPr>
              <w:t>358</w:t>
            </w:r>
          </w:p>
        </w:tc>
      </w:tr>
      <w:tr>
        <w:trPr>
          <w:trHeight w:val="33"/>
        </w:trPr>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331"/>
        </w:trPr>
        <w:tc>
          <w:tcPr>
            <w:tcW w:w="30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left w:val="single" w:sz="8" w:color="CCEEFF"/>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r>
      <w:tr>
        <w:trPr>
          <w:trHeight w:val="224"/>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54,078,698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4,664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559,583</w:t>
            </w:r>
          </w:p>
        </w:tc>
        <w:tc>
          <w:tcPr>
            <w:tcW w:w="140" w:type="dxa"/>
            <w:vAlign w:val="bottom"/>
          </w:tcPr>
          <w:p>
            <w:pPr>
              <w:spacing w:after="0"/>
              <w:rPr>
                <w:sz w:val="19"/>
                <w:szCs w:val="19"/>
                <w:color w:val="auto"/>
              </w:rPr>
            </w:pP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40"/>
              <w:spacing w:after="0"/>
              <w:rPr>
                <w:sz w:val="20"/>
                <w:szCs w:val="20"/>
                <w:color w:val="auto"/>
              </w:rPr>
            </w:pPr>
            <w:r>
              <w:rPr>
                <w:rFonts w:ascii="Arial" w:cs="Arial" w:eastAsia="Arial" w:hAnsi="Arial"/>
                <w:sz w:val="16"/>
                <w:szCs w:val="16"/>
                <w:color w:val="auto"/>
              </w:rPr>
              <w:t>(72,669)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80"/>
              <w:spacing w:after="0"/>
              <w:rPr>
                <w:sz w:val="20"/>
                <w:szCs w:val="20"/>
                <w:color w:val="auto"/>
              </w:rPr>
            </w:pPr>
            <w:r>
              <w:rPr>
                <w:rFonts w:ascii="Arial" w:cs="Arial" w:eastAsia="Arial" w:hAnsi="Arial"/>
                <w:sz w:val="16"/>
                <w:szCs w:val="16"/>
                <w:color w:val="auto"/>
                <w:w w:val="89"/>
              </w:rPr>
              <w:t>1,003,328</w:t>
            </w: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w w:val="94"/>
              </w:rPr>
              <w:t>$1,495,923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100"/>
              <w:spacing w:after="0"/>
              <w:rPr>
                <w:sz w:val="20"/>
                <w:szCs w:val="20"/>
                <w:color w:val="auto"/>
              </w:rPr>
            </w:pPr>
            <w:r>
              <w:rPr>
                <w:rFonts w:ascii="Arial" w:cs="Arial" w:eastAsia="Arial" w:hAnsi="Arial"/>
                <w:sz w:val="16"/>
                <w:szCs w:val="16"/>
                <w:color w:val="auto"/>
              </w:rPr>
              <w:t>32,950</w:t>
            </w:r>
          </w:p>
        </w:tc>
      </w:tr>
      <w:tr>
        <w:trPr>
          <w:trHeight w:val="33"/>
        </w:trPr>
        <w:tc>
          <w:tcPr>
            <w:tcW w:w="3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58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condensed consolidated financial statements should be read in conjunction with the accounting policies and notes to the consolidated financial statements included in ICON’s Form 20-F for the year ended December 31, 2018 (see </w:t>
      </w:r>
      <w:r>
        <w:rPr>
          <w:rFonts w:ascii="Arial" w:cs="Arial" w:eastAsia="Arial" w:hAnsi="Arial"/>
          <w:sz w:val="18"/>
          <w:szCs w:val="18"/>
          <w:i w:val="1"/>
          <w:iCs w:val="1"/>
          <w:color w:val="auto"/>
        </w:rPr>
        <w:t>note 2 - Significant accounting policies</w:t>
      </w:r>
      <w:r>
        <w:rPr>
          <w:rFonts w:ascii="Arial" w:cs="Arial" w:eastAsia="Arial" w:hAnsi="Arial"/>
          <w:sz w:val="18"/>
          <w:szCs w:val="18"/>
          <w:color w:val="auto"/>
        </w:rPr>
        <w:t xml:space="preserve"> for impact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Operating results for the six months ended June 30, 2019 are not necessarily indicative of the results that may be expected for the fiscal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 and equity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ICON has obtained a majority ownership interest in MeDiNova and included in the purchase agreement are put and call option arrangements with the noncontrolling interest holders that require (put option) or enable (call option) ICON to purchase the remaining minority ownership at a later date. ICON accounts for all of these minority put arrangements as temporary equity, which is presented separately as redeemable noncontrolling interest on the Condensed Consolidated Balance Sheet. This classification reflects the assessment that the instruments are contingently redeemable in accordance with ASC 480-10-S99, </w:t>
      </w:r>
      <w:r>
        <w:rPr>
          <w:rFonts w:ascii="Arial" w:cs="Arial" w:eastAsia="Arial" w:hAnsi="Arial"/>
          <w:sz w:val="18"/>
          <w:szCs w:val="18"/>
          <w:i w:val="1"/>
          <w:iCs w:val="1"/>
          <w:color w:val="auto"/>
        </w:rPr>
        <w:t>'Distinguishing Liabilities from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with a date of initial application of January 1, 2019. The lease accounting policy applied in preparation of the results for the three and six months ended June 30, 2019 therefore reflect application of ASC 842. ICON adopted the standard using the cumulative-effect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7"/>
          <w:szCs w:val="17"/>
          <w:i w:val="1"/>
          <w:iCs w:val="1"/>
          <w:color w:val="auto"/>
        </w:rPr>
        <w:t>note 14 - Impact of change in accounting policies</w:t>
      </w:r>
      <w:r>
        <w:rPr>
          <w:rFonts w:ascii="Arial" w:cs="Arial" w:eastAsia="Arial" w:hAnsi="Arial"/>
          <w:sz w:val="17"/>
          <w:szCs w:val="17"/>
          <w:color w:val="auto"/>
        </w:rPr>
        <w:t xml:space="preserve"> for further details). The comparative information has not been adjusted and therefore continues to be reported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standard requires lessees to recognize the rights and obligations resulting from virtually all leases on the balance sheet as right-of-use (ROU) assets with corresponding lease liabilities.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significant impact of application of the new standard for ICON relates to the recognition of right-of-use assets and lease liabilities on the Condensed Consolidated Balance Sheet for operating leases for certain property, vehicles and equipment. Prior to application of ASC 842, costs in respect of operating leases were charged to the Condensed Consolidated Statements of Operations on a straight-line basis over the lease term.</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determines if an arrangement is a lease at inception. Finance leases, if any, are depreciated on the same basis as property, plant and equipment. At June 30, 2019 and December 31, 2018, the Group did not account for any leases as finance leases.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leases are included in operating right-of-use assets, other liabilities and non-current operating lease liabilities on our Condensed Consolidated Balance Sheet with lease amortization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exercized.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on the statements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ICON accounts for lease and non-lease components separately with lease components flowing through the Condensed Consolidated Balance Sheet and non-lease components expensed directly to the Condensed Consolidated Statements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4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gridSpan w:val="5"/>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Borders>
              <w:bottom w:val="single" w:sz="8" w:color="CCEEFF"/>
            </w:tcBorders>
            <w:gridSpan w:val="2"/>
            <w:shd w:val="clear" w:color="auto" w:fill="CCEEFF"/>
          </w:tcPr>
          <w:p>
            <w:pPr>
              <w:spacing w:after="0"/>
              <w:rPr>
                <w:sz w:val="22"/>
                <w:szCs w:val="22"/>
                <w:color w:val="auto"/>
              </w:rPr>
            </w:pPr>
          </w:p>
        </w:tc>
      </w:tr>
      <w:tr>
        <w:trPr>
          <w:trHeight w:val="203"/>
        </w:trPr>
        <w:tc>
          <w:tcPr>
            <w:tcW w:w="3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18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3"/>
              </w:rPr>
              <w:t>June 30, 2019</w:t>
            </w:r>
          </w:p>
        </w:tc>
        <w:tc>
          <w:tcPr>
            <w:tcW w:w="200" w:type="dxa"/>
            <w:vAlign w:val="bottom"/>
          </w:tcPr>
          <w:p>
            <w:pPr>
              <w:spacing w:after="0"/>
              <w:rPr>
                <w:sz w:val="17"/>
                <w:szCs w:val="17"/>
                <w:color w:val="auto"/>
              </w:rPr>
            </w:pPr>
          </w:p>
        </w:tc>
        <w:tc>
          <w:tcPr>
            <w:tcW w:w="122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7"/>
              </w:rPr>
              <w:t>June 30, 2018</w:t>
            </w:r>
          </w:p>
        </w:tc>
        <w:tc>
          <w:tcPr>
            <w:tcW w:w="300" w:type="dxa"/>
            <w:vAlign w:val="bottom"/>
          </w:tcPr>
          <w:p>
            <w:pPr>
              <w:spacing w:after="0"/>
              <w:rPr>
                <w:sz w:val="17"/>
                <w:szCs w:val="17"/>
                <w:color w:val="auto"/>
              </w:rPr>
            </w:pPr>
          </w:p>
        </w:tc>
        <w:tc>
          <w:tcPr>
            <w:tcW w:w="11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4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3340" w:type="dxa"/>
            <w:vAlign w:val="bottom"/>
          </w:tcPr>
          <w:p>
            <w:pPr>
              <w:spacing w:after="0"/>
              <w:rPr>
                <w:sz w:val="4"/>
                <w:szCs w:val="4"/>
                <w:color w:val="auto"/>
              </w:rPr>
            </w:pPr>
          </w:p>
        </w:tc>
        <w:tc>
          <w:tcPr>
            <w:tcW w:w="2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7"/>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6"/>
            <w:shd w:val="clear" w:color="auto" w:fill="CCEEFF"/>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r>
      <w:tr>
        <w:trPr>
          <w:trHeight w:val="324"/>
        </w:trPr>
        <w:tc>
          <w:tcPr>
            <w:tcW w:w="3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89,565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90,526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189,559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156,344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2660" w:type="dxa"/>
            <w:vAlign w:val="bottom"/>
          </w:tcPr>
          <w:p>
            <w:pPr>
              <w:spacing w:after="0"/>
              <w:rPr>
                <w:sz w:val="21"/>
                <w:szCs w:val="21"/>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166,772</w:t>
            </w:r>
          </w:p>
        </w:tc>
        <w:tc>
          <w:tcPr>
            <w:tcW w:w="2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168,305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336,285</w:t>
            </w:r>
          </w:p>
        </w:tc>
        <w:tc>
          <w:tcPr>
            <w:tcW w:w="24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329,402</w:t>
            </w:r>
          </w:p>
        </w:tc>
      </w:tr>
      <w:tr>
        <w:trPr>
          <w:trHeight w:val="27"/>
        </w:trPr>
        <w:tc>
          <w:tcPr>
            <w:tcW w:w="3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2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87,725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98,901</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166,499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194,132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2660" w:type="dxa"/>
            <w:vAlign w:val="bottom"/>
          </w:tcPr>
          <w:p>
            <w:pPr>
              <w:spacing w:after="0"/>
              <w:rPr>
                <w:sz w:val="21"/>
                <w:szCs w:val="21"/>
                <w:color w:val="auto"/>
              </w:rPr>
            </w:pP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139,086</w:t>
            </w:r>
          </w:p>
        </w:tc>
        <w:tc>
          <w:tcPr>
            <w:tcW w:w="200" w:type="dxa"/>
            <w:vAlign w:val="bottom"/>
          </w:tcPr>
          <w:p>
            <w:pPr>
              <w:spacing w:after="0"/>
              <w:rPr>
                <w:sz w:val="21"/>
                <w:szCs w:val="21"/>
                <w:color w:val="auto"/>
              </w:rPr>
            </w:pP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115,305</w:t>
            </w:r>
          </w:p>
        </w:tc>
        <w:tc>
          <w:tcPr>
            <w:tcW w:w="30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274,748</w:t>
            </w:r>
          </w:p>
        </w:tc>
        <w:tc>
          <w:tcPr>
            <w:tcW w:w="24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228,388</w:t>
            </w:r>
          </w:p>
        </w:tc>
      </w:tr>
      <w:tr>
        <w:trPr>
          <w:trHeight w:val="27"/>
        </w:trPr>
        <w:tc>
          <w:tcPr>
            <w:tcW w:w="3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211,989</w:t>
            </w:r>
          </w:p>
        </w:tc>
        <w:tc>
          <w:tcPr>
            <w:tcW w:w="2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168,573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402,898</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353,469</w:t>
            </w:r>
          </w:p>
        </w:tc>
      </w:tr>
      <w:tr>
        <w:trPr>
          <w:trHeight w:val="270"/>
        </w:trPr>
        <w:tc>
          <w:tcPr>
            <w:tcW w:w="3340" w:type="dxa"/>
            <w:vAlign w:val="bottom"/>
            <w:tcBorders>
              <w:top w:val="single" w:sz="8" w:color="auto"/>
            </w:tcBorders>
          </w:tcPr>
          <w:p>
            <w:pPr>
              <w:spacing w:after="0"/>
              <w:rPr>
                <w:sz w:val="23"/>
                <w:szCs w:val="23"/>
                <w:color w:val="auto"/>
              </w:rPr>
            </w:pPr>
          </w:p>
        </w:tc>
        <w:tc>
          <w:tcPr>
            <w:tcW w:w="2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695,137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641,610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1,369,989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1,261,735</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340" w:type="dxa"/>
            <w:vAlign w:val="bottom"/>
          </w:tcPr>
          <w:p>
            <w:pPr>
              <w:spacing w:after="0"/>
              <w:rPr>
                <w:sz w:val="24"/>
                <w:szCs w:val="24"/>
                <w:color w:val="auto"/>
              </w:rPr>
            </w:pPr>
          </w:p>
        </w:tc>
        <w:tc>
          <w:tcPr>
            <w:tcW w:w="26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Arial" w:cs="Arial" w:eastAsia="Arial" w:hAnsi="Arial"/>
                <w:sz w:val="18"/>
                <w:szCs w:val="18"/>
                <w:b w:val="1"/>
                <w:bCs w:val="1"/>
                <w:color w:val="auto"/>
                <w:w w:val="92"/>
              </w:rPr>
              <w:t>4. Accounts receivable, unbilled revenue (contract assets) and payments on account (contract liabilities)</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60" w:type="dxa"/>
            <w:vAlign w:val="bottom"/>
          </w:tcPr>
          <w:p>
            <w:pPr>
              <w:spacing w:after="0"/>
              <w:rPr>
                <w:sz w:val="20"/>
                <w:szCs w:val="20"/>
                <w:color w:val="auto"/>
              </w:rPr>
            </w:pPr>
            <w:r>
              <w:rPr>
                <w:rFonts w:ascii="Arial" w:cs="Arial" w:eastAsia="Arial" w:hAnsi="Arial"/>
                <w:sz w:val="18"/>
                <w:szCs w:val="18"/>
                <w:color w:val="auto"/>
              </w:rPr>
              <w:t>Accounts receivables and unbilled revenue are as follows: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8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8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92"/>
              </w:rPr>
              <w:t>June 30, 2019</w:t>
            </w:r>
          </w:p>
        </w:tc>
        <w:tc>
          <w:tcPr>
            <w:tcW w:w="2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7"/>
                <w:szCs w:val="17"/>
                <w:color w:val="auto"/>
              </w:rPr>
            </w:pPr>
          </w:p>
        </w:tc>
      </w:tr>
      <w:tr>
        <w:trPr>
          <w:trHeight w:val="48"/>
        </w:trPr>
        <w:tc>
          <w:tcPr>
            <w:tcW w:w="82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8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436,695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423,680</w:t>
            </w:r>
          </w:p>
        </w:tc>
        <w:tc>
          <w:tcPr>
            <w:tcW w:w="10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4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491,848</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362,926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82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Accounts receivable and unbilled revenue</w:t>
            </w:r>
          </w:p>
        </w:tc>
        <w:tc>
          <w:tcPr>
            <w:tcW w:w="4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928,543</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786,606</w:t>
            </w:r>
          </w:p>
        </w:tc>
        <w:tc>
          <w:tcPr>
            <w:tcW w:w="100" w:type="dxa"/>
            <w:vAlign w:val="bottom"/>
            <w:tcBorders>
              <w:top w:val="single" w:sz="8" w:color="auto"/>
            </w:tcBorders>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(8,889)</w:t>
            </w:r>
          </w:p>
        </w:tc>
      </w:tr>
      <w:tr>
        <w:trPr>
          <w:trHeight w:val="324"/>
        </w:trPr>
        <w:tc>
          <w:tcPr>
            <w:tcW w:w="8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and unbilled revenue, net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923,829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777,717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8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Unbilled services and payments on account (contract assets and liabilities)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December 31,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4"/>
        </w:trPr>
        <w:tc>
          <w:tcPr>
            <w:tcW w:w="432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14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90"/>
              </w:rPr>
              <w:t>June 30, 2019</w:t>
            </w: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CCEEFF"/>
            </w:tcBorders>
            <w:gridSpan w:val="3"/>
            <w:shd w:val="clear" w:color="auto" w:fill="CCEEFF"/>
          </w:tcPr>
          <w:p>
            <w:pPr>
              <w:jc w:val="right"/>
              <w:ind w:right="740"/>
              <w:spacing w:after="0" w:line="196" w:lineRule="exact"/>
              <w:rPr>
                <w:sz w:val="20"/>
                <w:szCs w:val="20"/>
                <w:color w:val="auto"/>
              </w:rPr>
            </w:pPr>
            <w:r>
              <w:rPr>
                <w:rFonts w:ascii="Arial" w:cs="Arial" w:eastAsia="Arial" w:hAnsi="Arial"/>
                <w:sz w:val="18"/>
                <w:szCs w:val="18"/>
                <w:b w:val="1"/>
                <w:bCs w:val="1"/>
                <w:color w:val="auto"/>
                <w:w w:val="98"/>
              </w:rPr>
              <w:t>$ Change</w:t>
            </w:r>
          </w:p>
        </w:tc>
        <w:tc>
          <w:tcPr>
            <w:tcW w:w="1120" w:type="dxa"/>
            <w:vAlign w:val="bottom"/>
            <w:tcBorders>
              <w:top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w w:val="91"/>
              </w:rPr>
              <w:t>% Change</w:t>
            </w:r>
          </w:p>
        </w:tc>
      </w:tr>
      <w:tr>
        <w:trPr>
          <w:trHeight w:val="324"/>
        </w:trPr>
        <w:tc>
          <w:tcPr>
            <w:tcW w:w="432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491,848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362,926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128,922</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142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(321,484)</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(274,468)</w:t>
            </w:r>
          </w:p>
        </w:tc>
        <w:tc>
          <w:tcPr>
            <w:tcW w:w="280" w:type="dxa"/>
            <w:vAlign w:val="bottom"/>
          </w:tcPr>
          <w:p>
            <w:pPr>
              <w:spacing w:after="0"/>
              <w:rPr>
                <w:sz w:val="21"/>
                <w:szCs w:val="21"/>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8"/>
                <w:szCs w:val="18"/>
                <w:color w:val="auto"/>
              </w:rPr>
              <w:t>(47,016)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34"/>
        </w:trPr>
        <w:tc>
          <w:tcPr>
            <w:tcW w:w="4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324"/>
        </w:trPr>
        <w:tc>
          <w:tcPr>
            <w:tcW w:w="43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170,364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88,458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81,906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92.6%</w:t>
            </w:r>
          </w:p>
        </w:tc>
      </w:tr>
      <w:tr>
        <w:trPr>
          <w:trHeight w:val="27"/>
        </w:trPr>
        <w:tc>
          <w:tcPr>
            <w:tcW w:w="4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Unbilled services as at June 30, 2019 increased by $128.9 million as compared to December 31, 2018. Payments on account increased by $47.0 million over the same period resulting in an increase of $81.9 million in the net balance of unbilled services and payments on account between December 31, 2018 and June 30, 2019. These fluctuations are primarily due to timing of payments and invoicing related to the Group's clinical trial management contracts.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bad debt expense recognized on the Group's receivables and unbilled services was de minimis for the three and six months ended June 30, 2019 and June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approximately $5.6 billion of revenue is expected to be recognized in the future in respect of unsatisfied performance obligations. The Company expects to recognize revenue on approximately 40% of the unsatisfied performance obligation over the next 12 months, with the remainder recognized thereafter over the duration of the customer contracts.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5. Goodwill</w:t>
            </w: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550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9"/>
              </w:rPr>
              <w:t>Six Months</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44"/>
        </w:trPr>
        <w:tc>
          <w:tcPr>
            <w:tcW w:w="550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Ended</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550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CCEEFF"/>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0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w w:val="97"/>
              </w:rPr>
              <w:t>June 30, 2019</w:t>
            </w:r>
          </w:p>
        </w:tc>
        <w:tc>
          <w:tcPr>
            <w:tcW w:w="28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r>
      <w:tr>
        <w:trPr>
          <w:trHeight w:val="48"/>
        </w:trPr>
        <w:tc>
          <w:tcPr>
            <w:tcW w:w="55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8"/>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95"/>
              </w:rPr>
              <w:t>(in thousands)</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3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756,260</w:t>
            </w:r>
          </w:p>
        </w:tc>
        <w:tc>
          <w:tcPr>
            <w:tcW w:w="1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769,058</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30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101,895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Prior period acquisitions</w:t>
            </w:r>
          </w:p>
        </w:tc>
        <w:tc>
          <w:tcPr>
            <w:tcW w:w="3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0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(3,414)</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(13,846)</w:t>
            </w:r>
          </w:p>
        </w:tc>
      </w:tr>
      <w:tr>
        <w:trPr>
          <w:trHeight w:val="297"/>
        </w:trPr>
        <w:tc>
          <w:tcPr>
            <w:tcW w:w="550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3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854,741</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756,260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combinations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MeDiNova</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23, 2019 a subsidiary of the Company, ICON Clinical Research (UK) Limited acquired a majority shareholding in MeDiNova, a site network with research sites in key markets in Europe and Africa. ICON has the right to acquire the remaining shares in the company during 2020. The vendors also have a right to sell the remaining shares to ICON during 2020. The acquisition further enhances ICON's patient recruitment capabilities in EMEA and complements ICON's existing site network in the US, PMG Research.</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MeDiNova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May 23,</w:t>
            </w:r>
          </w:p>
        </w:tc>
      </w:tr>
      <w:tr>
        <w:trPr>
          <w:trHeight w:val="243"/>
        </w:trPr>
        <w:tc>
          <w:tcPr>
            <w:tcW w:w="73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6"/>
              </w:rPr>
              <w:t>(in thousands)</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w:t>
            </w:r>
          </w:p>
        </w:tc>
        <w:tc>
          <w:tcPr>
            <w:tcW w:w="2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7,719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Property, plant and equipment</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1,888</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Goodwill*</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74,325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Intangible asset**</w:t>
            </w: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15,069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receivable</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4,272</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Prepayments and other current assets</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819</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Accounts payable</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2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(5,796)</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2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(1,413)</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Non-current deferred tax liability</w:t>
            </w:r>
          </w:p>
        </w:tc>
        <w:tc>
          <w:tcPr>
            <w:tcW w:w="27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r>
      <w:tr>
        <w:trPr>
          <w:trHeight w:val="216"/>
        </w:trPr>
        <w:tc>
          <w:tcPr>
            <w:tcW w:w="73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86,715</w:t>
            </w:r>
          </w:p>
        </w:tc>
      </w:tr>
      <w:tr>
        <w:trPr>
          <w:trHeight w:val="243"/>
        </w:trPr>
        <w:tc>
          <w:tcPr>
            <w:tcW w:w="732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outflows</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7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14,841</w:t>
            </w:r>
          </w:p>
        </w:tc>
      </w:tr>
      <w:tr>
        <w:trPr>
          <w:trHeight w:val="27"/>
        </w:trPr>
        <w:tc>
          <w:tcPr>
            <w:tcW w:w="7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Redeemable noncontrolling interest</w:t>
            </w:r>
          </w:p>
        </w:tc>
        <w:tc>
          <w:tcPr>
            <w:tcW w:w="27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32,592</w:t>
            </w:r>
          </w:p>
        </w:tc>
      </w:tr>
      <w:tr>
        <w:trPr>
          <w:trHeight w:val="270"/>
        </w:trPr>
        <w:tc>
          <w:tcPr>
            <w:tcW w:w="7320" w:type="dxa"/>
            <w:vAlign w:val="bottom"/>
            <w:tcBorders>
              <w:top w:val="single" w:sz="8" w:color="auto"/>
            </w:tcBorders>
          </w:tcPr>
          <w:p>
            <w:pPr>
              <w:spacing w:after="0"/>
              <w:rPr>
                <w:sz w:val="23"/>
                <w:szCs w:val="23"/>
                <w:color w:val="auto"/>
              </w:rPr>
            </w:pPr>
          </w:p>
        </w:tc>
        <w:tc>
          <w:tcPr>
            <w:tcW w:w="272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(including redeemable noncontrolling interest)</w:t>
            </w:r>
          </w:p>
        </w:tc>
        <w:tc>
          <w:tcPr>
            <w:tcW w:w="2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86,715</w:t>
            </w:r>
          </w:p>
        </w:tc>
      </w:tr>
      <w:tr>
        <w:trPr>
          <w:trHeight w:val="27"/>
        </w:trPr>
        <w:tc>
          <w:tcPr>
            <w:tcW w:w="7320" w:type="dxa"/>
            <w:vAlign w:val="bottom"/>
            <w:shd w:val="clear" w:color="auto" w:fill="000000"/>
          </w:tcPr>
          <w:p>
            <w:pPr>
              <w:spacing w:after="0"/>
              <w:rPr>
                <w:sz w:val="2"/>
                <w:szCs w:val="2"/>
                <w:color w:val="auto"/>
              </w:rPr>
            </w:pPr>
          </w:p>
        </w:tc>
        <w:tc>
          <w:tcPr>
            <w:tcW w:w="27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825"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2" w:right="239" w:bottom="825"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*Goodwill represents the acquisition of an established workforce and access to a broad site network in Europe and Africa.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made an initial estimate of separate intangible assets acquired of $15.1 million, principally customer relationships and order book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 is under review and will be finalized within 12 months of the date of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MolecularMD Corp ("MMD")</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consideration on acquisition was $42.2 million.</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MMD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following table summarizes the Company’s fair values of the assets acquired and liabilities assumed:</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January, 25</w:t>
            </w: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2,866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Intangible asset**</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13,410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2,421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(3,487)</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42,173</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outflows</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42,349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2"/>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w:t>
            </w:r>
          </w:p>
        </w:tc>
        <w:tc>
          <w:tcPr>
            <w:tcW w:w="38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42,173</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*Goodwill represents the acquisition of an established workforce with experience in molecular diagnostic specialty laboratory services and commercialization of precision medicines in oncology.</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has made an estimate of separate intangible assets acquired of $13.4 million, being customer relationships and order book assets. This assessment remains under review and will be finalized within 12 months of the date of acquisition.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 was recognized during the three and six months ended June 30, 2019 (June 30, 2018: $12.5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6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6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Onerous Lease</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6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restructuring charge recorded</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(5,399)</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(6,071)</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2018</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(4,036)</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June 30, 2019</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6"/>
              </w:rPr>
              <w:t>Workforce</w:t>
            </w:r>
          </w:p>
        </w:tc>
      </w:tr>
      <w:tr>
        <w:trPr>
          <w:trHeight w:val="241"/>
        </w:trPr>
        <w:tc>
          <w:tcPr>
            <w:tcW w:w="84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Reductions</w:t>
            </w:r>
          </w:p>
        </w:tc>
      </w:tr>
      <w:tr>
        <w:trPr>
          <w:trHeight w:val="243"/>
        </w:trPr>
        <w:tc>
          <w:tcPr>
            <w:tcW w:w="8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recognized</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Utilized</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(4,656)</w:t>
            </w:r>
          </w:p>
        </w:tc>
      </w:tr>
      <w:tr>
        <w:trPr>
          <w:trHeight w:val="34"/>
        </w:trPr>
        <w:tc>
          <w:tcPr>
            <w:tcW w:w="8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3,097</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Utilized</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(1,015)</w:t>
            </w:r>
          </w:p>
        </w:tc>
      </w:tr>
      <w:tr>
        <w:trPr>
          <w:trHeight w:val="34"/>
        </w:trPr>
        <w:tc>
          <w:tcPr>
            <w:tcW w:w="8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Utilized</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(183)</w:t>
            </w:r>
          </w:p>
        </w:tc>
      </w:tr>
      <w:tr>
        <w:trPr>
          <w:trHeight w:val="34"/>
        </w:trPr>
        <w:tc>
          <w:tcPr>
            <w:tcW w:w="8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at June 30, 2019</w:t>
            </w: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1,899</w:t>
            </w:r>
          </w:p>
        </w:tc>
      </w:tr>
      <w:tr>
        <w:trPr>
          <w:trHeight w:val="20"/>
        </w:trPr>
        <w:tc>
          <w:tcPr>
            <w:tcW w:w="8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737"/>
        </w:trPr>
        <w:tc>
          <w:tcPr>
            <w:tcW w:w="8480" w:type="dxa"/>
            <w:vAlign w:val="bottom"/>
          </w:tcPr>
          <w:p>
            <w:pPr>
              <w:spacing w:after="0"/>
              <w:rPr>
                <w:sz w:val="20"/>
                <w:szCs w:val="20"/>
                <w:color w:val="auto"/>
              </w:rPr>
            </w:pPr>
            <w:r>
              <w:rPr>
                <w:rFonts w:ascii="Arial" w:cs="Arial" w:eastAsia="Arial" w:hAnsi="Arial"/>
                <w:sz w:val="18"/>
                <w:szCs w:val="18"/>
                <w:color w:val="auto"/>
                <w:w w:val="93"/>
              </w:rPr>
              <w:t>At June 30, 2019, $3.8 million is included within other liabilities and $0.5 million within non-current other liabilities.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8480" w:type="dxa"/>
            <w:vAlign w:val="bottom"/>
          </w:tcPr>
          <w:p>
            <w:pPr>
              <w:spacing w:after="0"/>
              <w:rPr>
                <w:sz w:val="20"/>
                <w:szCs w:val="20"/>
                <w:color w:val="auto"/>
              </w:rPr>
            </w:pPr>
            <w:r>
              <w:rPr>
                <w:rFonts w:ascii="Arial" w:cs="Arial" w:eastAsia="Arial" w:hAnsi="Arial"/>
                <w:sz w:val="18"/>
                <w:szCs w:val="18"/>
                <w:b w:val="1"/>
                <w:bCs w:val="1"/>
                <w:color w:val="auto"/>
              </w:rPr>
              <w:t>8. Operating leases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8480" w:type="dxa"/>
            <w:vAlign w:val="bottom"/>
          </w:tcPr>
          <w:p>
            <w:pPr>
              <w:spacing w:after="0"/>
              <w:rPr>
                <w:sz w:val="20"/>
                <w:szCs w:val="20"/>
                <w:color w:val="auto"/>
              </w:rPr>
            </w:pPr>
            <w:r>
              <w:rPr>
                <w:rFonts w:ascii="Arial" w:cs="Arial" w:eastAsia="Arial" w:hAnsi="Arial"/>
                <w:sz w:val="18"/>
                <w:szCs w:val="18"/>
                <w:color w:val="auto"/>
                <w:w w:val="94"/>
              </w:rPr>
              <w:t>Lease costs recorded under operating leases for the three and six months ended June 30, 2019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1"/>
              </w:rPr>
              <w:t>Three Months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Six Months</w:t>
            </w:r>
          </w:p>
        </w:tc>
      </w:tr>
      <w:tr>
        <w:trPr>
          <w:trHeight w:val="249"/>
        </w:trPr>
        <w:tc>
          <w:tcPr>
            <w:tcW w:w="84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7"/>
              </w:rPr>
              <w:t>Ended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7"/>
              </w:rPr>
              <w:t>Ended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4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w w:val="92"/>
              </w:rPr>
              <w:t>June 30, 2019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w w:val="88"/>
              </w:rPr>
              <w:t>June 30, 2019</w:t>
            </w:r>
          </w:p>
        </w:tc>
      </w:tr>
      <w:tr>
        <w:trPr>
          <w:trHeight w:val="48"/>
        </w:trPr>
        <w:tc>
          <w:tcPr>
            <w:tcW w:w="8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8"/>
            <w:shd w:val="clear" w:color="auto" w:fill="CCEEFF"/>
          </w:tcPr>
          <w:p>
            <w:pPr>
              <w:jc w:val="right"/>
              <w:ind w:right="920"/>
              <w:spacing w:after="0"/>
              <w:rPr>
                <w:sz w:val="20"/>
                <w:szCs w:val="20"/>
                <w:color w:val="auto"/>
              </w:rPr>
            </w:pPr>
            <w:r>
              <w:rPr>
                <w:rFonts w:ascii="Arial" w:cs="Arial" w:eastAsia="Arial" w:hAnsi="Arial"/>
                <w:sz w:val="18"/>
                <w:szCs w:val="18"/>
                <w:b w:val="1"/>
                <w:bCs w:val="1"/>
                <w:color w:val="auto"/>
                <w:w w:val="91"/>
              </w:rPr>
              <w:t>(in thousands)</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Operating lease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5"/>
          </w:tcPr>
          <w:p>
            <w:pPr>
              <w:jc w:val="right"/>
              <w:ind w:right="100"/>
              <w:spacing w:after="0"/>
              <w:rPr>
                <w:sz w:val="20"/>
                <w:szCs w:val="20"/>
                <w:color w:val="auto"/>
              </w:rPr>
            </w:pPr>
            <w:r>
              <w:rPr>
                <w:rFonts w:ascii="Arial" w:cs="Arial" w:eastAsia="Arial" w:hAnsi="Arial"/>
                <w:sz w:val="18"/>
                <w:szCs w:val="18"/>
                <w:color w:val="auto"/>
              </w:rPr>
              <w:t>17,619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5"/>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sub-leases</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r>
      <w:tr>
        <w:trPr>
          <w:trHeight w:val="237"/>
        </w:trPr>
        <w:tc>
          <w:tcPr>
            <w:tcW w:w="8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operating lease costs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8,417</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16,552</w:t>
            </w:r>
          </w:p>
        </w:tc>
      </w:tr>
      <w:tr>
        <w:trPr>
          <w:trHeight w:val="27"/>
        </w:trPr>
        <w:tc>
          <w:tcPr>
            <w:tcW w:w="8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2" w:right="239" w:bottom="1440" w:gutter="0" w:footer="0" w:header="0"/>
          <w:type w:val="continuous"/>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Of the total cost of $16.6 million incurred in the six months ended June 30, 2019, $15.3 million is recorded within selling, general and administration costs and $1.3 million is recorded within direct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2019, the Group did not incur any costs related to variable lease payments.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adoption of ASC 842 resulted in the recognition of operating right-of-use assets and lease liabilities of $106.5 million at January 1, 2019. Additional right-of-use assets obtained in exchange for lease obligations during the three and six months ended June 30, 2019 totaled $4.9 million and $17.9 million, respectively. The weighted average remaining lease term and weighted-average discount rate at June 30, 2019 were 4.90 years and 3.05%,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as of June 30, 2019 were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Minimum rental</w:t>
            </w: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35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5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w w:val="85"/>
              </w:rPr>
              <w:t>payments</w:t>
            </w:r>
          </w:p>
        </w:tc>
      </w:tr>
      <w:tr>
        <w:trPr>
          <w:trHeight w:val="48"/>
        </w:trPr>
        <w:tc>
          <w:tcPr>
            <w:tcW w:w="59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59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Due within 1 year</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30,609</w:t>
            </w:r>
          </w:p>
        </w:tc>
      </w:tr>
      <w:tr>
        <w:trPr>
          <w:trHeight w:val="27"/>
        </w:trPr>
        <w:tc>
          <w:tcPr>
            <w:tcW w:w="5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between 1 and 5 years</w:t>
            </w: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68,975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40" w:type="dxa"/>
            <w:vAlign w:val="bottom"/>
          </w:tcPr>
          <w:p>
            <w:pPr>
              <w:spacing w:after="0"/>
              <w:rPr>
                <w:sz w:val="21"/>
                <w:szCs w:val="21"/>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19,012</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35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118,596</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Lease imputed interest</w:t>
            </w:r>
          </w:p>
        </w:tc>
        <w:tc>
          <w:tcPr>
            <w:tcW w:w="3540" w:type="dxa"/>
            <w:vAlign w:val="bottom"/>
          </w:tcPr>
          <w:p>
            <w:pPr>
              <w:spacing w:after="0"/>
              <w:rPr>
                <w:sz w:val="21"/>
                <w:szCs w:val="21"/>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8"/>
                <w:szCs w:val="18"/>
                <w:color w:val="auto"/>
              </w:rPr>
              <w:t>(10,045)</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108,551</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liabilities are presented as current and non-current. Operating lease liabilities of $29.0 million have been included in other liabilities as at June 30,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and six months ended June 30, 2019 and June 30, 2018, comprise: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40" w:type="dxa"/>
            <w:vAlign w:val="bottom"/>
            <w:gridSpan w:val="7"/>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89"/>
              </w:rPr>
              <w:t>Six Months Ended</w:t>
            </w:r>
          </w:p>
        </w:tc>
      </w:tr>
      <w:tr>
        <w:trPr>
          <w:trHeight w:val="48"/>
        </w:trPr>
        <w:tc>
          <w:tcPr>
            <w:tcW w:w="44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60" w:type="dxa"/>
            <w:vAlign w:val="bottom"/>
          </w:tcPr>
          <w:p>
            <w:pPr>
              <w:spacing w:after="0"/>
              <w:rPr>
                <w:sz w:val="17"/>
                <w:szCs w:val="17"/>
                <w:color w:val="auto"/>
              </w:rPr>
            </w:pPr>
          </w:p>
        </w:tc>
        <w:tc>
          <w:tcPr>
            <w:tcW w:w="1200" w:type="dxa"/>
            <w:vAlign w:val="bottom"/>
            <w:gridSpan w:val="4"/>
          </w:tcPr>
          <w:p>
            <w:pPr>
              <w:jc w:val="right"/>
              <w:ind w:right="100"/>
              <w:spacing w:after="0" w:line="202" w:lineRule="exact"/>
              <w:rPr>
                <w:sz w:val="20"/>
                <w:szCs w:val="20"/>
                <w:color w:val="auto"/>
              </w:rPr>
            </w:pPr>
            <w:r>
              <w:rPr>
                <w:rFonts w:ascii="Arial" w:cs="Arial" w:eastAsia="Arial" w:hAnsi="Arial"/>
                <w:sz w:val="18"/>
                <w:szCs w:val="18"/>
                <w:b w:val="1"/>
                <w:bCs w:val="1"/>
                <w:color w:val="auto"/>
                <w:w w:val="92"/>
              </w:rPr>
              <w:t>June 30, 2018</w:t>
            </w:r>
          </w:p>
        </w:tc>
        <w:tc>
          <w:tcPr>
            <w:tcW w:w="1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2"/>
              </w:rPr>
              <w:t>June 30, 2019</w:t>
            </w:r>
          </w:p>
        </w:tc>
        <w:tc>
          <w:tcPr>
            <w:tcW w:w="300" w:type="dxa"/>
            <w:vAlign w:val="bottom"/>
          </w:tcPr>
          <w:p>
            <w:pPr>
              <w:spacing w:after="0"/>
              <w:rPr>
                <w:sz w:val="17"/>
                <w:szCs w:val="17"/>
                <w:color w:val="auto"/>
              </w:rPr>
            </w:pPr>
          </w:p>
        </w:tc>
        <w:tc>
          <w:tcPr>
            <w:tcW w:w="116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w w:val="88"/>
              </w:rPr>
              <w:t>June 30, 2018</w:t>
            </w:r>
          </w:p>
        </w:tc>
      </w:tr>
      <w:tr>
        <w:trPr>
          <w:trHeight w:val="48"/>
        </w:trPr>
        <w:tc>
          <w:tcPr>
            <w:tcW w:w="4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99"/>
              </w:rPr>
              <w:t>(in thousands)</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12,456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9,212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24,496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19,862</w:t>
            </w:r>
          </w:p>
        </w:tc>
      </w:tr>
      <w:tr>
        <w:trPr>
          <w:trHeight w:val="27"/>
        </w:trPr>
        <w:tc>
          <w:tcPr>
            <w:tcW w:w="4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impact of restructuring and other items</w:t>
            </w:r>
          </w:p>
        </w:tc>
        <w:tc>
          <w:tcPr>
            <w:tcW w:w="15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(1,453)</w:t>
            </w: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(1,453)</w:t>
            </w:r>
          </w:p>
        </w:tc>
      </w:tr>
      <w:tr>
        <w:trPr>
          <w:trHeight w:val="243"/>
        </w:trPr>
        <w:tc>
          <w:tcPr>
            <w:tcW w:w="44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12,456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24,496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18,409</w:t>
            </w:r>
          </w:p>
        </w:tc>
      </w:tr>
      <w:tr>
        <w:trPr>
          <w:trHeight w:val="27"/>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at June 30, 2019 the Company maintains a $23.3 million liability (December 31, 2018: $22.5 million) for unrecognized tax benefit, which is comprised of $22.2 million (December 31, 2018: $21.4 million) related to items generating unrecognized tax benefits and $1.1 million (December 31, 2018: $1.1 million) for interest and related penalties to such items. The Company recognizes interest accrued on unrecognized tax benefits as an additional income tax expense.</w:t>
      </w:r>
    </w:p>
    <w:p>
      <w:pPr>
        <w:spacing w:after="0" w:line="25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2014 through 2018 tax years. The Company does not believe that the outcome of any examination will have a material impact on its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Net income per ordinary share</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560" w:type="dxa"/>
            <w:vAlign w:val="bottom"/>
            <w:gridSpan w:val="6"/>
            <w:shd w:val="clear" w:color="auto" w:fill="CCEEFF"/>
          </w:tcPr>
          <w:p>
            <w:pPr>
              <w:jc w:val="right"/>
              <w:ind w:right="920"/>
              <w:spacing w:after="0"/>
              <w:rPr>
                <w:sz w:val="20"/>
                <w:szCs w:val="20"/>
                <w:color w:val="auto"/>
              </w:rPr>
            </w:pPr>
            <w:r>
              <w:rPr>
                <w:rFonts w:ascii="Arial" w:cs="Arial" w:eastAsia="Arial" w:hAnsi="Arial"/>
                <w:sz w:val="18"/>
                <w:szCs w:val="18"/>
                <w:b w:val="1"/>
                <w:bCs w:val="1"/>
                <w:color w:val="auto"/>
                <w:w w:val="90"/>
              </w:rPr>
              <w:t>Three Months Ended</w:t>
            </w:r>
          </w:p>
        </w:tc>
        <w:tc>
          <w:tcPr>
            <w:tcW w:w="2620" w:type="dxa"/>
            <w:vAlign w:val="bottom"/>
            <w:gridSpan w:val="6"/>
            <w:shd w:val="clear" w:color="auto" w:fill="CCEEFF"/>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54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5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700" w:type="dxa"/>
            <w:vAlign w:val="bottom"/>
            <w:gridSpan w:val="4"/>
          </w:tcPr>
          <w:p>
            <w:pPr>
              <w:jc w:val="right"/>
              <w:ind w:right="440"/>
              <w:spacing w:after="0" w:line="202" w:lineRule="exact"/>
              <w:rPr>
                <w:sz w:val="20"/>
                <w:szCs w:val="20"/>
                <w:color w:val="auto"/>
              </w:rPr>
            </w:pPr>
            <w:r>
              <w:rPr>
                <w:rFonts w:ascii="Arial" w:cs="Arial" w:eastAsia="Arial" w:hAnsi="Arial"/>
                <w:sz w:val="18"/>
                <w:szCs w:val="18"/>
                <w:b w:val="1"/>
                <w:bCs w:val="1"/>
                <w:color w:val="auto"/>
              </w:rPr>
              <w:t>June 30, 2018</w:t>
            </w:r>
          </w:p>
        </w:tc>
        <w:tc>
          <w:tcPr>
            <w:tcW w:w="14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June 30, 2019</w:t>
            </w: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5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 average number of ordinary shares outstanding for basic net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6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53,957,446</w:t>
            </w:r>
          </w:p>
        </w:tc>
        <w:tc>
          <w:tcPr>
            <w:tcW w:w="170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54,109,702</w:t>
            </w:r>
          </w:p>
        </w:tc>
        <w:tc>
          <w:tcPr>
            <w:tcW w:w="14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53,901,427</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54,017,631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color w:val="auto"/>
              </w:rPr>
              <w:t>491,671</w:t>
            </w:r>
          </w:p>
        </w:tc>
        <w:tc>
          <w:tcPr>
            <w:tcW w:w="1700" w:type="dxa"/>
            <w:vAlign w:val="bottom"/>
            <w:gridSpan w:val="4"/>
          </w:tcPr>
          <w:p>
            <w:pPr>
              <w:jc w:val="right"/>
              <w:ind w:right="440"/>
              <w:spacing w:after="0"/>
              <w:rPr>
                <w:sz w:val="20"/>
                <w:szCs w:val="20"/>
                <w:color w:val="auto"/>
              </w:rPr>
            </w:pPr>
            <w:r>
              <w:rPr>
                <w:rFonts w:ascii="Arial" w:cs="Arial" w:eastAsia="Arial" w:hAnsi="Arial"/>
                <w:sz w:val="18"/>
                <w:szCs w:val="18"/>
                <w:color w:val="auto"/>
              </w:rPr>
              <w:t>742,751</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454,278</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857,820</w:t>
            </w:r>
          </w:p>
        </w:tc>
      </w:tr>
      <w:tr>
        <w:trPr>
          <w:trHeight w:val="34"/>
        </w:trPr>
        <w:tc>
          <w:tcPr>
            <w:tcW w:w="5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Weighted average number of ordinary shares outstanding for diluted net</w:t>
            </w:r>
          </w:p>
        </w:tc>
        <w:tc>
          <w:tcPr>
            <w:tcW w:w="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2"/>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per ordinary share</w:t>
            </w:r>
          </w:p>
        </w:tc>
        <w:tc>
          <w:tcPr>
            <w:tcW w:w="16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54,449,117</w:t>
            </w:r>
          </w:p>
        </w:tc>
        <w:tc>
          <w:tcPr>
            <w:tcW w:w="170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54,852,453</w:t>
            </w:r>
          </w:p>
        </w:tc>
        <w:tc>
          <w:tcPr>
            <w:tcW w:w="14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54,355,705</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54,875,451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54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 The maximum contractual term of options outstanding at June 30, 2019 is eight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920,746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22.39</w:t>
            </w:r>
          </w:p>
        </w:tc>
        <w:tc>
          <w:tcPr>
            <w:tcW w:w="1320" w:type="dxa"/>
            <w:vAlign w:val="bottom"/>
          </w:tcPr>
          <w:p>
            <w:pPr>
              <w:spacing w:after="0"/>
              <w:rPr>
                <w:sz w:val="21"/>
                <w:szCs w:val="21"/>
                <w:color w:val="auto"/>
              </w:rPr>
            </w:pPr>
          </w:p>
        </w:tc>
      </w:tr>
      <w:tr>
        <w:trPr>
          <w:trHeight w:val="34"/>
        </w:trPr>
        <w:tc>
          <w:tcPr>
            <w:tcW w:w="40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97,112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43.43</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(256,803)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20.00</w:t>
            </w:r>
          </w:p>
        </w:tc>
        <w:tc>
          <w:tcPr>
            <w:tcW w:w="132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(18,102)</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24.34</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742,953</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25.92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349,256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20.50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$9.72 to $43.59 per option or a weighted average fair value of $17.92 per option. The Company issues ordinary shares for all options exercised. The total amount of fully vested share options which remained outstanding at June 30, 2019 was 349,256. Fully vested share options at June 30, 2019 have an average remaining contractual term of 4.04 years, an average exercise price of $66.96 and a total intrinsic value of $30.4 million. The total intrinsic value of options exercised during the six months ended June 30, 2019 was $19.3 million (June 30, 2018: $18.5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522,823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88.18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97,112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140.13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43.43</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(14,865)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92.97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27.78</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June 30, 2019</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393,697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102.04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30.73</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fair value of options granted during the six months ended June 30, 2019 and June 30, 2018 was calculated using the Black-Scholes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120"/>
        <w:spacing w:after="0"/>
        <w:rPr>
          <w:sz w:val="20"/>
          <w:szCs w:val="20"/>
          <w:color w:val="auto"/>
        </w:rPr>
      </w:pPr>
      <w:r>
        <w:rPr>
          <w:rFonts w:ascii="Arial" w:cs="Arial" w:eastAsia="Arial" w:hAnsi="Arial"/>
          <w:sz w:val="18"/>
          <w:szCs w:val="18"/>
          <w:b w:val="1"/>
          <w:bCs w:val="1"/>
          <w:u w:val="single" w:color="auto"/>
          <w:color w:val="auto"/>
        </w:rPr>
        <w:t>Six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June 30, 2019</w:t>
            </w:r>
          </w:p>
        </w:tc>
        <w:tc>
          <w:tcPr>
            <w:tcW w:w="3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 2018</w:t>
            </w: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3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36.84</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30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30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300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 years</w:t>
            </w:r>
          </w:p>
        </w:tc>
        <w:tc>
          <w:tcPr>
            <w:tcW w:w="3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awards are at par value and vest over a service period.</w:t>
      </w:r>
    </w:p>
    <w:p>
      <w:pPr>
        <w:sectPr>
          <w:pgSz w:w="11900" w:h="16838" w:orient="portrait"/>
          <w:cols w:equalWidth="0" w:num="1">
            <w:col w:w="11420"/>
          </w:cols>
          <w:pgMar w:left="240" w:top="746" w:right="239" w:bottom="6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676" w:gutter="0" w:footer="0" w:header="0"/>
          <w:type w:val="continuous"/>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2019:</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251,053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534,677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89.50</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60,182</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140.13</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156,142</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137.99</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(118,611)</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71.45</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(229,654)</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68.82</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(8,896)</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84.65</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(32,098)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95.44</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June 30, 2019</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183,728</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110.54</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1.52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429,067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117.77</w:t>
            </w: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six months ended June 30, 2019 totaled $8.5 million (full year 2018: $14.7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2019 totaled $15.8 million (full year 2018: $18.8 million).</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PSUs vest based on service and specified EPS targets over the periods 2017 – 2019, 2018 – 2020 and 2019 – 2021. Depending on the amount of EPS from 2017 to 2021, up to an additional 78,836 PSUs may also be granted.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2019 and June 30, 2018 has been allocated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620" w:type="dxa"/>
            <w:vAlign w:val="bottom"/>
            <w:gridSpan w:val="8"/>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90"/>
              </w:rPr>
              <w:t>Six Months Ended</w:t>
            </w:r>
          </w:p>
        </w:tc>
      </w:tr>
      <w:tr>
        <w:trPr>
          <w:trHeight w:val="48"/>
        </w:trPr>
        <w:tc>
          <w:tcPr>
            <w:tcW w:w="4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4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60" w:type="dxa"/>
            <w:vAlign w:val="bottom"/>
          </w:tcPr>
          <w:p>
            <w:pPr>
              <w:spacing w:after="0"/>
              <w:rPr>
                <w:sz w:val="17"/>
                <w:szCs w:val="17"/>
                <w:color w:val="auto"/>
              </w:rPr>
            </w:pPr>
          </w:p>
        </w:tc>
        <w:tc>
          <w:tcPr>
            <w:tcW w:w="12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0"/>
              </w:rPr>
              <w:t>June 30, 2018</w:t>
            </w:r>
          </w:p>
        </w:tc>
        <w:tc>
          <w:tcPr>
            <w:tcW w:w="260" w:type="dxa"/>
            <w:vAlign w:val="bottom"/>
          </w:tcPr>
          <w:p>
            <w:pPr>
              <w:spacing w:after="0"/>
              <w:rPr>
                <w:sz w:val="17"/>
                <w:szCs w:val="17"/>
                <w:color w:val="auto"/>
              </w:rPr>
            </w:pPr>
          </w:p>
        </w:tc>
        <w:tc>
          <w:tcPr>
            <w:tcW w:w="122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2"/>
              </w:rPr>
              <w:t>June 30, 2019</w:t>
            </w:r>
          </w:p>
        </w:tc>
        <w:tc>
          <w:tcPr>
            <w:tcW w:w="300" w:type="dxa"/>
            <w:vAlign w:val="bottom"/>
          </w:tcPr>
          <w:p>
            <w:pPr>
              <w:spacing w:after="0"/>
              <w:rPr>
                <w:sz w:val="17"/>
                <w:szCs w:val="17"/>
                <w:color w:val="auto"/>
              </w:rPr>
            </w:pPr>
          </w:p>
        </w:tc>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4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gridSpan w:val="7"/>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6"/>
            <w:shd w:val="clear" w:color="auto" w:fill="CCEEFF"/>
          </w:tcPr>
          <w:p>
            <w:pPr>
              <w:jc w:val="center"/>
              <w:ind w:right="70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3,171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20"/>
              <w:spacing w:after="0"/>
              <w:rPr>
                <w:sz w:val="20"/>
                <w:szCs w:val="20"/>
                <w:color w:val="auto"/>
              </w:rPr>
            </w:pPr>
            <w:r>
              <w:rPr>
                <w:rFonts w:ascii="Arial" w:cs="Arial" w:eastAsia="Arial" w:hAnsi="Arial"/>
                <w:sz w:val="18"/>
                <w:szCs w:val="18"/>
                <w:color w:val="auto"/>
              </w:rPr>
              <w:t>3,878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7,072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9,053</w:t>
            </w:r>
          </w:p>
        </w:tc>
      </w:tr>
      <w:tr>
        <w:trPr>
          <w:trHeight w:val="27"/>
        </w:trPr>
        <w:tc>
          <w:tcPr>
            <w:tcW w:w="4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2,584</w:t>
            </w: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3,160</w:t>
            </w: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5,762</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7,377</w:t>
            </w:r>
          </w:p>
        </w:tc>
      </w:tr>
      <w:tr>
        <w:trPr>
          <w:trHeight w:val="270"/>
        </w:trPr>
        <w:tc>
          <w:tcPr>
            <w:tcW w:w="4100" w:type="dxa"/>
            <w:vAlign w:val="bottom"/>
            <w:tcBorders>
              <w:top w:val="single" w:sz="8" w:color="auto"/>
            </w:tcBorders>
          </w:tcPr>
          <w:p>
            <w:pPr>
              <w:spacing w:after="0"/>
              <w:rPr>
                <w:sz w:val="23"/>
                <w:szCs w:val="23"/>
                <w:color w:val="auto"/>
              </w:rPr>
            </w:pPr>
          </w:p>
        </w:tc>
        <w:tc>
          <w:tcPr>
            <w:tcW w:w="176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4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7,038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12,834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16,430</w:t>
            </w:r>
          </w:p>
        </w:tc>
      </w:tr>
      <w:tr>
        <w:trPr>
          <w:trHeight w:val="20"/>
        </w:trPr>
        <w:tc>
          <w:tcPr>
            <w:tcW w:w="41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June 30, 2019 amounted to $59.1 million. The weighted average period over which this is expected to be recognized is 2.51 years.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8, 2019, the Company commenced a share buyback program of up to 1.0 million shares.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2019 496,235 ordinary shares were redeemed by the Company under this buyback program for a total consideration of $65.1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 information</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 determined that the CODM was comprised of the Chief Executive Officer and the Chief Financial Officer.</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areas of operation outside of Ireland include the United States, United Kingdom, Belgium, France, Germany, Italy, Spain, The Netherlands, Sweden, Turkey, Poland, Bulgaria, Portugal, Czech Republic, Latvia, Russia, Ukraine, Hungary, Israel, Romania, Canada, Mexico, Brazil, Colombia, Argentina, Chile, Peru, India, China (including Hong Kong), South Korea,</w:t>
      </w:r>
    </w:p>
    <w:p>
      <w:pPr>
        <w:sectPr>
          <w:pgSz w:w="11900" w:h="16838" w:orient="portrait"/>
          <w:cols w:equalWidth="0" w:num="1">
            <w:col w:w="11420"/>
          </w:cols>
          <w:pgMar w:left="240" w:top="74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2"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color w:val="auto"/>
        </w:rPr>
        <w:t>Japan, Thailand, Taiwan, Singapore, The Philippines, Australia, New Zealand, South Africa and Serbia.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geographical distribution of the Company’s segment measures as at June 30, 2019 and December 31, 2018 and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June 30, 2018 is as follows: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7"/>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90"/>
              </w:rPr>
              <w:t>Six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7"/>
                <w:szCs w:val="17"/>
                <w:color w:val="auto"/>
              </w:rPr>
            </w:pPr>
          </w:p>
        </w:tc>
        <w:tc>
          <w:tcPr>
            <w:tcW w:w="11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3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7"/>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88"/>
              </w:rPr>
              <w:t>(in thousands)</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 *</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310,477</w:t>
            </w:r>
          </w:p>
        </w:tc>
        <w:tc>
          <w:tcPr>
            <w:tcW w:w="120" w:type="dxa"/>
            <w:vAlign w:val="bottom"/>
          </w:tcPr>
          <w:p>
            <w:pPr>
              <w:spacing w:after="0"/>
              <w:rPr>
                <w:sz w:val="21"/>
                <w:szCs w:val="21"/>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260,120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608,960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495,230</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94,192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96,692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184,637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191,732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222,312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221,201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440,852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446,871</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68,156</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63,597</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135,540</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127,902</w:t>
            </w:r>
          </w:p>
        </w:tc>
      </w:tr>
      <w:tr>
        <w:trPr>
          <w:trHeight w:val="270"/>
        </w:trPr>
        <w:tc>
          <w:tcPr>
            <w:tcW w:w="3600" w:type="dxa"/>
            <w:vAlign w:val="bottom"/>
            <w:tcBorders>
              <w:top w:val="single" w:sz="8" w:color="auto"/>
            </w:tcBorders>
          </w:tcPr>
          <w:p>
            <w:pPr>
              <w:spacing w:after="0"/>
              <w:rPr>
                <w:sz w:val="23"/>
                <w:szCs w:val="23"/>
                <w:color w:val="auto"/>
              </w:rPr>
            </w:pPr>
          </w:p>
        </w:tc>
        <w:tc>
          <w:tcPr>
            <w:tcW w:w="25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695,137</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641,610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1,369,989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1,261,735</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132"/>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33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7"/>
                <w:szCs w:val="17"/>
                <w:color w:val="auto"/>
              </w:rPr>
            </w:pPr>
          </w:p>
        </w:tc>
        <w:tc>
          <w:tcPr>
            <w:tcW w:w="11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3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78,052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49,587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148,673</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119,397</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11,658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11,513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16,826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8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16,300</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14,703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33,407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26,505</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5,964</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14,443</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r>
      <w:tr>
        <w:trPr>
          <w:trHeight w:val="270"/>
        </w:trPr>
        <w:tc>
          <w:tcPr>
            <w:tcW w:w="3600" w:type="dxa"/>
            <w:vAlign w:val="bottom"/>
            <w:tcBorders>
              <w:top w:val="single" w:sz="8" w:color="auto"/>
            </w:tcBorders>
          </w:tcPr>
          <w:p>
            <w:pPr>
              <w:spacing w:after="0"/>
              <w:rPr>
                <w:sz w:val="23"/>
                <w:szCs w:val="23"/>
                <w:color w:val="auto"/>
              </w:rPr>
            </w:pPr>
          </w:p>
        </w:tc>
        <w:tc>
          <w:tcPr>
            <w:tcW w:w="25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106,090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81,912</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208,036</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173,632</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The distribution of income from operations excluding restructuring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7"/>
                <w:szCs w:val="17"/>
                <w:color w:val="auto"/>
              </w:rPr>
            </w:pPr>
          </w:p>
        </w:tc>
        <w:tc>
          <w:tcPr>
            <w:tcW w:w="116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3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78,052</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62,077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148,673</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131,887</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11,658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11,513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16,826</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80" w:type="dxa"/>
            <w:vAlign w:val="bottom"/>
          </w:tcPr>
          <w:p>
            <w:pPr>
              <w:spacing w:after="0"/>
              <w:rPr>
                <w:sz w:val="21"/>
                <w:szCs w:val="21"/>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16,300</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14,703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33,407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26,505</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5,964</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14,443</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10,904</w:t>
            </w:r>
          </w:p>
        </w:tc>
      </w:tr>
      <w:tr>
        <w:trPr>
          <w:trHeight w:val="270"/>
        </w:trPr>
        <w:tc>
          <w:tcPr>
            <w:tcW w:w="3600" w:type="dxa"/>
            <w:vAlign w:val="bottom"/>
            <w:tcBorders>
              <w:top w:val="single" w:sz="8" w:color="auto"/>
            </w:tcBorders>
          </w:tcPr>
          <w:p>
            <w:pPr>
              <w:spacing w:after="0"/>
              <w:rPr>
                <w:sz w:val="23"/>
                <w:szCs w:val="23"/>
                <w:color w:val="auto"/>
              </w:rPr>
            </w:pPr>
          </w:p>
        </w:tc>
        <w:tc>
          <w:tcPr>
            <w:tcW w:w="25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106,090</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94,402</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208,036</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186,122</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4"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June 30, 2019</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78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20" w:type="dxa"/>
            <w:vAlign w:val="bottom"/>
            <w:gridSpan w:val="3"/>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gridSpan w:val="3"/>
            <w:vMerge w:val="restart"/>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36"/>
        </w:trPr>
        <w:tc>
          <w:tcPr>
            <w:tcW w:w="78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8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160" w:type="dxa"/>
            <w:vAlign w:val="bottom"/>
            <w:tcBorders>
              <w:top w:val="single" w:sz="8" w:color="CCEEFF"/>
            </w:tcBorders>
            <w:gridSpan w:val="4"/>
          </w:tcPr>
          <w:p>
            <w:pPr>
              <w:ind w:left="66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101,858</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106,206</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220" w:type="dxa"/>
            <w:vAlign w:val="bottom"/>
            <w:tcBorders>
              <w:bottom w:val="single" w:sz="8" w:color="CCEEFF"/>
            </w:tcBorders>
            <w:gridSpan w:val="3"/>
            <w:vMerge w:val="continue"/>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88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10,387</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24,876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8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19,110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34"/>
        </w:trPr>
        <w:tc>
          <w:tcPr>
            <w:tcW w:w="7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8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156,231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158,669</w:t>
            </w:r>
          </w:p>
        </w:tc>
        <w:tc>
          <w:tcPr>
            <w:tcW w:w="0" w:type="dxa"/>
            <w:vAlign w:val="bottom"/>
          </w:tcPr>
          <w:p>
            <w:pPr>
              <w:spacing w:after="0"/>
              <w:rPr>
                <w:sz w:val="1"/>
                <w:szCs w:val="1"/>
                <w:color w:val="auto"/>
              </w:rPr>
            </w:pPr>
          </w:p>
        </w:tc>
      </w:tr>
      <w:tr>
        <w:trPr>
          <w:trHeight w:val="67"/>
        </w:trPr>
        <w:tc>
          <w:tcPr>
            <w:tcW w:w="7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8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 The distribution of depreciation and amortization by geographical area was as follows: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gridSpan w:val="7"/>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9"/>
              </w:rPr>
              <w:t>Three Months Ended</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Six Months Ended</w:t>
            </w:r>
          </w:p>
        </w:tc>
      </w:tr>
      <w:tr>
        <w:trPr>
          <w:trHeight w:val="48"/>
        </w:trPr>
        <w:tc>
          <w:tcPr>
            <w:tcW w:w="360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36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3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7"/>
                <w:szCs w:val="17"/>
                <w:color w:val="auto"/>
              </w:rPr>
            </w:pPr>
          </w:p>
        </w:tc>
        <w:tc>
          <w:tcPr>
            <w:tcW w:w="116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200" w:type="dxa"/>
            <w:vAlign w:val="bottom"/>
          </w:tcPr>
          <w:p>
            <w:pPr>
              <w:spacing w:after="0"/>
              <w:rPr>
                <w:sz w:val="17"/>
                <w:szCs w:val="17"/>
                <w:color w:val="auto"/>
              </w:rPr>
            </w:pPr>
          </w:p>
        </w:tc>
        <w:tc>
          <w:tcPr>
            <w:tcW w:w="11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7"/>
              </w:rPr>
              <w:t>June 30, 2018</w:t>
            </w:r>
          </w:p>
        </w:tc>
      </w:tr>
      <w:tr>
        <w:trPr>
          <w:trHeight w:val="48"/>
        </w:trPr>
        <w:tc>
          <w:tcPr>
            <w:tcW w:w="3600" w:type="dxa"/>
            <w:vAlign w:val="bottom"/>
          </w:tcPr>
          <w:p>
            <w:pPr>
              <w:spacing w:after="0"/>
              <w:rPr>
                <w:sz w:val="4"/>
                <w:szCs w:val="4"/>
                <w:color w:val="auto"/>
              </w:rPr>
            </w:pPr>
          </w:p>
        </w:tc>
        <w:tc>
          <w:tcPr>
            <w:tcW w:w="2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6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Ireland</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6,836</w:t>
            </w:r>
          </w:p>
        </w:tc>
        <w:tc>
          <w:tcPr>
            <w:tcW w:w="120" w:type="dxa"/>
            <w:vAlign w:val="bottom"/>
          </w:tcPr>
          <w:p>
            <w:pPr>
              <w:spacing w:after="0"/>
              <w:rPr>
                <w:sz w:val="21"/>
                <w:szCs w:val="21"/>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7,979</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14,568</w:t>
            </w:r>
          </w:p>
        </w:tc>
        <w:tc>
          <w:tcPr>
            <w:tcW w:w="7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15,864</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2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2,664</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U.S.</w:t>
            </w:r>
          </w:p>
        </w:tc>
        <w:tc>
          <w:tcPr>
            <w:tcW w:w="2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color w:val="auto"/>
              </w:rPr>
              <w:t>6,302</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11,263</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12,601</w:t>
            </w:r>
          </w:p>
        </w:tc>
      </w:tr>
      <w:tr>
        <w:trPr>
          <w:trHeight w:val="27"/>
        </w:trPr>
        <w:tc>
          <w:tcPr>
            <w:tcW w:w="36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5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1,141</w:t>
            </w:r>
          </w:p>
        </w:tc>
        <w:tc>
          <w:tcPr>
            <w:tcW w:w="2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2,316</w:t>
            </w:r>
          </w:p>
        </w:tc>
      </w:tr>
      <w:tr>
        <w:trPr>
          <w:trHeight w:val="270"/>
        </w:trPr>
        <w:tc>
          <w:tcPr>
            <w:tcW w:w="3600" w:type="dxa"/>
            <w:vAlign w:val="bottom"/>
            <w:tcBorders>
              <w:top w:val="single" w:sz="8" w:color="auto"/>
            </w:tcBorders>
          </w:tcPr>
          <w:p>
            <w:pPr>
              <w:spacing w:after="0"/>
              <w:rPr>
                <w:sz w:val="23"/>
                <w:szCs w:val="23"/>
                <w:color w:val="auto"/>
              </w:rPr>
            </w:pPr>
          </w:p>
        </w:tc>
        <w:tc>
          <w:tcPr>
            <w:tcW w:w="25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75"/>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15,188</w:t>
            </w:r>
          </w:p>
        </w:tc>
        <w:tc>
          <w:tcPr>
            <w:tcW w:w="68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17,046</w:t>
            </w:r>
          </w:p>
        </w:tc>
        <w:tc>
          <w:tcPr>
            <w:tcW w:w="7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30,685</w:t>
            </w:r>
          </w:p>
        </w:tc>
        <w:tc>
          <w:tcPr>
            <w:tcW w:w="70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33,944</w:t>
            </w:r>
          </w:p>
        </w:tc>
      </w:tr>
      <w:tr>
        <w:trPr>
          <w:trHeight w:val="20"/>
        </w:trPr>
        <w:tc>
          <w:tcPr>
            <w:tcW w:w="36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f) The distribution of total assets by geographical area was as follows:</w:t>
            </w: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6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9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69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w w:val="92"/>
              </w:rPr>
              <w:t>June 30, 2019</w:t>
            </w: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7"/>
                <w:szCs w:val="17"/>
                <w:color w:val="auto"/>
              </w:rPr>
            </w:pPr>
          </w:p>
        </w:tc>
      </w:tr>
      <w:tr>
        <w:trPr>
          <w:trHeight w:val="48"/>
        </w:trPr>
        <w:tc>
          <w:tcPr>
            <w:tcW w:w="69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6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20" w:type="dxa"/>
            <w:vAlign w:val="bottom"/>
            <w:gridSpan w:val="7"/>
          </w:tcPr>
          <w:p>
            <w:pPr>
              <w:ind w:left="6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1,167,602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1,073,411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176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649,996</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514,010</w:t>
            </w:r>
          </w:p>
        </w:tc>
        <w:tc>
          <w:tcPr>
            <w:tcW w:w="1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734,408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646,512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tcPr>
          <w:p>
            <w:pPr>
              <w:spacing w:after="0"/>
              <w:rPr>
                <w:sz w:val="21"/>
                <w:szCs w:val="21"/>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167,090</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120,322</w:t>
            </w:r>
          </w:p>
        </w:tc>
        <w:tc>
          <w:tcPr>
            <w:tcW w:w="100" w:type="dxa"/>
            <w:vAlign w:val="bottom"/>
          </w:tcPr>
          <w:p>
            <w:pPr>
              <w:spacing w:after="0"/>
              <w:rPr>
                <w:sz w:val="21"/>
                <w:szCs w:val="21"/>
                <w:color w:val="auto"/>
              </w:rPr>
            </w:pPr>
          </w:p>
        </w:tc>
      </w:tr>
      <w:tr>
        <w:trPr>
          <w:trHeight w:val="34"/>
        </w:trPr>
        <w:tc>
          <w:tcPr>
            <w:tcW w:w="6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69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2,719,096</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Pr>
          <w:p>
            <w:pPr>
              <w:spacing w:after="0"/>
              <w:rPr>
                <w:sz w:val="21"/>
                <w:szCs w:val="2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87"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Impact of change in accounting policies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leasing standard (ASU No. 2016-02 ‘</w:t>
      </w:r>
      <w:r>
        <w:rPr>
          <w:rFonts w:ascii="Arial" w:cs="Arial" w:eastAsia="Arial" w:hAnsi="Arial"/>
          <w:sz w:val="17"/>
          <w:szCs w:val="17"/>
          <w:i w:val="1"/>
          <w:iCs w:val="1"/>
          <w:color w:val="auto"/>
        </w:rPr>
        <w:t>Leases</w:t>
      </w:r>
      <w:r>
        <w:rPr>
          <w:rFonts w:ascii="Arial" w:cs="Arial" w:eastAsia="Arial" w:hAnsi="Arial"/>
          <w:sz w:val="17"/>
          <w:szCs w:val="17"/>
          <w:color w:val="auto"/>
        </w:rPr>
        <w:t>’) was issued in February 2016. ASC 842 ‘</w:t>
      </w:r>
      <w:r>
        <w:rPr>
          <w:rFonts w:ascii="Arial" w:cs="Arial" w:eastAsia="Arial" w:hAnsi="Arial"/>
          <w:sz w:val="17"/>
          <w:szCs w:val="17"/>
          <w:i w:val="1"/>
          <w:iCs w:val="1"/>
          <w:color w:val="auto"/>
        </w:rPr>
        <w:t>Leases</w:t>
      </w:r>
      <w:r>
        <w:rPr>
          <w:rFonts w:ascii="Arial" w:cs="Arial" w:eastAsia="Arial" w:hAnsi="Arial"/>
          <w:sz w:val="17"/>
          <w:szCs w:val="17"/>
          <w:color w:val="auto"/>
        </w:rPr>
        <w:t>’ supersedes the requirements in ASC 840 '</w:t>
      </w:r>
      <w:r>
        <w:rPr>
          <w:rFonts w:ascii="Arial" w:cs="Arial" w:eastAsia="Arial" w:hAnsi="Arial"/>
          <w:sz w:val="17"/>
          <w:szCs w:val="17"/>
          <w:i w:val="1"/>
          <w:iCs w:val="1"/>
          <w:color w:val="auto"/>
        </w:rPr>
        <w:t>Leases</w:t>
      </w:r>
      <w:r>
        <w:rPr>
          <w:rFonts w:ascii="Arial" w:cs="Arial" w:eastAsia="Arial" w:hAnsi="Arial"/>
          <w:sz w:val="17"/>
          <w:szCs w:val="17"/>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provides the option to adopt the standard retrospectively for each prior period presented, as initially set out in ASU No. 2016-02, or as of the adoption date with a cumulative-effect adjustment to the opening balance of retained earnings.</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three and six months ended June 30, 2018 are therefore presented under the previous leasing accounting principles, ASC 840 '</w:t>
      </w:r>
      <w:r>
        <w:rPr>
          <w:rFonts w:ascii="Arial" w:cs="Arial" w:eastAsia="Arial" w:hAnsi="Arial"/>
          <w:sz w:val="16"/>
          <w:szCs w:val="16"/>
          <w:i w:val="1"/>
          <w:iCs w:val="1"/>
          <w:color w:val="auto"/>
        </w:rPr>
        <w:t>Leases</w:t>
      </w:r>
      <w:r>
        <w:rPr>
          <w:rFonts w:ascii="Arial" w:cs="Arial" w:eastAsia="Arial" w:hAnsi="Arial"/>
          <w:sz w:val="16"/>
          <w:szCs w:val="16"/>
          <w:color w:val="auto"/>
        </w:rPr>
        <w:t>'. Operating lease liabilities and right-of-use assets have been recorded on the Condensed Consolidated Balance Sheet as at January 1, 2019 of $106.5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impact of adopting ASC 842 on opening retained earnings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2018. The consolidated financial statements have been prepared in accordance with accounting principles generally accepted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2019 we employed approximately 14,400 employees, in 98 locations in 40 countries. During the six months ended June 30, 2019 we derived approximately 32.2%, 57.9% and 9.9%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backlog consists of potential revenue yet to be earned from projects awarded by clients. At June 30, 2019 we had unsatisfied performance obligations of approximately $5.6 billion (see </w:t>
      </w:r>
      <w:r>
        <w:rPr>
          <w:rFonts w:ascii="Arial" w:cs="Arial" w:eastAsia="Arial" w:hAnsi="Arial"/>
          <w:sz w:val="18"/>
          <w:szCs w:val="18"/>
          <w:i w:val="1"/>
          <w:iCs w:val="1"/>
          <w:color w:val="auto"/>
        </w:rPr>
        <w:t>note 4 - Accounts receivable, unbilled revenue (contract assets) and payments on account (contract liabilities)</w:t>
      </w:r>
      <w:r>
        <w:rPr>
          <w:rFonts w:ascii="Arial" w:cs="Arial" w:eastAsia="Arial" w:hAnsi="Arial"/>
          <w:sz w:val="18"/>
          <w:szCs w:val="18"/>
          <w:color w:val="auto"/>
        </w:rPr>
        <w:t xml:space="preserve"> for further details</w:t>
      </w:r>
      <w:r>
        <w:rPr>
          <w:rFonts w:ascii="Arial" w:cs="Arial" w:eastAsia="Arial" w:hAnsi="Arial"/>
          <w:sz w:val="18"/>
          <w:szCs w:val="18"/>
          <w:i w:val="1"/>
          <w:iCs w:val="1"/>
          <w:color w:val="auto"/>
        </w:rPr>
        <w:t>)</w:t>
      </w:r>
      <w:r>
        <w:rPr>
          <w:rFonts w:ascii="Arial" w:cs="Arial" w:eastAsia="Arial" w:hAnsi="Arial"/>
          <w:sz w:val="18"/>
          <w:szCs w:val="18"/>
          <w:color w:val="auto"/>
        </w:rPr>
        <w:t>. We believe that our remaining or unrealized performance obligations as of any date is not necessarily a meaningful predictor of future results, due to the potential for cancellation or delay of revenue.</w:t>
      </w:r>
    </w:p>
    <w:p>
      <w:pPr>
        <w:spacing w:after="0" w:line="2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2"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with Three Months Ended June 30, 2018</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900" w:type="dxa"/>
            <w:vAlign w:val="bottom"/>
            <w:gridSpan w:val="7"/>
            <w:shd w:val="clear" w:color="auto" w:fill="CCEEFF"/>
          </w:tcPr>
          <w:p>
            <w:pPr>
              <w:jc w:val="right"/>
              <w:ind w:right="126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0" w:type="dxa"/>
            <w:vAlign w:val="bottom"/>
            <w:gridSpan w:val="4"/>
          </w:tcPr>
          <w:p>
            <w:pPr>
              <w:jc w:val="right"/>
              <w:ind w:right="36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96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rPr>
              <w:t>June 30, 2018</w:t>
            </w:r>
          </w:p>
        </w:tc>
        <w:tc>
          <w:tcPr>
            <w:tcW w:w="1200" w:type="dxa"/>
            <w:vAlign w:val="bottom"/>
            <w:gridSpan w:val="5"/>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2019 to 2018</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740" w:type="dxa"/>
            <w:vAlign w:val="bottom"/>
            <w:tcBorders>
              <w:top w:val="single" w:sz="8" w:color="CCEEFF"/>
              <w:bottom w:val="single" w:sz="8" w:color="auto"/>
            </w:tcBorders>
            <w:gridSpan w:val="6"/>
          </w:tcPr>
          <w:p>
            <w:pPr>
              <w:jc w:val="right"/>
              <w:spacing w:after="0" w:line="202" w:lineRule="exact"/>
              <w:rPr>
                <w:sz w:val="20"/>
                <w:szCs w:val="20"/>
                <w:color w:val="auto"/>
              </w:rPr>
            </w:pPr>
            <w:r>
              <w:rPr>
                <w:rFonts w:ascii="Arial" w:cs="Arial" w:eastAsia="Arial" w:hAnsi="Arial"/>
                <w:sz w:val="18"/>
                <w:szCs w:val="18"/>
                <w:b w:val="1"/>
                <w:bCs w:val="1"/>
                <w:color w:val="auto"/>
                <w:w w:val="86"/>
              </w:rPr>
              <w:t>Percentage of Revenue</w:t>
            </w:r>
          </w:p>
        </w:tc>
        <w:tc>
          <w:tcPr>
            <w:tcW w:w="12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7"/>
              </w:rPr>
              <w:t>Increase/</w:t>
            </w: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8.3 %</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3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03"/>
        </w:trPr>
        <w:tc>
          <w:tcPr>
            <w:tcW w:w="68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70.6%</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70.0%</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9.2 %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1.6%</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15.3%</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12.8%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29.5 %</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for the period increased by $53.5 million, or 8.3%, from $641.6 million for the three months ended June 30, 2018 to $695.1 million for the three months ended June 30, 2019. Revenue increased by 10.5% in constant currency and increased by 9.4% in constant dollar organic terms. The increase in revenues in the three months ended June 30, 2019 can be explained by continued organic growth.</w:t>
      </w:r>
    </w:p>
    <w:p>
      <w:pPr>
        <w:spacing w:after="0" w:line="2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June 30, 2019 we derived approximately 32.0%, 58.2% and 9.8% of our revenue in the United States, Europe and Rest of World respectively. During the three months ended June 30, 2019, $256.3 million or 36.9% of our revenues were derived from our top 5 customers. The largest of these customers related to a Strategic Partnership with a large global pharmaceutical company. Revenue from this customer contributed 12.9% of revenue for the quarter. Revenue from our second largest customer contributed 10.1% for the quarter. The addition of new customer accounts, particularly mid-tier pharma customers and biotech customers continues to result in a reduction in concentration of revenues from our top 5 customers.</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 in Ireland increased from $260.1 million for the three months ended June 30, 2018 to $310.5 million for the three months ended June 30, 2019. Revenue in Ireland is principally a function of the Company’s global transfer pricing model (see </w:t>
      </w:r>
      <w:r>
        <w:rPr>
          <w:rFonts w:ascii="Arial" w:cs="Arial" w:eastAsia="Arial" w:hAnsi="Arial"/>
          <w:sz w:val="18"/>
          <w:szCs w:val="18"/>
          <w:i w:val="1"/>
          <w:iCs w:val="1"/>
          <w:color w:val="auto"/>
        </w:rPr>
        <w:t>note 13 - Business segmental information</w:t>
      </w:r>
      <w:r>
        <w:rPr>
          <w:rFonts w:ascii="Arial" w:cs="Arial" w:eastAsia="Arial" w:hAnsi="Arial"/>
          <w:sz w:val="18"/>
          <w:szCs w:val="18"/>
          <w:color w:val="auto"/>
        </w:rPr>
        <w:t xml:space="preserve"> for further details). Revenue in our Rest of Europe region decreased from $96.7 million for the three months ended June 30, 2018 to $94.2 million for the three months ended June 30, 2019. Revenue in the Rest of World region increased from $63.6 million for the three months ended June 30, 2018 to $68.2 million for the three months ended June 30, 2019. Revenue in the U.S. region increased from $221.2 million for the three months ended June 30, 2018 to $222.3 million for the three months ended June 30, 2019.</w:t>
      </w:r>
    </w:p>
    <w:p>
      <w:pPr>
        <w:spacing w:after="0" w:line="3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$41.4 million, or 9.2%, from $449.2 million for the three months ended June 30, 2018 to $490.7 million for the three months ended June 30,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which was partly offset by a decrease in laboratory costs during the period. As a percentage of revenue, direct costs have increased from 70.0% for the three months ended June 30, 2018 to 70.6% for the three months ended June 30, 2019.</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for the period increased by $2.3 million, or 2.8%, from $80.9 million for the three months ended June 30, 2018 to $83.2 million for the three months ended June 30,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12.6% for the three months</w:t>
      </w:r>
    </w:p>
    <w:p>
      <w:pPr>
        <w:sectPr>
          <w:pgSz w:w="11900" w:h="16838" w:orient="portrait"/>
          <w:cols w:equalWidth="0" w:num="1">
            <w:col w:w="11420"/>
          </w:cols>
          <w:pgMar w:left="240" w:top="742"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1440" w:gutter="0" w:footer="0" w:header="0"/>
          <w:type w:val="continuous"/>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color w:val="auto"/>
        </w:rPr>
        <w:t>ended June 30, 2018 to 12.0% for the three months ended June 30, 2019. This reflects a continued focus on personnel related expenditure and facilities and related costs.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Depreciation expense for the period decreased by $0.6 million, or 5.0%, from $11.9 million for three months ended June 30, 2018 to $11.3 million for three months ended June 30, 2019. Depreciation expense arises principally from continued investment in facilities, information systems and equipment to support the Company’s growth. As a percentage of revenue the depreciation expense decreased from 1.9% for the three months ended June 30, 2018 to 1.6% for the three months ended June 30, 2019. Amortization on intangibles for the period decreased by $1.3 million, or 24.7%, from $5.1 million for the three months ended June 30, 2018 to $3.9 million for the three months ended June 30, 2019. Amortization expense represents the amortization of intangible assets acquired on business combinations. The decrease in the amortization expense for the period was driven by some intangibles being fully amortized during 2018. As a percentage of revenue, amortization expense decreased from 0.8% for the three months ended June 30, 2018 to 0.5% for the three months ended June 30, 2019.</w:t>
      </w: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above, income from operations for the period increased by $24.2 million, or 29.5%, from $81.9 million for the three months ended June 30, 2018 to $106.1 million for the three months ended June 30, 2019. As a percentage of revenue, income from operations increased from 12.8% of revenues for the three months ended June 30, 2018 to 15.3% of revenues for the three months ended June 30, 2019.</w:t>
      </w: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from operations in Ireland increased from a profit of $49.6 million ($62.1 million excluding restructuring) for the three months ended June 30, 2018 to a profit of $78.1 million ($78.1 million excluding restructuring) for the three months ended June 30, 2019. Income from operations in Ireland is impacted by the Group’s global transfer pricing model </w:t>
      </w:r>
      <w:r>
        <w:rPr>
          <w:rFonts w:ascii="Arial" w:cs="Arial" w:eastAsia="Arial" w:hAnsi="Arial"/>
          <w:sz w:val="18"/>
          <w:szCs w:val="18"/>
          <w:i w:val="1"/>
          <w:iCs w:val="1"/>
          <w:color w:val="auto"/>
        </w:rPr>
        <w:t>(see note 13 Business segmental information for further details).</w:t>
      </w:r>
      <w:r>
        <w:rPr>
          <w:rFonts w:ascii="Arial" w:cs="Arial" w:eastAsia="Arial" w:hAnsi="Arial"/>
          <w:sz w:val="18"/>
          <w:szCs w:val="18"/>
          <w:color w:val="auto"/>
        </w:rPr>
        <w:t xml:space="preserve"> Income from operations in our Rest of Europe region decreased from $11.7 million for the three months ended June 30, 2018 to $5.7 million for the three months ended June 30, 2019, while income from operations in our Rest of World region increased from $6.0 million for the three months ended June 30, 2018 to $6.1 million for the three months ended June 30, 2019. Income from operations in the U.S. region increased from $14.7 million for the three months ended June 30, 2018 to $16.3 million for the three months ended June 30, 2019.</w:t>
      </w:r>
    </w:p>
    <w:p>
      <w:pPr>
        <w:spacing w:after="0" w:line="2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period decreased by $0.1 million, or 3.1%, from $3.3 million for the three months ended June 30, 2018 to $3.2 million for the three months ended June 30, 2019. Interest income increased by $0.8 million or 75% from $1.0 million for the three months ended June 30, 2018 to $1.8 million for the three months ended June 30, 2019.</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increased from $7.8 million for the three months ended June 30, 2018 to $12.5 million for the three months ended June 30, 2019. The Company’s effective tax rate for the three months ended June 30, 2018 was 9.7% compared with 11.9% for the three months ended June 30, 2019. The Company’s effective tax rate remains principally a function of the distribution of pre-tax profits amongst the territories in which it operates.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with Six Months Ended June 30, 2018</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80" w:type="dxa"/>
            <w:vAlign w:val="bottom"/>
            <w:gridSpan w:val="7"/>
            <w:shd w:val="clear" w:color="auto" w:fill="CCEEFF"/>
          </w:tcPr>
          <w:p>
            <w:pPr>
              <w:jc w:val="right"/>
              <w:ind w:right="1360"/>
              <w:spacing w:after="0"/>
              <w:rPr>
                <w:sz w:val="20"/>
                <w:szCs w:val="20"/>
                <w:color w:val="auto"/>
              </w:rPr>
            </w:pPr>
            <w:r>
              <w:rPr>
                <w:rFonts w:ascii="Arial" w:cs="Arial" w:eastAsia="Arial" w:hAnsi="Arial"/>
                <w:sz w:val="18"/>
                <w:szCs w:val="18"/>
                <w:b w:val="1"/>
                <w:bCs w:val="1"/>
                <w:color w:val="auto"/>
                <w:w w:val="89"/>
              </w:rPr>
              <w:t>Six Months Ended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0" w:type="dxa"/>
            <w:vAlign w:val="bottom"/>
            <w:gridSpan w:val="4"/>
          </w:tcPr>
          <w:p>
            <w:pPr>
              <w:jc w:val="right"/>
              <w:ind w:right="360"/>
              <w:spacing w:after="0" w:line="202" w:lineRule="exact"/>
              <w:rPr>
                <w:sz w:val="20"/>
                <w:szCs w:val="20"/>
                <w:color w:val="auto"/>
              </w:rPr>
            </w:pPr>
            <w:r>
              <w:rPr>
                <w:rFonts w:ascii="Arial" w:cs="Arial" w:eastAsia="Arial" w:hAnsi="Arial"/>
                <w:sz w:val="18"/>
                <w:szCs w:val="18"/>
                <w:b w:val="1"/>
                <w:bCs w:val="1"/>
                <w:color w:val="auto"/>
                <w:w w:val="87"/>
              </w:rPr>
              <w:t>June 30, 2019</w:t>
            </w:r>
          </w:p>
        </w:tc>
        <w:tc>
          <w:tcPr>
            <w:tcW w:w="196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rPr>
              <w:t>June 30, 2018</w:t>
            </w:r>
          </w:p>
        </w:tc>
        <w:tc>
          <w:tcPr>
            <w:tcW w:w="1200" w:type="dxa"/>
            <w:vAlign w:val="bottom"/>
            <w:gridSpan w:val="5"/>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2019 to 2018</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940" w:type="dxa"/>
            <w:vAlign w:val="bottom"/>
            <w:tcBorders>
              <w:top w:val="single" w:sz="8" w:color="CCEEFF"/>
            </w:tcBorders>
            <w:gridSpan w:val="8"/>
          </w:tcPr>
          <w:p>
            <w:pPr>
              <w:jc w:val="right"/>
              <w:ind w:right="1200"/>
              <w:spacing w:after="0" w:line="202" w:lineRule="exact"/>
              <w:rPr>
                <w:sz w:val="20"/>
                <w:szCs w:val="20"/>
                <w:color w:val="auto"/>
              </w:rPr>
            </w:pPr>
            <w:r>
              <w:rPr>
                <w:rFonts w:ascii="Arial" w:cs="Arial" w:eastAsia="Arial" w:hAnsi="Arial"/>
                <w:sz w:val="18"/>
                <w:szCs w:val="18"/>
                <w:b w:val="1"/>
                <w:bCs w:val="1"/>
                <w:color w:val="auto"/>
                <w:w w:val="86"/>
              </w:rPr>
              <w:t>Percentage of Revenue</w:t>
            </w: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99"/>
              </w:rPr>
              <w:t>Increase/</w:t>
            </w:r>
          </w:p>
        </w:tc>
        <w:tc>
          <w:tcPr>
            <w:tcW w:w="240" w:type="dxa"/>
            <w:vAlign w:val="bottom"/>
            <w:tcBorders>
              <w:top w:val="single" w:sz="8" w:color="CCEEFF"/>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8.6 %</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38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03"/>
        </w:trPr>
        <w:tc>
          <w:tcPr>
            <w:tcW w:w="68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3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70.5%</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69.7%</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9.8 %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12.8%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1.7%</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96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Restructuring</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1.0%</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(100.0)%</w:t>
            </w:r>
          </w:p>
        </w:tc>
      </w:tr>
      <w:tr>
        <w:trPr>
          <w:trHeight w:val="34"/>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15.2%</w:t>
            </w:r>
          </w:p>
        </w:tc>
        <w:tc>
          <w:tcPr>
            <w:tcW w:w="1960" w:type="dxa"/>
            <w:vAlign w:val="bottom"/>
            <w:gridSpan w:val="5"/>
          </w:tcPr>
          <w:p>
            <w:pPr>
              <w:jc w:val="right"/>
              <w:ind w:right="540"/>
              <w:spacing w:after="0"/>
              <w:rPr>
                <w:sz w:val="20"/>
                <w:szCs w:val="20"/>
                <w:color w:val="auto"/>
              </w:rPr>
            </w:pPr>
            <w:r>
              <w:rPr>
                <w:rFonts w:ascii="Arial" w:cs="Arial" w:eastAsia="Arial" w:hAnsi="Arial"/>
                <w:sz w:val="18"/>
                <w:szCs w:val="18"/>
                <w:color w:val="auto"/>
              </w:rPr>
              <w:t>13.8%</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19.8 %</w:t>
            </w:r>
          </w:p>
        </w:tc>
      </w:tr>
      <w:tr>
        <w:trPr>
          <w:trHeight w:val="27"/>
        </w:trPr>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6" w:right="239" w:bottom="1440" w:gutter="0" w:footer="0" w:header="0"/>
          <w:type w:val="continuous"/>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Revenue for the period increased by $108.3 million, or 8.6%, from $1,261.7 million for the six months ended June 30, 2018 to $1,370.0 million for the six months ended June 30, 2019. Revenue increased by 10.8% in constant currency and increased by 10.0% in constant dollar organic terms. The increase in revenues in the six months ended June 30, 2019 can be explained by continued organic growth.</w:t>
      </w:r>
    </w:p>
    <w:p>
      <w:pPr>
        <w:spacing w:after="0" w:line="2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2019 we derived approximately 32.2%, 57.9% and 9.9% of our revenue in the United States, Europe and Rest of World respectively. During the six months ended June 30, 2019, $525.8 million or 38.4% of our revenues were derived from our top 5 customers. The largest of these customers related to a Strategic Partnership with a large global pharmaceutical company. Revenue from this customer contributed 13.8% of revenue for the six months ended June 30, 2019. Revenue from our second largest customer contributed 10.3% for the six months.</w:t>
      </w:r>
    </w:p>
    <w:p>
      <w:pPr>
        <w:spacing w:after="0" w:line="2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 in Ireland increased from $495.2 million for the six months ended June 30, 2018 to $609.0 million for the six months ended June 30, 2019. Revenue in Ireland is principally a function of the Company’s global transfer pricing model (see </w:t>
      </w:r>
      <w:r>
        <w:rPr>
          <w:rFonts w:ascii="Arial" w:cs="Arial" w:eastAsia="Arial" w:hAnsi="Arial"/>
          <w:sz w:val="18"/>
          <w:szCs w:val="18"/>
          <w:i w:val="1"/>
          <w:iCs w:val="1"/>
          <w:color w:val="auto"/>
        </w:rPr>
        <w:t>note 13 - Business segmental information</w:t>
      </w:r>
      <w:r>
        <w:rPr>
          <w:rFonts w:ascii="Arial" w:cs="Arial" w:eastAsia="Arial" w:hAnsi="Arial"/>
          <w:sz w:val="18"/>
          <w:szCs w:val="18"/>
          <w:color w:val="auto"/>
        </w:rPr>
        <w:t xml:space="preserve"> for further details). Revenue in our Rest of Europe region decreased from $191.7 million for the six months ended June 30, 2018 to $184.6 million for the six months ended June 30, 2019. Revenue in the Rest of World region increased from $127.9 million for the six months ended June 30, 2018 to $135.5 million for the six months ended June 30, 2019. Revenue in the U.S. region decreased from $446.9 million for the six months ended June 30, 2018 to $440.9 million for the six months ended June 30, 2019.</w:t>
      </w:r>
    </w:p>
    <w:p>
      <w:pPr>
        <w:spacing w:after="0" w:line="3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 costs for the period increased by $86.3 million, or 9.8%, from $879.8 million for the six months ended June 30, 2018 to $966.2 million for the six months ended June 30,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which was partly offset by a decrease in laboratory costs during the period. As a percentage of revenue, direct costs have increased from 69.7% for the six months ended June 30, 2018 to 70.5% for the six months ended June 30, 2019.</w:t>
      </w:r>
    </w:p>
    <w:p>
      <w:pPr>
        <w:spacing w:after="0" w:line="3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period increased by $3.3 million, or 2.0%, from $161.9 million for the six months ended June 30, 2018 to $165.1 million for the six months ended June 30,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12.8% for the six months ended June 30, 2018 to 12.1% for the six months ended June 30, 2019. This reflects a continued focus on personnel related expenditure and facilities and related costs.</w:t>
      </w:r>
    </w:p>
    <w:p>
      <w:pPr>
        <w:spacing w:after="0" w:line="3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Depreciation expense for the period decreased by $0.9 million, or 3.6%, from $23.8 million for six months ended June 30, 2018 to $22.9 million for six months ended June 30, 2019. Depreciation expense arises principally from continued investment in facilities, information systems and equipment to support the Company’s growth. As a percentage of revenue the depreciation expense decreased from 1.9% for the six months ended June 30, 2018 to 1.7% for the six months ended June 30, 2019. Amortization on intangibles for the period decreased by $2.4 million, or 23.6%, from $10.2 million for the six months ended June 30, 2018 to $7.8 million for the six months ended June 30, 2019. Amortization expense represents the amortization of intangible assets acquired on business combinations. The decrease in the amortization expense for the period was driven by some intangibles being fully amortized during 2018. As a percentage of revenue, amortization expense for the six months ended June 30, 2019 decreased from 0.8% to 0.5% for the six months ended June 30, 2018.</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above, income from operations for the period increased by $34.4 million, or 19.8%, from $173.6 million for the six months ended June 30, 2018 to $208.0 million for the six months ended June 30, 2019. As a percentage of revenue, income from operations for the six months ended June 30, 2018 increased from 13.8% of revenues to 15.2% of revenues for the six months ended June 30, 2019.</w:t>
      </w: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Income from operations in Ireland increased from a profit of $119.4 million ($131.9 million excluding restructuring) for the six months ended ended June 30, 2018 to a profit of $148.7 million ($148.7 million excluding restructuring) for the six months ended June 30, 2019. Income from operations in Ireland is impacted by the Group’s global transfer pricing model </w:t>
      </w:r>
      <w:r>
        <w:rPr>
          <w:rFonts w:ascii="Arial" w:cs="Arial" w:eastAsia="Arial" w:hAnsi="Arial"/>
          <w:sz w:val="18"/>
          <w:szCs w:val="18"/>
          <w:i w:val="1"/>
          <w:iCs w:val="1"/>
          <w:color w:val="auto"/>
        </w:rPr>
        <w:t>(see note 13 Business segmental information for further details).</w:t>
      </w:r>
      <w:r>
        <w:rPr>
          <w:rFonts w:ascii="Arial" w:cs="Arial" w:eastAsia="Arial" w:hAnsi="Arial"/>
          <w:sz w:val="18"/>
          <w:szCs w:val="18"/>
          <w:color w:val="auto"/>
        </w:rPr>
        <w:t xml:space="preserve"> Income from operations in our Rest of Europe region decreased from $16.8 million for the six months ended June 30, 2018 to $11.5 million for the six months ended June 30, 2019, while income from operations in our Rest of World region increased from $10.9 million for the six months ended June 30, 2018 to $14.4 million for the six months ended June 30, 2019. Income from operations in the U.S. region increased from $26.5 million for the six months ended June 30, 2018 to $33.4 million for the six months ended June 30,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Interest expense for the period decreased by $0.5 million, or 7.7%, from $7.1 million for the six months ended June 30, 2018 to $6.6 million for the six months ended June 30, 2019. Interest income increased by $1.7 million or 91.6% from $1.8 million for the six months ended June 30, 2018 to $3.5 million for the six months ended June 30, 2019.</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Provision for income taxes increased from $18.4 million for the six months ended June 30, 2018 to $24.5 million for the six months ended June 30, 2019. The Company’s effective tax rate for the six months ended June 30, 2018 was 10.9% compared with 11.9% for the six months ended June 30, 2019.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8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Drawn</w:t>
            </w:r>
          </w:p>
        </w:tc>
        <w:tc>
          <w:tcPr>
            <w:tcW w:w="12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Net cash</w:t>
            </w:r>
          </w:p>
        </w:tc>
        <w:tc>
          <w:tcPr>
            <w:tcW w:w="15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Other non-</w:t>
            </w:r>
          </w:p>
        </w:tc>
        <w:tc>
          <w:tcPr>
            <w:tcW w:w="13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Effect of</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3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December</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down/</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inflow/</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cash</w:t>
            </w:r>
          </w:p>
        </w:tc>
        <w:tc>
          <w:tcPr>
            <w:tcW w:w="13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exchange</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31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31, 2018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(repaid)</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(outflow)</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3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rates</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43"/>
        </w:trPr>
        <w:tc>
          <w:tcPr>
            <w:tcW w:w="3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 (in thousands)</w:t>
            </w:r>
          </w:p>
        </w:tc>
        <w:tc>
          <w:tcPr>
            <w:tcW w:w="1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395,851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(25,527)</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370,208</w:t>
            </w: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Available for sale investments</w:t>
            </w: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59,910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44</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1,117</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61,071</w:t>
            </w:r>
          </w:p>
        </w:tc>
      </w:tr>
      <w:tr>
        <w:trPr>
          <w:trHeight w:val="27"/>
        </w:trPr>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2"/>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placement notes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(349,264)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(187)</w:t>
            </w:r>
          </w:p>
        </w:tc>
        <w:tc>
          <w:tcPr>
            <w:tcW w:w="13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(349,451)</w:t>
            </w:r>
          </w:p>
        </w:tc>
      </w:tr>
      <w:tr>
        <w:trPr>
          <w:trHeight w:val="297"/>
        </w:trPr>
        <w:tc>
          <w:tcPr>
            <w:tcW w:w="31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75"/>
        </w:trPr>
        <w:tc>
          <w:tcPr>
            <w:tcW w:w="3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106,497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(25,483)</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930</w:t>
            </w: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(116)</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81,828</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June 30, 2019 amounted to $431.3 million compared with cash and short term investment balances of $455.8 million at December 31, 2018. The Company’s cash and short term investment balances at June 30, 2019 comprised of cash and cash equivalents of $370.2 million and short-term investments of $61.1 million. The Company’s cash and short term investment balances at December 31, 2018 comprised of cash and cash equivalents of $395.9 million and short-term investments of $59.9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No amounts were drawn at June 30, 2019, or at December 31, 2018, in respect of the Revolving Credit Facility. Amounts available to the Group under the facility at June 30, 2019 and at December 31, 2018 were $150.0 million.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was $117.4 million for the six months ended June 30, 2019 compared with cash provided by operating activities of $79.7 million for the six months ended June 30, 2018.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w:t>
      </w:r>
    </w:p>
    <w:p>
      <w:pPr>
        <w:sectPr>
          <w:pgSz w:w="11900" w:h="16838" w:orient="portrait"/>
          <w:cols w:equalWidth="0" w:num="1">
            <w:col w:w="11420"/>
          </w:cols>
          <w:pgMar w:left="240" w:top="74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46" w:right="239" w:bottom="1440" w:gutter="0" w:footer="0" w:header="0"/>
          <w:type w:val="continuous"/>
        </w:sectPr>
      </w:pPr>
    </w:p>
    <w:bookmarkStart w:id="28" w:name="page29"/>
    <w:bookmarkEnd w:id="28"/>
    <w:p>
      <w:pPr>
        <w:jc w:val="both"/>
        <w:spacing w:after="0" w:line="271" w:lineRule="auto"/>
        <w:rPr>
          <w:sz w:val="20"/>
          <w:szCs w:val="20"/>
          <w:color w:val="auto"/>
        </w:rPr>
      </w:pPr>
      <w:r>
        <w:rPr>
          <w:rFonts w:ascii="Arial" w:cs="Arial" w:eastAsia="Arial" w:hAnsi="Arial"/>
          <w:sz w:val="17"/>
          <w:szCs w:val="17"/>
          <w:color w:val="auto"/>
        </w:rPr>
        <w:t>period, multiplied by the number of days in the period) can vary over a study or trial duration. Contract fees are generally payable in installments based on the delivery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2019 was 78 days compared with 67 days at December 31, 2018. This reflects both extended credit terms provided to a number of key accounts and the timing of cash collections.</w:t>
      </w:r>
    </w:p>
    <w:p>
      <w:pPr>
        <w:spacing w:after="0" w:line="2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investing activities was $94.8 million for the six months ended June 30, 2019 compared to net cash used in investing activities of $24.8 million for the six months ended June 30, 2018. Net cash used in investing activities in the six months ended June 30, 2019 was largely attributable to cash outflows on the acquisitions of MMD of $42.3 million on January 25, 2019 and cash outflows on the acquisition of MeDiNova on May 23, 2019 of $39.3 million. These were offset in part by cash acquired of $8.4 million. During the six months ended June 30, 2019, capital expenditure of $18.2 million was made mainly relating to investment in facilities and IT infrastructure. In addition, $3.3 million was used for the purchase of investments in equity. During the six months ended June 30, 2019 $9.1 million was used for the purchase of short term investments and $9.1 million was generated by the sale of short term investments. Net cash used in investing activities during the six months ended June 30, 2018 relates to capital expenditure of $17.2 million, which was mainly comprised of investment in facilities and IT infrastructure. During the six months ended June 30, 2018 $55.6 million was used for the purchase of short term investments and $49.7 million was generated by the sale of short term investments.</w:t>
      </w:r>
    </w:p>
    <w:p>
      <w:pPr>
        <w:spacing w:after="0" w:line="2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used in financing activities during the six months ended June 30, 2019 amounted to $48.1 million compared to net cash used in financing activities of $44.7 million for the six months ended June 30, 2018. Cash outflows in respect of financing includes cash payments in respect of the Company’s share repurchase program totaling $65.1 million during the six months ended June 30, 2019. In addition, $17.1 million was received by the Company from the exercise of share options. During the six months ended June 30, 2018, $54.2 million was recognized in relation to the Company's share repurchase program. In addition, $10.3 million was received by the Company from the exercise of share options.</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these cash flows, cash and cash equivalents decreased by $25.6 million for the six months ended June 30, 2019 compared to an increase of $6.4 million for the six months ended June 30,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2019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2019-12-20T13:52:11Z</dcterms:created>
  <dcterms:modified xsi:type="dcterms:W3CDTF">2019-12-20T13:52:11Z</dcterms:modified>
</cp:coreProperties>
</file>