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For the month ended April, 2012</w:t>
      </w:r>
    </w:p>
    <w:p>
      <w:pPr>
        <w:spacing w:after="0" w:line="223"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011-353-1-291-2000</w:t>
      </w:r>
    </w:p>
    <w:p>
      <w:pPr>
        <w:spacing w:after="0" w:line="1"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ICON plc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Rider A</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4" w:right="2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As used herein, “ICON”, the “Company” and “we” refer to ICON plc and its consolidated subsidiaries, unless the context requires otherwise.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ICON public limited company (“ICON”)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2012 we had approximately 8,670 employees, in 84 locations in 40 countries. During the three months ended March 31, 2012 we derived approximately 42.7%, 45.6% and 11.7% of our net revenue in the United States, Europe and Rest of World, respectively.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Acquisitions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On February 28, 2012 the Company acquired 100% of the common stock of PriceSpective LLC (“PriceSpective”), a global leader in value strategy consulting. Headquartered in Philadelphia, and with offices in London, Los Angeles, San Diego, Raleigh and Boston, PriceSpective is a premier consultancy that has a strong reputation for excellence in strategic pricing, market access, HEOR, due diligence support and payer engagement services. Since PriceSpective’s inception in 2003, it has developed strategies for dozens of new product launches, and hundreds of development and in-market products, across 40+ disease areas </w:t>
      </w:r>
      <w:r>
        <w:rPr>
          <w:rFonts w:ascii="Arial" w:cs="Arial" w:eastAsia="Arial" w:hAnsi="Arial"/>
          <w:sz w:val="21"/>
          <w:szCs w:val="21"/>
          <w:i w:val="1"/>
          <w:iCs w:val="1"/>
          <w:color w:val="auto"/>
        </w:rPr>
        <w:t>(see note 3</w:t>
      </w:r>
      <w:r>
        <w:rPr>
          <w:rFonts w:ascii="Arial" w:cs="Arial" w:eastAsia="Arial" w:hAnsi="Arial"/>
          <w:sz w:val="21"/>
          <w:szCs w:val="21"/>
          <w:color w:val="auto"/>
        </w:rPr>
        <w:t xml:space="preserve"> </w:t>
      </w:r>
      <w:r>
        <w:rPr>
          <w:rFonts w:ascii="Arial" w:cs="Arial" w:eastAsia="Arial" w:hAnsi="Arial"/>
          <w:sz w:val="21"/>
          <w:szCs w:val="21"/>
          <w:i w:val="1"/>
          <w:iCs w:val="1"/>
          <w:color w:val="auto"/>
        </w:rPr>
        <w:t>Business Combinations for further information).</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On February 15, 2012 the Company acquired 100% of the common stock of BeijingWits Medical Limited (“BeijingWits Medical”), a leading Chinese CRO, with over 100 highly qualified and experienced professionals in Beijing, Shanghai, Chengdu, Guangzhou, Wuhan and Hong Kong </w:t>
      </w:r>
      <w:r>
        <w:rPr>
          <w:rFonts w:ascii="Arial" w:cs="Arial" w:eastAsia="Arial" w:hAnsi="Arial"/>
          <w:sz w:val="21"/>
          <w:szCs w:val="21"/>
          <w:i w:val="1"/>
          <w:iCs w:val="1"/>
          <w:color w:val="auto"/>
        </w:rPr>
        <w:t>(see note 3 Business Combinations for further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 Repurchase Program</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On October 27, 2011 the Company announced its intention to commence a share repurchase program of up to $50 million. On November 22, 2011 the Company entered into two separate share repurchase plans of $10 million each, covering the periods November 23, 2011 to December 31, 2011 and January 1, 2012 to February 20, 2012 respectively. On February 21, 2012 the Company entered into a further share repurchase plan of $20 million, covering the period February 22, 2012 to April 22, 2012 </w:t>
      </w:r>
      <w:r>
        <w:rPr>
          <w:rFonts w:ascii="Arial" w:cs="Arial" w:eastAsia="Arial" w:hAnsi="Arial"/>
          <w:sz w:val="22"/>
          <w:szCs w:val="22"/>
          <w:i w:val="1"/>
          <w:iCs w:val="1"/>
          <w:color w:val="auto"/>
        </w:rPr>
        <w:t>(see</w:t>
      </w:r>
      <w:r>
        <w:rPr>
          <w:rFonts w:ascii="Arial" w:cs="Arial" w:eastAsia="Arial" w:hAnsi="Arial"/>
          <w:sz w:val="22"/>
          <w:szCs w:val="22"/>
          <w:color w:val="auto"/>
        </w:rPr>
        <w:t xml:space="preserve"> </w:t>
      </w:r>
      <w:r>
        <w:rPr>
          <w:rFonts w:ascii="Arial" w:cs="Arial" w:eastAsia="Arial" w:hAnsi="Arial"/>
          <w:sz w:val="22"/>
          <w:szCs w:val="22"/>
          <w:i w:val="1"/>
          <w:iCs w:val="1"/>
          <w:color w:val="auto"/>
        </w:rPr>
        <w:t>note 9 Share Capital for further information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22"/>
          <w:szCs w:val="22"/>
          <w:b w:val="1"/>
          <w:bCs w:val="1"/>
          <w:color w:val="auto"/>
        </w:rPr>
        <w:t>AS AT MARCH 31, 2012 AND DECEMBER 31,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2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128,845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119,237</w:t>
            </w: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Short term investments - available for sale</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77,149</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54,940</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195,094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201,338</w:t>
            </w: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Unbilled revenue</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113,141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126,850</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14,068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13,788</w:t>
            </w: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17,867</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14,662</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 and other current assets</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20,730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21,424</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Income taxes receivable</w:t>
            </w:r>
          </w:p>
        </w:tc>
        <w:tc>
          <w:tcPr>
            <w:tcW w:w="1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6,132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8,183</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573,026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560,422</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Assets:</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170,067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168,461</w:t>
            </w: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326,685</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253,393</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other assets</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4,842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4,583</w:t>
            </w: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Non-current income taxes receivable</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12,311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10,272</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Non-current deferred tax asset</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11,507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10,076</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Intangible assets</w:t>
            </w:r>
          </w:p>
        </w:tc>
        <w:tc>
          <w:tcPr>
            <w:tcW w:w="1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27,068</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28,260</w:t>
            </w:r>
          </w:p>
        </w:tc>
      </w:tr>
      <w:tr>
        <w:trPr>
          <w:trHeight w:val="257"/>
        </w:trPr>
        <w:tc>
          <w:tcPr>
            <w:tcW w:w="20" w:type="dxa"/>
            <w:vAlign w:val="bottom"/>
          </w:tcPr>
          <w:p>
            <w:pPr>
              <w:spacing w:after="0"/>
              <w:rPr>
                <w:sz w:val="22"/>
                <w:szCs w:val="22"/>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1,125,506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1,035,467</w:t>
            </w: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5,489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5,340</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account</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168,764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150,792</w:t>
            </w: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170,039</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145,963</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liability</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Bank credit lines and loan facilities</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5,898</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371,205</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306,908</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Non-current other liabilities</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24,520</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20,038</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government grants</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r>
      <w:tr>
        <w:trPr>
          <w:trHeight w:val="216"/>
        </w:trPr>
        <w:tc>
          <w:tcPr>
            <w:tcW w:w="20" w:type="dxa"/>
            <w:vAlign w:val="bottom"/>
          </w:tcPr>
          <w:p>
            <w:pPr>
              <w:spacing w:after="0"/>
              <w:rPr>
                <w:sz w:val="18"/>
                <w:szCs w:val="18"/>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Non-current income taxes payable</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5,492</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5,231</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deferred tax liability</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21,141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20,395</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Ordinary shares, par value 6 euro cents per share; 100,000,000 shares authorized,</w:t>
            </w:r>
          </w:p>
        </w:tc>
        <w:tc>
          <w:tcPr>
            <w:tcW w:w="1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60,128,031 shares issued and outstanding at March 31, 2012 and</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60,135,603 shares issued and outstanding at December 31, 2011</w:t>
            </w:r>
          </w:p>
        </w:tc>
        <w:tc>
          <w:tcPr>
            <w:tcW w:w="16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5,055</w:t>
            </w:r>
          </w:p>
        </w:tc>
        <w:tc>
          <w:tcPr>
            <w:tcW w:w="1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5,055</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215,171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211,549</w:t>
            </w:r>
          </w:p>
        </w:tc>
      </w:tr>
      <w:tr>
        <w:trPr>
          <w:trHeight w:val="216"/>
        </w:trPr>
        <w:tc>
          <w:tcPr>
            <w:tcW w:w="20" w:type="dxa"/>
            <w:vAlign w:val="bottom"/>
          </w:tcPr>
          <w:p>
            <w:pPr>
              <w:spacing w:after="0"/>
              <w:rPr>
                <w:sz w:val="18"/>
                <w:szCs w:val="18"/>
                <w:color w:val="auto"/>
              </w:rPr>
            </w:pPr>
          </w:p>
        </w:tc>
        <w:tc>
          <w:tcPr>
            <w:tcW w:w="7320" w:type="dxa"/>
            <w:vAlign w:val="bottom"/>
          </w:tcPr>
          <w:p>
            <w:pPr>
              <w:ind w:left="380"/>
              <w:spacing w:after="0"/>
              <w:rPr>
                <w:sz w:val="20"/>
                <w:szCs w:val="20"/>
                <w:color w:val="auto"/>
              </w:rPr>
            </w:pPr>
            <w:r>
              <w:rPr>
                <w:rFonts w:ascii="Arial" w:cs="Arial" w:eastAsia="Arial" w:hAnsi="Arial"/>
                <w:sz w:val="18"/>
                <w:szCs w:val="18"/>
                <w:color w:val="auto"/>
              </w:rPr>
              <w:t>Capital redemption reserve</w:t>
            </w:r>
          </w:p>
        </w:tc>
        <w:tc>
          <w:tcPr>
            <w:tcW w:w="16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1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488,879</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481,342</w:t>
            </w: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701,774</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681,544</w:t>
            </w:r>
          </w:p>
        </w:tc>
      </w:tr>
      <w:tr>
        <w:trPr>
          <w:trHeight w:val="216"/>
        </w:trPr>
        <w:tc>
          <w:tcPr>
            <w:tcW w:w="20" w:type="dxa"/>
            <w:vAlign w:val="bottom"/>
            <w:tcBorders>
              <w:bottom w:val="single" w:sz="8" w:color="auto"/>
            </w:tcBorders>
          </w:tcPr>
          <w:p>
            <w:pPr>
              <w:spacing w:after="0"/>
              <w:rPr>
                <w:sz w:val="18"/>
                <w:szCs w:val="18"/>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1,125,506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1,035,467</w:t>
            </w:r>
          </w:p>
        </w:tc>
      </w:tr>
      <w:tr>
        <w:trPr>
          <w:trHeight w:val="21"/>
        </w:trPr>
        <w:tc>
          <w:tcPr>
            <w:tcW w:w="20" w:type="dxa"/>
            <w:vAlign w:val="bottom"/>
          </w:tcPr>
          <w:p>
            <w:pPr>
              <w:spacing w:after="0" w:line="20" w:lineRule="exact"/>
              <w:rPr>
                <w:sz w:val="1"/>
                <w:szCs w:val="1"/>
                <w:color w:val="auto"/>
              </w:rPr>
            </w:pPr>
          </w:p>
        </w:tc>
        <w:tc>
          <w:tcPr>
            <w:tcW w:w="7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condensed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ICON plc</w:t>
      </w:r>
    </w:p>
    <w:p>
      <w:pPr>
        <w:spacing w:after="0" w:line="233" w:lineRule="exact"/>
        <w:rPr>
          <w:sz w:val="20"/>
          <w:szCs w:val="20"/>
          <w:color w:val="auto"/>
        </w:rPr>
      </w:pPr>
    </w:p>
    <w:p>
      <w:pPr>
        <w:jc w:val="center"/>
        <w:ind w:left="260" w:right="1940"/>
        <w:spacing w:after="0" w:line="243" w:lineRule="auto"/>
        <w:rPr>
          <w:sz w:val="20"/>
          <w:szCs w:val="20"/>
          <w:color w:val="auto"/>
        </w:rPr>
      </w:pPr>
      <w:r>
        <w:rPr>
          <w:rFonts w:ascii="Arial" w:cs="Arial" w:eastAsia="Arial" w:hAnsi="Arial"/>
          <w:sz w:val="22"/>
          <w:szCs w:val="22"/>
          <w:b w:val="1"/>
          <w:bCs w:val="1"/>
          <w:color w:val="auto"/>
        </w:rPr>
        <w:t>CONDENSED CONSOLIDATED STATEMENTS OF OPERATIONS FOR THE THREE MONTHS ENDED MARCH 31, 2012 AND MARCH 31, 2011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March 31,</w:t>
            </w:r>
          </w:p>
        </w:tc>
        <w:tc>
          <w:tcPr>
            <w:tcW w:w="280" w:type="dxa"/>
            <w:vAlign w:val="bottom"/>
          </w:tcPr>
          <w:p>
            <w:pPr>
              <w:spacing w:after="0"/>
              <w:rPr>
                <w:sz w:val="17"/>
                <w:szCs w:val="17"/>
                <w:color w:val="auto"/>
              </w:rPr>
            </w:pPr>
          </w:p>
        </w:tc>
        <w:tc>
          <w:tcPr>
            <w:tcW w:w="10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4900" w:type="dxa"/>
            <w:vAlign w:val="bottom"/>
            <w:gridSpan w:val="12"/>
          </w:tcPr>
          <w:p>
            <w:pPr>
              <w:jc w:val="center"/>
              <w:ind w:left="2090"/>
              <w:spacing w:after="0"/>
              <w:rPr>
                <w:sz w:val="20"/>
                <w:szCs w:val="20"/>
                <w:color w:val="auto"/>
              </w:rPr>
            </w:pPr>
            <w:r>
              <w:rPr>
                <w:rFonts w:ascii="Arial" w:cs="Arial" w:eastAsia="Arial" w:hAnsi="Arial"/>
                <w:sz w:val="18"/>
                <w:szCs w:val="18"/>
                <w:b w:val="1"/>
                <w:bCs w:val="1"/>
                <w:color w:val="auto"/>
                <w:w w:val="87"/>
              </w:rPr>
              <w:t>(in thousands except share and</w:t>
            </w:r>
          </w:p>
        </w:tc>
        <w:tc>
          <w:tcPr>
            <w:tcW w:w="0" w:type="dxa"/>
            <w:vAlign w:val="bottom"/>
          </w:tcPr>
          <w:p>
            <w:pPr>
              <w:spacing w:after="0"/>
              <w:rPr>
                <w:sz w:val="1"/>
                <w:szCs w:val="1"/>
                <w:color w:val="auto"/>
              </w:rPr>
            </w:pPr>
          </w:p>
        </w:tc>
      </w:tr>
      <w:tr>
        <w:trPr>
          <w:trHeight w:val="234"/>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89"/>
              </w:rPr>
              <w:t>per share data)</w:t>
            </w:r>
          </w:p>
        </w:tc>
        <w:tc>
          <w:tcPr>
            <w:tcW w:w="0" w:type="dxa"/>
            <w:vAlign w:val="bottom"/>
          </w:tcPr>
          <w:p>
            <w:pPr>
              <w:spacing w:after="0"/>
              <w:rPr>
                <w:sz w:val="1"/>
                <w:szCs w:val="1"/>
                <w:color w:val="auto"/>
              </w:rPr>
            </w:pPr>
          </w:p>
        </w:tc>
      </w:tr>
      <w:tr>
        <w:trPr>
          <w:trHeight w:val="216"/>
        </w:trPr>
        <w:tc>
          <w:tcPr>
            <w:tcW w:w="652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343,055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305,547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Reimbursable expenses</w:t>
            </w:r>
          </w:p>
        </w:tc>
        <w:tc>
          <w:tcPr>
            <w:tcW w:w="2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(90,722)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(76,250)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Net revenue</w:t>
            </w:r>
          </w:p>
        </w:tc>
        <w:tc>
          <w:tcPr>
            <w:tcW w:w="2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252,333</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229,297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Costs and expenses: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25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162,284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250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67,515</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59,883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5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10,802</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Non-recurring charges, net</w:t>
            </w:r>
          </w:p>
        </w:tc>
        <w:tc>
          <w:tcPr>
            <w:tcW w:w="2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2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240,601</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218,328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5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11,732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5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(414)</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5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11,697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11,035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(2,726)</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14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2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0.15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2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60,086,104</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60,283,078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2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60,708,469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60,982,948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condensed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b w:val="1"/>
          <w:bCs w:val="1"/>
          <w:color w:val="auto"/>
        </w:rPr>
        <w:t>FOR THE THREE MONTHS ENDED MARCH 31, 2012 AND MARCH 31, 2011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March 31,</w:t>
            </w:r>
          </w:p>
        </w:tc>
        <w:tc>
          <w:tcPr>
            <w:tcW w:w="300" w:type="dxa"/>
            <w:vAlign w:val="bottom"/>
          </w:tcPr>
          <w:p>
            <w:pPr>
              <w:spacing w:after="0"/>
              <w:rPr>
                <w:sz w:val="17"/>
                <w:szCs w:val="17"/>
                <w:color w:val="auto"/>
              </w:rPr>
            </w:pPr>
          </w:p>
        </w:tc>
        <w:tc>
          <w:tcPr>
            <w:tcW w:w="10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7320" w:type="dxa"/>
            <w:vAlign w:val="bottom"/>
            <w:gridSpan w:val="3"/>
            <w:vMerge w:val="continue"/>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5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disposal of property, plant and equipment</w:t>
            </w:r>
          </w:p>
        </w:tc>
        <w:tc>
          <w:tcPr>
            <w:tcW w:w="18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Depreciation expense</w:t>
            </w:r>
          </w:p>
        </w:tc>
        <w:tc>
          <w:tcPr>
            <w:tcW w:w="18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8,797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8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Amortization of grants</w:t>
            </w:r>
          </w:p>
        </w:tc>
        <w:tc>
          <w:tcPr>
            <w:tcW w:w="18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8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5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(3,969)</w:t>
            </w: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Decrease/(increase) in accounts receivable</w:t>
            </w:r>
          </w:p>
        </w:tc>
        <w:tc>
          <w:tcPr>
            <w:tcW w:w="1860" w:type="dxa"/>
            <w:vAlign w:val="bottom"/>
          </w:tcPr>
          <w:p>
            <w:pPr>
              <w:spacing w:after="0"/>
              <w:rPr>
                <w:sz w:val="18"/>
                <w:szCs w:val="18"/>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12,126</w:t>
            </w: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Decrease/(increase)</w:t>
            </w: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 unbilled revenue</w:t>
            </w:r>
          </w:p>
        </w:tc>
        <w:tc>
          <w:tcPr>
            <w:tcW w:w="18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13,683</w:t>
            </w: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200"/>
              <w:spacing w:after="0"/>
              <w:rPr>
                <w:sz w:val="20"/>
                <w:szCs w:val="20"/>
                <w:color w:val="auto"/>
              </w:rPr>
            </w:pPr>
            <w:r>
              <w:rPr>
                <w:rFonts w:ascii="Arial" w:cs="Arial" w:eastAsia="Arial" w:hAnsi="Arial"/>
                <w:sz w:val="18"/>
                <w:szCs w:val="18"/>
                <w:color w:val="auto"/>
                <w:w w:val="92"/>
              </w:rPr>
              <w:t>Decrease/(increase)</w:t>
            </w:r>
          </w:p>
        </w:tc>
        <w:tc>
          <w:tcPr>
            <w:tcW w:w="5580" w:type="dxa"/>
            <w:vAlign w:val="bottom"/>
          </w:tcPr>
          <w:p>
            <w:pPr>
              <w:spacing w:after="0"/>
              <w:rPr>
                <w:sz w:val="20"/>
                <w:szCs w:val="20"/>
                <w:color w:val="auto"/>
              </w:rPr>
            </w:pPr>
            <w:r>
              <w:rPr>
                <w:rFonts w:ascii="Arial" w:cs="Arial" w:eastAsia="Arial" w:hAnsi="Arial"/>
                <w:sz w:val="18"/>
                <w:szCs w:val="18"/>
                <w:color w:val="auto"/>
              </w:rPr>
              <w:t>in other receivables</w:t>
            </w:r>
          </w:p>
        </w:tc>
        <w:tc>
          <w:tcPr>
            <w:tcW w:w="18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Decrease in prepayments and other current assets</w:t>
            </w:r>
          </w:p>
        </w:tc>
        <w:tc>
          <w:tcPr>
            <w:tcW w:w="18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Increase in other non current assets</w:t>
            </w:r>
          </w:p>
        </w:tc>
        <w:tc>
          <w:tcPr>
            <w:tcW w:w="18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 in payments on account</w:t>
            </w:r>
          </w:p>
        </w:tc>
        <w:tc>
          <w:tcPr>
            <w:tcW w:w="18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17,057</w:t>
            </w: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(Decrease)/increase in other current liabilities</w:t>
            </w:r>
          </w:p>
        </w:tc>
        <w:tc>
          <w:tcPr>
            <w:tcW w:w="18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(4,948)</w:t>
            </w:r>
          </w:p>
        </w:tc>
        <w:tc>
          <w:tcPr>
            <w:tcW w:w="30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(Decrease)/increase in other non current liabilities</w:t>
            </w:r>
          </w:p>
        </w:tc>
        <w:tc>
          <w:tcPr>
            <w:tcW w:w="18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(924)</w:t>
            </w: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Increase in income taxes payable</w:t>
            </w:r>
          </w:p>
        </w:tc>
        <w:tc>
          <w:tcPr>
            <w:tcW w:w="18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2,444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12,282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Increase/(decrease) in accounts payable</w:t>
            </w:r>
          </w:p>
        </w:tc>
        <w:tc>
          <w:tcPr>
            <w:tcW w:w="18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cash provided by/(used in) operating activities</w:t>
            </w:r>
          </w:p>
        </w:tc>
        <w:tc>
          <w:tcPr>
            <w:tcW w:w="1860" w:type="dxa"/>
            <w:vAlign w:val="bottom"/>
          </w:tcPr>
          <w:p>
            <w:pPr>
              <w:spacing w:after="0"/>
              <w:rPr>
                <w:sz w:val="18"/>
                <w:szCs w:val="18"/>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60,646</w:t>
            </w: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18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(6,511)</w:t>
            </w: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Purchase of subsidiary undertakings</w:t>
            </w:r>
          </w:p>
        </w:tc>
        <w:tc>
          <w:tcPr>
            <w:tcW w:w="18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(48,563)</w:t>
            </w: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(27,720)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acquired with subsidiary undertaking</w:t>
            </w:r>
          </w:p>
        </w:tc>
        <w:tc>
          <w:tcPr>
            <w:tcW w:w="18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Purchase of short term investments</w:t>
            </w:r>
          </w:p>
        </w:tc>
        <w:tc>
          <w:tcPr>
            <w:tcW w:w="18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(27,480)</w:t>
            </w: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Sale of short term investments</w:t>
            </w:r>
          </w:p>
        </w:tc>
        <w:tc>
          <w:tcPr>
            <w:tcW w:w="18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(73,937)</w:t>
            </w: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(67,408)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exercise of share options</w:t>
            </w:r>
          </w:p>
        </w:tc>
        <w:tc>
          <w:tcPr>
            <w:tcW w:w="18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814</w:t>
            </w: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240"/>
              <w:spacing w:after="0"/>
              <w:rPr>
                <w:sz w:val="20"/>
                <w:szCs w:val="20"/>
                <w:color w:val="auto"/>
              </w:rPr>
            </w:pPr>
            <w:r>
              <w:rPr>
                <w:rFonts w:ascii="Arial" w:cs="Arial" w:eastAsia="Arial" w:hAnsi="Arial"/>
                <w:sz w:val="18"/>
                <w:szCs w:val="18"/>
                <w:color w:val="auto"/>
                <w:w w:val="85"/>
              </w:rPr>
              <w:t>Share issuance costs</w:t>
            </w:r>
          </w:p>
        </w:tc>
        <w:tc>
          <w:tcPr>
            <w:tcW w:w="5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Tax benefit from the exercise of share option</w:t>
            </w:r>
          </w:p>
        </w:tc>
        <w:tc>
          <w:tcPr>
            <w:tcW w:w="18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Repurchase of ordinary shares</w:t>
            </w:r>
          </w:p>
        </w:tc>
        <w:tc>
          <w:tcPr>
            <w:tcW w:w="186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(1,416)</w:t>
            </w:r>
          </w:p>
        </w:tc>
        <w:tc>
          <w:tcPr>
            <w:tcW w:w="30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 repurchase costs</w:t>
            </w:r>
          </w:p>
        </w:tc>
        <w:tc>
          <w:tcPr>
            <w:tcW w:w="18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Drawdown of bank credit lines and loan facilities</w:t>
            </w:r>
          </w:p>
        </w:tc>
        <w:tc>
          <w:tcPr>
            <w:tcW w:w="18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20,000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19,763</w:t>
            </w:r>
          </w:p>
        </w:tc>
        <w:tc>
          <w:tcPr>
            <w:tcW w:w="3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movements on cash</w:t>
            </w:r>
          </w:p>
        </w:tc>
        <w:tc>
          <w:tcPr>
            <w:tcW w:w="18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3,136</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86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(63,893)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8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119,237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128,845</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191,813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condensed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ICON plc</w:t>
      </w:r>
    </w:p>
    <w:p>
      <w:pPr>
        <w:spacing w:after="0" w:line="233"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CONDENSED CONSOLIDATED STATEMENTS OF SHAREHOLDERS' EQUITY AND COMPREHENSIVE INCOME (UNAUDITED)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w w:val="90"/>
              </w:rPr>
              <w:t>Additional</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Other</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7"/>
                <w:szCs w:val="17"/>
                <w:color w:val="auto"/>
              </w:rPr>
            </w:pPr>
          </w:p>
        </w:tc>
        <w:tc>
          <w:tcPr>
            <w:tcW w:w="116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88"/>
              </w:rPr>
              <w:t>Redemption</w:t>
            </w:r>
          </w:p>
        </w:tc>
        <w:tc>
          <w:tcPr>
            <w:tcW w:w="13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7"/>
              </w:rPr>
              <w:t>Comprehensive</w:t>
            </w:r>
          </w:p>
        </w:tc>
        <w:tc>
          <w:tcPr>
            <w:tcW w:w="400" w:type="dxa"/>
            <w:vAlign w:val="bottom"/>
          </w:tcPr>
          <w:p>
            <w:pPr>
              <w:spacing w:after="0"/>
              <w:rPr>
                <w:sz w:val="17"/>
                <w:szCs w:val="17"/>
                <w:color w:val="auto"/>
              </w:rPr>
            </w:pPr>
          </w:p>
        </w:tc>
        <w:tc>
          <w:tcPr>
            <w:tcW w:w="82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6"/>
              </w:rPr>
              <w:t>Retained</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3"/>
              </w:rPr>
              <w:t>Shares</w:t>
            </w:r>
          </w:p>
        </w:tc>
        <w:tc>
          <w:tcPr>
            <w:tcW w:w="240" w:type="dxa"/>
            <w:vAlign w:val="bottom"/>
          </w:tcPr>
          <w:p>
            <w:pPr>
              <w:spacing w:after="0"/>
              <w:rPr>
                <w:sz w:val="17"/>
                <w:szCs w:val="17"/>
                <w:color w:val="auto"/>
              </w:rPr>
            </w:pPr>
          </w:p>
        </w:tc>
        <w:tc>
          <w:tcPr>
            <w:tcW w:w="98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77"/>
              </w:rPr>
              <w:t>Reserve</w:t>
            </w:r>
          </w:p>
        </w:tc>
        <w:tc>
          <w:tcPr>
            <w:tcW w:w="180" w:type="dxa"/>
            <w:vAlign w:val="bottom"/>
          </w:tcPr>
          <w:p>
            <w:pPr>
              <w:spacing w:after="0"/>
              <w:rPr>
                <w:sz w:val="17"/>
                <w:szCs w:val="17"/>
                <w:color w:val="auto"/>
              </w:rPr>
            </w:pPr>
          </w:p>
        </w:tc>
        <w:tc>
          <w:tcPr>
            <w:tcW w:w="116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Income</w:t>
            </w:r>
          </w:p>
        </w:tc>
        <w:tc>
          <w:tcPr>
            <w:tcW w:w="400" w:type="dxa"/>
            <w:vAlign w:val="bottom"/>
          </w:tcPr>
          <w:p>
            <w:pPr>
              <w:spacing w:after="0"/>
              <w:rPr>
                <w:sz w:val="17"/>
                <w:szCs w:val="17"/>
                <w:color w:val="auto"/>
              </w:rPr>
            </w:pPr>
          </w:p>
        </w:tc>
        <w:tc>
          <w:tcPr>
            <w:tcW w:w="82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Earnings</w:t>
            </w:r>
          </w:p>
        </w:tc>
        <w:tc>
          <w:tcPr>
            <w:tcW w:w="340" w:type="dxa"/>
            <w:vAlign w:val="bottom"/>
          </w:tcPr>
          <w:p>
            <w:pPr>
              <w:spacing w:after="0"/>
              <w:rPr>
                <w:sz w:val="17"/>
                <w:szCs w:val="17"/>
                <w:color w:val="auto"/>
              </w:rPr>
            </w:pPr>
          </w:p>
        </w:tc>
        <w:tc>
          <w:tcPr>
            <w:tcW w:w="86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gridSpan w:val="12"/>
          </w:tcPr>
          <w:p>
            <w:pPr>
              <w:jc w:val="right"/>
              <w:ind w:right="460"/>
              <w:spacing w:after="0"/>
              <w:rPr>
                <w:sz w:val="20"/>
                <w:szCs w:val="20"/>
                <w:color w:val="auto"/>
              </w:rPr>
            </w:pPr>
            <w:r>
              <w:rPr>
                <w:rFonts w:ascii="Arial" w:cs="Arial" w:eastAsia="Arial" w:hAnsi="Arial"/>
                <w:sz w:val="18"/>
                <w:szCs w:val="18"/>
                <w:b w:val="1"/>
                <w:bCs w:val="1"/>
                <w:color w:val="auto"/>
                <w:w w:val="90"/>
              </w:rPr>
              <w:t>(dollars in thousands, except share data)</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1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60,135,603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5,055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right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(16,446)</w:t>
            </w:r>
          </w:p>
        </w:tc>
        <w:tc>
          <w:tcPr>
            <w:tcW w:w="400" w:type="dxa"/>
            <w:vAlign w:val="bottom"/>
            <w:tcBorders>
              <w:bottom w:val="single" w:sz="8" w:color="auto"/>
              <w:right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481,342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8,971</w:t>
            </w:r>
          </w:p>
        </w:tc>
        <w:tc>
          <w:tcPr>
            <w:tcW w:w="3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Currency impact of long term</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funding</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4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Unrealized capital gain -</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Borders>
              <w:top w:val="single" w:sz="8" w:color="auto"/>
              <w:bottom w:val="single" w:sz="8" w:color="auto"/>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380" w:type="dxa"/>
            <w:vAlign w:val="bottom"/>
            <w:tcBorders>
              <w:top w:val="single" w:sz="8" w:color="auto"/>
              <w:bottom w:val="single" w:sz="8" w:color="auto"/>
              <w:right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400" w:type="dxa"/>
            <w:vAlign w:val="bottom"/>
            <w:tcBorders>
              <w:top w:val="single" w:sz="8" w:color="auto"/>
              <w:bottom w:val="single" w:sz="8" w:color="auto"/>
              <w:right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8,971</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74,528</w:t>
            </w:r>
          </w:p>
        </w:tc>
        <w:tc>
          <w:tcPr>
            <w:tcW w:w="24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Issue of ordinary shares</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Share issuance costs</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stock compensation</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Share repurchase programme</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(82,100)</w:t>
            </w:r>
          </w:p>
        </w:tc>
        <w:tc>
          <w:tcPr>
            <w:tcW w:w="2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(1,416)</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Tax benefit on exercise of options</w:t>
            </w: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2012</w:t>
            </w:r>
          </w:p>
        </w:tc>
        <w:tc>
          <w:tcPr>
            <w:tcW w:w="11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60,128,031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5,055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215,171</w:t>
            </w: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right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(7,381)</w:t>
            </w:r>
          </w:p>
        </w:tc>
        <w:tc>
          <w:tcPr>
            <w:tcW w:w="400" w:type="dxa"/>
            <w:vAlign w:val="bottom"/>
            <w:tcBorders>
              <w:bottom w:val="single" w:sz="8" w:color="auto"/>
              <w:right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488,879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701,774</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condensed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ICON plc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jc w:val="center"/>
        <w:spacing w:after="0"/>
        <w:rPr>
          <w:sz w:val="20"/>
          <w:szCs w:val="20"/>
          <w:color w:val="auto"/>
        </w:rPr>
      </w:pPr>
      <w:r>
        <w:rPr>
          <w:rFonts w:ascii="Arial" w:cs="Arial" w:eastAsia="Arial" w:hAnsi="Arial"/>
          <w:sz w:val="22"/>
          <w:szCs w:val="22"/>
          <w:b w:val="1"/>
          <w:bCs w:val="1"/>
          <w:color w:val="auto"/>
        </w:rPr>
        <w:t>MARCH 31, 2012</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condensed consolidated financial statements should be read in conjunction with the accounting policies and notes to the consolidated financial statements included in ICON’s Form 20-F for the year ended December 31, 2011. Operating results for the three months ended March 31, 2012 are not necessarily indicative of the results that may be expected for the fiscal period ending December 31, 2012.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Goodwill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7"/>
                <w:szCs w:val="17"/>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196"/>
        </w:trPr>
        <w:tc>
          <w:tcPr>
            <w:tcW w:w="55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r>
      <w:tr>
        <w:trPr>
          <w:trHeight w:val="237"/>
        </w:trPr>
        <w:tc>
          <w:tcPr>
            <w:tcW w:w="55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8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Opening balance</w:t>
            </w:r>
          </w:p>
        </w:tc>
        <w:tc>
          <w:tcPr>
            <w:tcW w:w="3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253,393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175,860</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Current period acquisitions</w:t>
            </w:r>
          </w:p>
        </w:tc>
        <w:tc>
          <w:tcPr>
            <w:tcW w:w="36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68,475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83,656</w:t>
            </w: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period acquisitions</w:t>
            </w:r>
          </w:p>
        </w:tc>
        <w:tc>
          <w:tcPr>
            <w:tcW w:w="36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exchange movement</w:t>
            </w:r>
          </w:p>
        </w:tc>
        <w:tc>
          <w:tcPr>
            <w:tcW w:w="3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(6,123)</w:t>
            </w:r>
          </w:p>
        </w:tc>
      </w:tr>
      <w:tr>
        <w:trPr>
          <w:trHeight w:val="473"/>
        </w:trPr>
        <w:tc>
          <w:tcPr>
            <w:tcW w:w="5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Closing balance</w:t>
            </w:r>
          </w:p>
        </w:tc>
        <w:tc>
          <w:tcPr>
            <w:tcW w:w="3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326,685</w:t>
            </w: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253,393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goodwill balance relates entirely to the clinical research segment.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3. Business Combinations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Acquisition of PriceSpective</w:t>
      </w:r>
    </w:p>
    <w:p>
      <w:pPr>
        <w:spacing w:after="0" w:line="233"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On February 28, 2012 the Company acquired 100% of the common stock of PriceSpective, a global leader in value strategy consulting, for an initial cash consideration of $37.1 million. Headquartered in Philadelphia, and with offices in London, Los Angeles, San Diego, Raleigh and Boston, PriceSpective is a premier consultancy that has a strong reputation for excellence in strategic pricing, market access, HEOR, due diligence support and payer engagement services. Since PriceSpective’s inception in 2003, it has developed strategies for dozens of new product launches, and hundreds of development and in-market products, across 40+ disease areas. Further consideration of up to $15.0 million may become payable if certain performance milestones are achieved in respect of periods up to December 2012. At March 31, 2012 the Company has recorded a liability of $15.0 million in respect of this additional consideration.</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 summarizes the Company’s provisional estimates of the fair values of assets acquired and the liabilities assumed: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28</w:t>
            </w:r>
          </w:p>
        </w:tc>
      </w:tr>
      <w:tr>
        <w:trPr>
          <w:trHeight w:val="216"/>
        </w:trPr>
        <w:tc>
          <w:tcPr>
            <w:tcW w:w="6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34"/>
        </w:trPr>
        <w:tc>
          <w:tcPr>
            <w:tcW w:w="6260" w:type="dxa"/>
            <w:vAlign w:val="bottom"/>
          </w:tcPr>
          <w:p>
            <w:pPr>
              <w:spacing w:after="0"/>
              <w:rPr>
                <w:sz w:val="20"/>
                <w:szCs w:val="20"/>
                <w:color w:val="auto"/>
              </w:rPr>
            </w:pPr>
          </w:p>
        </w:tc>
        <w:tc>
          <w:tcPr>
            <w:tcW w:w="5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4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53,336</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2,662</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4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Non-current assets</w:t>
            </w: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23"/>
        </w:trPr>
        <w:tc>
          <w:tcPr>
            <w:tcW w:w="6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40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r>
      <w:tr>
        <w:trPr>
          <w:trHeight w:val="216"/>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4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52,132</w:t>
            </w: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ind w:left="360" w:right="120" w:hanging="221"/>
        <w:spacing w:after="0" w:line="250"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6"/>
          <w:szCs w:val="16"/>
          <w:color w:val="auto"/>
        </w:rPr>
        <w:t>Goodwill represents the acquisition of an established workforce with experience in strategic pricing, market access, HEOR, due diligence support and payer engagement services.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Acquisition of BeijingWits Medical</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February 15, 2012 the Company acquired 100% of the common stock of BeijingWits Medical, a leading Chinese CRO, for an initial cash consideration of $9.0 million ($6.0 million of which has been paid with a further $3.0 million due for payment).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December 31, 2013. At March 31, 2012 the Company has recorded a liability of $10.0 million in respect of the additional consideration.</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following table summarizes the Company’s provisional estimates of the fair values of assets acquired and the liabilities assumed: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15</w:t>
            </w:r>
          </w:p>
        </w:tc>
      </w:tr>
      <w:tr>
        <w:trPr>
          <w:trHeight w:val="216"/>
        </w:trPr>
        <w:tc>
          <w:tcPr>
            <w:tcW w:w="6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34"/>
        </w:trPr>
        <w:tc>
          <w:tcPr>
            <w:tcW w:w="6260" w:type="dxa"/>
            <w:vAlign w:val="bottom"/>
          </w:tcPr>
          <w:p>
            <w:pPr>
              <w:spacing w:after="0"/>
              <w:rPr>
                <w:sz w:val="20"/>
                <w:szCs w:val="20"/>
                <w:color w:val="auto"/>
              </w:rPr>
            </w:pPr>
          </w:p>
        </w:tc>
        <w:tc>
          <w:tcPr>
            <w:tcW w:w="5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4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15,139</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657</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4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Non current assets</w:t>
            </w:r>
          </w:p>
        </w:tc>
        <w:tc>
          <w:tcPr>
            <w:tcW w:w="40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23"/>
        </w:trPr>
        <w:tc>
          <w:tcPr>
            <w:tcW w:w="6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40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Total</w:t>
            </w:r>
          </w:p>
        </w:tc>
        <w:tc>
          <w:tcPr>
            <w:tcW w:w="40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0"/>
          <w:szCs w:val="20"/>
          <w:color w:val="auto"/>
        </w:rPr>
      </w:pPr>
    </w:p>
    <w:p>
      <w:pPr>
        <w:ind w:left="340" w:hanging="170"/>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16"/>
          <w:szCs w:val="16"/>
          <w:color w:val="auto"/>
        </w:rPr>
        <w:t>Goodwill represents the acquisition of an established workforce with experience in clinical trial execution and regulatory processes in China.</w:t>
      </w:r>
    </w:p>
    <w:p>
      <w:pPr>
        <w:spacing w:after="0" w:line="383" w:lineRule="exact"/>
        <w:rPr>
          <w:rFonts w:ascii="Arial" w:cs="Arial" w:eastAsia="Arial" w:hAnsi="Arial"/>
          <w:sz w:val="22"/>
          <w:szCs w:val="22"/>
          <w:color w:val="auto"/>
        </w:rPr>
      </w:pPr>
    </w:p>
    <w:p>
      <w:pPr>
        <w:ind w:left="5660"/>
        <w:spacing w:after="0"/>
        <w:rPr>
          <w:rFonts w:ascii="Arial" w:cs="Arial" w:eastAsia="Arial" w:hAnsi="Arial"/>
          <w:sz w:val="22"/>
          <w:szCs w:val="22"/>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i w:val="1"/>
          <w:iCs w:val="1"/>
          <w:color w:val="auto"/>
        </w:rPr>
        <w:t>Prior Period Acquiistions - Acquisition of Firecrest Clinical</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July 14, 2011 the Company acquired 100% of the common stock of Firecrest Clinical Limited (“Firecrest”), a market leading provider of technology solutions that boost investigator site performance and study management, for an initial cash consideration of €17.0 million ($24.1 million). Headquartered in Limerick, Ireland, Firecrest Clinical provides a comprehensive site performance management system that is used to improve compliance consistency and execution of activities at investigative sites. Further consideration of up to €33.0 million ($46.8 million) may become payable if certain performance milestones are achieved in respect of periods up to June 30, 2013. The acquisition agreement also provided for certain working capital targets to be achieved by Firecrest Clinical on completion. In March 2012 the Company paid €3.0 million ($4.0million) in respect of the first element of the additional consideration and €0.4 million ($0.5 million) in respect of the working capital review. At March 31, 2012 the Company has recorded a liability of €28.3 million ($37.6 million) in relation to the remaining performance milestones.</w:t>
      </w:r>
    </w:p>
    <w:p>
      <w:pPr>
        <w:spacing w:after="0" w:line="18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The acquisition of Firecrest has been accounted for as a business combination in accordance with FASB ASC 805 </w:t>
      </w:r>
      <w:r>
        <w:rPr>
          <w:rFonts w:ascii="Arial" w:cs="Arial" w:eastAsia="Arial" w:hAnsi="Arial"/>
          <w:sz w:val="19"/>
          <w:szCs w:val="19"/>
          <w:i w:val="1"/>
          <w:iCs w:val="1"/>
          <w:color w:val="auto"/>
        </w:rPr>
        <w:t>Business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Combinations. </w:t>
      </w:r>
      <w:r>
        <w:rPr>
          <w:rFonts w:ascii="Arial" w:cs="Arial" w:eastAsia="Arial" w:hAnsi="Arial"/>
          <w:sz w:val="19"/>
          <w:szCs w:val="19"/>
          <w:color w:val="auto"/>
        </w:rPr>
        <w:t>The following table summarizes the estimated fair values of the assets acquired and the liabilities assumed: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July 14</w:t>
            </w:r>
          </w:p>
        </w:tc>
      </w:tr>
      <w:tr>
        <w:trPr>
          <w:trHeight w:val="216"/>
        </w:trPr>
        <w:tc>
          <w:tcPr>
            <w:tcW w:w="66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6640" w:type="dxa"/>
            <w:vAlign w:val="bottom"/>
          </w:tcPr>
          <w:p>
            <w:pPr>
              <w:spacing w:after="0"/>
              <w:rPr>
                <w:sz w:val="20"/>
                <w:szCs w:val="20"/>
                <w:color w:val="auto"/>
              </w:rPr>
            </w:pPr>
          </w:p>
        </w:tc>
        <w:tc>
          <w:tcPr>
            <w:tcW w:w="47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8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48,607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 technology asset</w:t>
            </w:r>
          </w:p>
        </w:tc>
        <w:tc>
          <w:tcPr>
            <w:tcW w:w="38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Intangible asset – customer relationships</w:t>
            </w:r>
          </w:p>
        </w:tc>
        <w:tc>
          <w:tcPr>
            <w:tcW w:w="38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5,243</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 order backlog</w:t>
            </w:r>
          </w:p>
        </w:tc>
        <w:tc>
          <w:tcPr>
            <w:tcW w:w="38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Intangible asset - trade name</w:t>
            </w:r>
          </w:p>
        </w:tc>
        <w:tc>
          <w:tcPr>
            <w:tcW w:w="38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8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3,713</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38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r>
      <w:tr>
        <w:trPr>
          <w:trHeight w:val="223"/>
        </w:trPr>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liabilities</w:t>
            </w:r>
          </w:p>
        </w:tc>
        <w:tc>
          <w:tcPr>
            <w:tcW w:w="3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r>
      <w:tr>
        <w:trPr>
          <w:trHeight w:val="257"/>
        </w:trPr>
        <w:tc>
          <w:tcPr>
            <w:tcW w:w="6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Purchase price</w:t>
            </w:r>
          </w:p>
        </w:tc>
        <w:tc>
          <w:tcPr>
            <w:tcW w:w="3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69,025</w:t>
            </w:r>
          </w:p>
        </w:tc>
      </w:tr>
    </w:tbl>
    <w:p>
      <w:pPr>
        <w:ind w:left="240" w:right="20" w:hanging="162"/>
        <w:spacing w:after="0" w:line="250"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6"/>
          <w:szCs w:val="16"/>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and is not tax deductible.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i w:val="1"/>
          <w:iCs w:val="1"/>
          <w:color w:val="auto"/>
        </w:rPr>
        <w:t>Prior Period Acquisitions - Acquisition of Oxford Outcomes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January 14, 2011 the Company acquired approximately 80% of the common stock of Oxford Outcomes Limited (“Oxford Outcomes”), a leading international health outcomes consultancy business, for an initial cash consideration of £17.8 million ($27.6 million). Headquartered in Oxford, United Kingdom, and with offices in the USA and Canada, Oxford Outcomes provides specialist services in the areas of patient reported outcomes (PRO), health economics, epidemiology and translation and linguistic validation. Further consideration of up to £6.5 million ($10.1 million) may become payable if certain performance milestones are achieved in respect of periods up to March 31, 2012. In July 2011 the Company paid £3.3 million ($5.1 million) in respect of the first element of this additional consideration. At March 31, 2012, the Company has recorded a liability of £3.2 million ($5.1 million) in respect of the remaining performance milestones.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acquisition agreement also provided for certain working capital targets to be achieved by Oxford Outcomes on completion. In May 2011 the Company paid an additional £3.3 million ($5.1 million) in respect of certain elements of this review. In March 2012 a further £0.8 million ($1.2 million) was paid in respect of the remaining elements of this review.</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January 14, 2011 a put and call option was also agreed between the Company and the selling shareholders for the acquisition of the remaining common stock of Oxford Outcomes during the year ended December 31, 2011 for cash consideration of £3.8 million ($6.0 million). Further consideration of up to £1.5 million ($2.3 million) relating to this remaining common stock may become payable if certain performance milestones are achieved in respect of periods up to March 31, 2012. On October 20, 2011 this option was exercised and £3.8 million ($6.0 million) was paid by the Company to the selling shareholders together with a further £0.7 million ($1.1 million) in respect of the first element of amounts due in respect of the performance milestones. The Company has recorded a liability of £0.8 million ($1.3 million) at March 31, 2012 in respect of the remaining performance milestones.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The acquisition of Oxford Outcomes has been accounted for as a business combination in accordance with FASB ASC 805</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Business Combinations. </w:t>
      </w:r>
      <w:r>
        <w:rPr>
          <w:rFonts w:ascii="Arial" w:cs="Arial" w:eastAsia="Arial" w:hAnsi="Arial"/>
          <w:sz w:val="19"/>
          <w:szCs w:val="19"/>
          <w:color w:val="auto"/>
        </w:rPr>
        <w:t>The following table summarizes the estimated fair values of the assets acquired and the liabilities assumed: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January 14</w:t>
            </w:r>
          </w:p>
        </w:tc>
      </w:tr>
      <w:tr>
        <w:trPr>
          <w:trHeight w:val="216"/>
        </w:trPr>
        <w:tc>
          <w:tcPr>
            <w:tcW w:w="66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6640" w:type="dxa"/>
            <w:vAlign w:val="bottom"/>
          </w:tcPr>
          <w:p>
            <w:pPr>
              <w:spacing w:after="0"/>
              <w:rPr>
                <w:sz w:val="20"/>
                <w:szCs w:val="20"/>
                <w:color w:val="auto"/>
              </w:rPr>
            </w:pPr>
          </w:p>
        </w:tc>
        <w:tc>
          <w:tcPr>
            <w:tcW w:w="47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7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35,583</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 customer relationships</w:t>
            </w:r>
          </w:p>
        </w:tc>
        <w:tc>
          <w:tcPr>
            <w:tcW w:w="3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6,648</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Intangible asset – order backlog</w:t>
            </w:r>
          </w:p>
        </w:tc>
        <w:tc>
          <w:tcPr>
            <w:tcW w:w="37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7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6,792</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3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3"/>
        </w:trPr>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liabilities</w:t>
            </w:r>
          </w:p>
        </w:tc>
        <w:tc>
          <w:tcPr>
            <w:tcW w:w="3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r>
      <w:tr>
        <w:trPr>
          <w:trHeight w:val="257"/>
        </w:trPr>
        <w:tc>
          <w:tcPr>
            <w:tcW w:w="6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Purchase price</w:t>
            </w:r>
          </w:p>
        </w:tc>
        <w:tc>
          <w:tcPr>
            <w:tcW w:w="3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52,335</w:t>
            </w:r>
          </w:p>
        </w:tc>
      </w:tr>
    </w:tbl>
    <w:p>
      <w:pPr>
        <w:ind w:left="240" w:hanging="162"/>
        <w:spacing w:after="0" w:line="250"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6"/>
          <w:szCs w:val="16"/>
          <w:color w:val="auto"/>
        </w:rPr>
        <w:t>Goodwill represents the cost of established workforce with experience in specialist services in the areas of patient reported outcomes (PRO), health economics, epidemiology and translation and linguistic validation and is not tax deductible.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4. Non-recurring charges, net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Non-recurring charges, net recognized during the three months ended March 31, 2012 comprise: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59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5520" w:type="dxa"/>
            <w:vAlign w:val="bottom"/>
          </w:tcPr>
          <w:p>
            <w:pPr>
              <w:spacing w:after="0"/>
              <w:rPr>
                <w:sz w:val="18"/>
                <w:szCs w:val="18"/>
                <w:color w:val="auto"/>
              </w:rPr>
            </w:pPr>
          </w:p>
        </w:tc>
        <w:tc>
          <w:tcPr>
            <w:tcW w:w="478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16"/>
        </w:trPr>
        <w:tc>
          <w:tcPr>
            <w:tcW w:w="5520" w:type="dxa"/>
            <w:vAlign w:val="bottom"/>
          </w:tcPr>
          <w:p>
            <w:pPr>
              <w:spacing w:after="0"/>
              <w:rPr>
                <w:sz w:val="18"/>
                <w:szCs w:val="18"/>
                <w:color w:val="auto"/>
              </w:rPr>
            </w:pPr>
          </w:p>
        </w:tc>
        <w:tc>
          <w:tcPr>
            <w:tcW w:w="47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5520" w:type="dxa"/>
            <w:vAlign w:val="bottom"/>
          </w:tcPr>
          <w:p>
            <w:pPr>
              <w:spacing w:after="0"/>
              <w:rPr>
                <w:sz w:val="20"/>
                <w:szCs w:val="20"/>
                <w:color w:val="auto"/>
              </w:rPr>
            </w:pPr>
          </w:p>
        </w:tc>
        <w:tc>
          <w:tcPr>
            <w:tcW w:w="59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5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5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4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Restructuring Charges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the three months ended March 31, 2011 the Company commenced a review of its operations to improve resource utilization within the business and better align resources to current and future growth opportunities of the business. This review resulted in the adoption of an initial restructuring plan (the “Q1 Plan”), which resulted in the closure of the Company’s facility in Edinburgh, United Kingdom and resource rationalizations in certain of the more mature markets in which it operates. A restructuring charge of $5.0 million was recognized in respect of this plan during the three months ended March 31, 2011, $1.0 million in respect of lease termination and exit costs associated with the closure of the Edinburgh facility and $4.0 million in respect of workforce reductions. $3.5 million of costs recognised under the Q1 Plan related to the clinical research segment, while $1.5 million related to our central laboratory business.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During the three months ended September 30, 2011 the Company implemented a further restructuring plan (the “Q3 Plan”) which resulted in the relocation of the Company’s facility in Maryland, USA; and further resource rationalizations. A restructuring charge of $4.8 million was recognized in respect of this plan during the three months ended September 30, 2011, $0.9 million in respect of lease termination and exit costs associated with the closure of the existing Maryland facility and $3.9 million in respect of workforce reductions. All costs recognized under the Q3 Plan related to the clinical research segment.</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Details of the movement in the 2011 Restructuring Plans recognized during the year ended December 31, 2011 and the three months ended March 31, 2012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34"/>
        </w:trPr>
        <w:tc>
          <w:tcPr>
            <w:tcW w:w="43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Q1 Plan - initial provision recognised</w:t>
            </w:r>
          </w:p>
        </w:tc>
        <w:tc>
          <w:tcPr>
            <w:tcW w:w="3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3,956</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r>
      <w:tr>
        <w:trPr>
          <w:trHeight w:val="223"/>
        </w:trPr>
        <w:tc>
          <w:tcPr>
            <w:tcW w:w="4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Q3 Plan - initial provision recognised</w:t>
            </w:r>
          </w:p>
        </w:tc>
        <w:tc>
          <w:tcPr>
            <w:tcW w:w="3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3,880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935</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4,815</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initial provision recognised</w:t>
            </w:r>
          </w:p>
        </w:tc>
        <w:tc>
          <w:tcPr>
            <w:tcW w:w="3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7,836</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9,817</w:t>
            </w:r>
          </w:p>
        </w:tc>
      </w:tr>
      <w:tr>
        <w:trPr>
          <w:trHeight w:val="216"/>
        </w:trPr>
        <w:tc>
          <w:tcPr>
            <w:tcW w:w="4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3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Property, plant and equipment write-off</w:t>
            </w:r>
          </w:p>
        </w:tc>
        <w:tc>
          <w:tcPr>
            <w:tcW w:w="33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4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Foreign exchange movement</w:t>
            </w:r>
          </w:p>
        </w:tc>
        <w:tc>
          <w:tcPr>
            <w:tcW w:w="3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432"/>
        </w:trPr>
        <w:tc>
          <w:tcPr>
            <w:tcW w:w="4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Closing provision</w:t>
            </w:r>
          </w:p>
        </w:tc>
        <w:tc>
          <w:tcPr>
            <w:tcW w:w="3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932</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726</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1,658</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01"/>
        </w:trPr>
        <w:tc>
          <w:tcPr>
            <w:tcW w:w="4320" w:type="dxa"/>
            <w:vAlign w:val="bottom"/>
          </w:tcPr>
          <w:p>
            <w:pPr>
              <w:spacing w:after="0"/>
              <w:rPr>
                <w:sz w:val="24"/>
                <w:szCs w:val="24"/>
                <w:color w:val="auto"/>
              </w:rPr>
            </w:pPr>
          </w:p>
        </w:tc>
        <w:tc>
          <w:tcPr>
            <w:tcW w:w="3320" w:type="dxa"/>
            <w:vAlign w:val="bottom"/>
          </w:tcPr>
          <w:p>
            <w:pPr>
              <w:jc w:val="right"/>
              <w:ind w:right="1750"/>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8"/>
        </w:trPr>
        <w:tc>
          <w:tcPr>
            <w:tcW w:w="43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5.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Income taxes recognized during the three months ended March 31, 2012 comprise: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57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5640" w:type="dxa"/>
            <w:vAlign w:val="bottom"/>
          </w:tcPr>
          <w:p>
            <w:pPr>
              <w:spacing w:after="0"/>
              <w:rPr>
                <w:sz w:val="18"/>
                <w:szCs w:val="18"/>
                <w:color w:val="auto"/>
              </w:rPr>
            </w:pPr>
          </w:p>
        </w:tc>
        <w:tc>
          <w:tcPr>
            <w:tcW w:w="460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16"/>
        </w:trPr>
        <w:tc>
          <w:tcPr>
            <w:tcW w:w="5640" w:type="dxa"/>
            <w:vAlign w:val="bottom"/>
          </w:tcPr>
          <w:p>
            <w:pPr>
              <w:spacing w:after="0"/>
              <w:rPr>
                <w:sz w:val="18"/>
                <w:szCs w:val="18"/>
                <w:color w:val="auto"/>
              </w:rPr>
            </w:pPr>
          </w:p>
        </w:tc>
        <w:tc>
          <w:tcPr>
            <w:tcW w:w="46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5640" w:type="dxa"/>
            <w:vAlign w:val="bottom"/>
          </w:tcPr>
          <w:p>
            <w:pPr>
              <w:spacing w:after="0"/>
              <w:rPr>
                <w:sz w:val="20"/>
                <w:szCs w:val="20"/>
                <w:color w:val="auto"/>
              </w:rPr>
            </w:pPr>
          </w:p>
        </w:tc>
        <w:tc>
          <w:tcPr>
            <w:tcW w:w="57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6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5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4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2,726</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As at March 31, 2012 the Company maintains a $7.3 million liability (December 31, 2011: $7.7 million) for unrecognized tax</w:t>
      </w:r>
    </w:p>
    <w:p>
      <w:pPr>
        <w:spacing w:after="0" w:line="4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benefit, which is comprised of $6.1 million (December 31, 2011: $6.5 million) related to items generating unrecognized tax benefits and $1.2 million (December 31, 2011: $1.2 million) for interest and related penalties to such items. The Company recognizes interest accrued on unrecognized tax benefits as an additional income tax expense.</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2007 through 2011 tax years. The Company does not believe that the outcome of any examination will have a material impact on its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Bank credit lines and loan facilities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Bank credit lines and loan facilities outstanding as at March 31, 2012 comprise: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3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52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16"/>
        </w:trPr>
        <w:tc>
          <w:tcPr>
            <w:tcW w:w="52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52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3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than one year</w:t>
            </w:r>
          </w:p>
        </w:tc>
        <w:tc>
          <w:tcPr>
            <w:tcW w:w="3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20,000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More than one year</w:t>
            </w:r>
          </w:p>
        </w:tc>
        <w:tc>
          <w:tcPr>
            <w:tcW w:w="3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200" w:type="dxa"/>
            <w:vAlign w:val="bottom"/>
            <w:tcBorders>
              <w:bottom w:val="single" w:sz="8" w:color="auto"/>
            </w:tcBorders>
            <w:shd w:val="clear" w:color="auto" w:fill="CCEEFF"/>
          </w:tcPr>
          <w:p>
            <w:pPr>
              <w:spacing w:after="0"/>
              <w:rPr>
                <w:sz w:val="22"/>
                <w:szCs w:val="22"/>
                <w:color w:val="auto"/>
              </w:rPr>
            </w:pPr>
          </w:p>
        </w:tc>
        <w:tc>
          <w:tcPr>
            <w:tcW w:w="3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20,000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Company drew down $20.0 million in bank credit lines and loan facilities during the three months ended March 31, 2012.</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Additional amounts available to the Group under negotiated facilities amounted to $130.0 million at March 31, 2012.</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Net income per ordinary share</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The reconciliation of the number of shares used in the computation of basic and diluted net income per ordinary share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r>
      <w:tr>
        <w:trPr>
          <w:trHeight w:val="20"/>
        </w:trPr>
        <w:tc>
          <w:tcPr>
            <w:tcW w:w="49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9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6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w w:val="91"/>
              </w:rPr>
              <w:t>March 31,</w:t>
            </w:r>
          </w:p>
        </w:tc>
        <w:tc>
          <w:tcPr>
            <w:tcW w:w="1180" w:type="dxa"/>
            <w:vAlign w:val="bottom"/>
            <w:gridSpan w:val="5"/>
          </w:tcPr>
          <w:p>
            <w:pPr>
              <w:ind w:left="280"/>
              <w:spacing w:after="0" w:line="196" w:lineRule="exact"/>
              <w:rPr>
                <w:sz w:val="20"/>
                <w:szCs w:val="20"/>
                <w:color w:val="auto"/>
              </w:rPr>
            </w:pPr>
            <w:r>
              <w:rPr>
                <w:rFonts w:ascii="Arial" w:cs="Arial" w:eastAsia="Arial" w:hAnsi="Arial"/>
                <w:sz w:val="18"/>
                <w:szCs w:val="18"/>
                <w:b w:val="1"/>
                <w:bCs w:val="1"/>
                <w:color w:val="auto"/>
              </w:rPr>
              <w:t>March 31,</w:t>
            </w:r>
          </w:p>
        </w:tc>
      </w:tr>
      <w:tr>
        <w:trPr>
          <w:trHeight w:val="196"/>
        </w:trPr>
        <w:tc>
          <w:tcPr>
            <w:tcW w:w="49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r>
      <w:tr>
        <w:trPr>
          <w:trHeight w:val="21"/>
        </w:trPr>
        <w:tc>
          <w:tcPr>
            <w:tcW w:w="49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4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Weighted average number of ordinary shares outstanding</w:t>
            </w:r>
          </w:p>
        </w:tc>
        <w:tc>
          <w:tcPr>
            <w:tcW w:w="4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basic net income per ordinary share</w:t>
            </w:r>
          </w:p>
        </w:tc>
        <w:tc>
          <w:tcPr>
            <w:tcW w:w="52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60,086,104</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60,283,078</w:t>
            </w:r>
          </w:p>
        </w:tc>
      </w:tr>
      <w:tr>
        <w:trPr>
          <w:trHeight w:val="223"/>
        </w:trPr>
        <w:tc>
          <w:tcPr>
            <w:tcW w:w="4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Effect of dilutive share options outstanding</w:t>
            </w:r>
          </w:p>
        </w:tc>
        <w:tc>
          <w:tcPr>
            <w:tcW w:w="5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622,365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699,870</w:t>
            </w:r>
          </w:p>
        </w:tc>
      </w:tr>
      <w:tr>
        <w:trPr>
          <w:trHeight w:val="202"/>
        </w:trPr>
        <w:tc>
          <w:tcPr>
            <w:tcW w:w="4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Weighted average number of ordinary shares</w:t>
            </w:r>
          </w:p>
        </w:tc>
        <w:tc>
          <w:tcPr>
            <w:tcW w:w="4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4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 diluted net income per ordinary share</w:t>
            </w:r>
          </w:p>
        </w:tc>
        <w:tc>
          <w:tcPr>
            <w:tcW w:w="5280" w:type="dxa"/>
            <w:vAlign w:val="bottom"/>
            <w:tcBorders>
              <w:bottom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60,708,469</w:t>
            </w:r>
          </w:p>
        </w:tc>
        <w:tc>
          <w:tcPr>
            <w:tcW w:w="11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60,982,948</w:t>
            </w:r>
          </w:p>
        </w:tc>
      </w:tr>
      <w:tr>
        <w:trPr>
          <w:trHeight w:val="601"/>
        </w:trPr>
        <w:tc>
          <w:tcPr>
            <w:tcW w:w="4960" w:type="dxa"/>
            <w:vAlign w:val="bottom"/>
          </w:tcPr>
          <w:p>
            <w:pPr>
              <w:spacing w:after="0"/>
              <w:rPr>
                <w:sz w:val="24"/>
                <w:szCs w:val="24"/>
                <w:color w:val="auto"/>
              </w:rPr>
            </w:pPr>
          </w:p>
        </w:tc>
        <w:tc>
          <w:tcPr>
            <w:tcW w:w="4220" w:type="dxa"/>
            <w:vAlign w:val="bottom"/>
          </w:tcPr>
          <w:p>
            <w:pPr>
              <w:jc w:val="right"/>
              <w:ind w:right="329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60" w:type="dxa"/>
            <w:vAlign w:val="bottom"/>
            <w:tcBorders>
              <w:bottom w:val="single" w:sz="8" w:color="808080"/>
            </w:tcBorders>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8. Share-based Awards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 Options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20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On January 17, 2003 the Company adopted the Share Option Plan 2003 (the “2003 Share Option Plan”) pursuant to which the Compensation and Organization Committee of the Board may grant options to officers and other employees of the Company or its subsidiaries for the purchase of ordinary shares. Each grant of an option under the 2003 Share Option Plan will be evidenced by a Stock Option Agreement between the employee and the Company. The exercise price will be specified in each Stock Option Agreement.</w:t>
      </w:r>
    </w:p>
    <w:p>
      <w:pPr>
        <w:spacing w:after="0" w:line="215"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An aggregate of 6.0 million ordinary shares have been reserved under the 2003 Share Option Plan; and, in no event will the number of ordinary shares that may be issued pursuant to options awarded under the 2003 Share Option Plan exceed 10% of the outstanding shares, as defined in the 2003 Share Option Plan, at the time of the grant, unless the Board expressly determines otherwise. Further, the maximum number of ordinary shares with respect to which options may be granted under the 2003 Share Option Plan during any calendar year to any employee shall be 400,000 ordinary shares. No options can be granted after January 17, 2013.</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2012 is eight years.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The following table summarizes option activity for the three months ended March 31, 2012: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480" w:type="dxa"/>
            <w:vAlign w:val="bottom"/>
          </w:tcPr>
          <w:p>
            <w:pPr>
              <w:spacing w:after="0"/>
              <w:rPr>
                <w:sz w:val="18"/>
                <w:szCs w:val="18"/>
                <w:color w:val="auto"/>
              </w:rPr>
            </w:pPr>
          </w:p>
        </w:tc>
        <w:tc>
          <w:tcPr>
            <w:tcW w:w="29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480" w:type="dxa"/>
            <w:vAlign w:val="bottom"/>
          </w:tcPr>
          <w:p>
            <w:pPr>
              <w:spacing w:after="0"/>
              <w:rPr>
                <w:sz w:val="18"/>
                <w:szCs w:val="18"/>
                <w:color w:val="auto"/>
              </w:rPr>
            </w:pPr>
          </w:p>
        </w:tc>
        <w:tc>
          <w:tcPr>
            <w:tcW w:w="29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4480" w:type="dxa"/>
            <w:vAlign w:val="bottom"/>
          </w:tcPr>
          <w:p>
            <w:pPr>
              <w:spacing w:after="0"/>
              <w:rPr>
                <w:sz w:val="18"/>
                <w:szCs w:val="18"/>
                <w:color w:val="auto"/>
              </w:rPr>
            </w:pPr>
          </w:p>
        </w:tc>
        <w:tc>
          <w:tcPr>
            <w:tcW w:w="29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r>
      <w:tr>
        <w:trPr>
          <w:trHeight w:val="234"/>
        </w:trPr>
        <w:tc>
          <w:tcPr>
            <w:tcW w:w="4480" w:type="dxa"/>
            <w:vAlign w:val="bottom"/>
          </w:tcPr>
          <w:p>
            <w:pPr>
              <w:spacing w:after="0"/>
              <w:rPr>
                <w:sz w:val="20"/>
                <w:szCs w:val="20"/>
                <w:color w:val="auto"/>
              </w:rPr>
            </w:pPr>
          </w:p>
        </w:tc>
        <w:tc>
          <w:tcPr>
            <w:tcW w:w="29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r>
      <w:tr>
        <w:trPr>
          <w:trHeight w:val="216"/>
        </w:trPr>
        <w:tc>
          <w:tcPr>
            <w:tcW w:w="4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4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2011</w:t>
            </w:r>
          </w:p>
        </w:tc>
        <w:tc>
          <w:tcPr>
            <w:tcW w:w="2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4,902,818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8.61</w:t>
            </w:r>
          </w:p>
        </w:tc>
        <w:tc>
          <w:tcPr>
            <w:tcW w:w="1240" w:type="dxa"/>
            <w:vAlign w:val="bottom"/>
            <w:tcBorders>
              <w:bottom w:val="single" w:sz="8" w:color="auto"/>
            </w:tcBorders>
            <w:shd w:val="clear" w:color="auto" w:fill="CCEEFF"/>
          </w:tcPr>
          <w:p>
            <w:pPr>
              <w:spacing w:after="0"/>
              <w:rPr>
                <w:sz w:val="19"/>
                <w:szCs w:val="19"/>
                <w:color w:val="auto"/>
              </w:rPr>
            </w:pPr>
          </w:p>
        </w:tc>
      </w:tr>
      <w:tr>
        <w:trPr>
          <w:trHeight w:val="216"/>
        </w:trPr>
        <w:tc>
          <w:tcPr>
            <w:tcW w:w="4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2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185,000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8.20</w:t>
            </w:r>
          </w:p>
        </w:tc>
        <w:tc>
          <w:tcPr>
            <w:tcW w:w="12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2900" w:type="dxa"/>
            <w:vAlign w:val="bottom"/>
          </w:tcPr>
          <w:p>
            <w:pPr>
              <w:jc w:val="right"/>
              <w:spacing w:after="0"/>
              <w:rPr>
                <w:sz w:val="20"/>
                <w:szCs w:val="20"/>
                <w:color w:val="auto"/>
              </w:rPr>
            </w:pPr>
            <w:r>
              <w:rPr>
                <w:rFonts w:ascii="Arial" w:cs="Arial" w:eastAsia="Arial" w:hAnsi="Arial"/>
                <w:sz w:val="18"/>
                <w:szCs w:val="18"/>
                <w:color w:val="auto"/>
              </w:rPr>
              <w:t>(74,728)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4.83</w:t>
            </w:r>
          </w:p>
        </w:tc>
        <w:tc>
          <w:tcPr>
            <w:tcW w:w="1240" w:type="dxa"/>
            <w:vAlign w:val="bottom"/>
          </w:tcPr>
          <w:p>
            <w:pPr>
              <w:spacing w:after="0"/>
              <w:rPr>
                <w:sz w:val="18"/>
                <w:szCs w:val="18"/>
                <w:color w:val="auto"/>
              </w:rPr>
            </w:pPr>
          </w:p>
        </w:tc>
      </w:tr>
      <w:tr>
        <w:trPr>
          <w:trHeight w:val="223"/>
        </w:trPr>
        <w:tc>
          <w:tcPr>
            <w:tcW w:w="4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(157,862)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8.96</w:t>
            </w:r>
          </w:p>
        </w:tc>
        <w:tc>
          <w:tcPr>
            <w:tcW w:w="1240" w:type="dxa"/>
            <w:vAlign w:val="bottom"/>
            <w:tcBorders>
              <w:bottom w:val="single" w:sz="8" w:color="auto"/>
            </w:tcBorders>
            <w:shd w:val="clear" w:color="auto" w:fill="CCEEFF"/>
          </w:tcPr>
          <w:p>
            <w:pPr>
              <w:spacing w:after="0"/>
              <w:rPr>
                <w:sz w:val="19"/>
                <w:szCs w:val="19"/>
                <w:color w:val="auto"/>
              </w:rPr>
            </w:pPr>
          </w:p>
        </w:tc>
      </w:tr>
      <w:tr>
        <w:trPr>
          <w:trHeight w:val="216"/>
        </w:trPr>
        <w:tc>
          <w:tcPr>
            <w:tcW w:w="4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4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Outstanding at March 31, 2012</w:t>
            </w:r>
          </w:p>
        </w:tc>
        <w:tc>
          <w:tcPr>
            <w:tcW w:w="2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4,855,228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8.64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r>
      <w:tr>
        <w:trPr>
          <w:trHeight w:val="210"/>
        </w:trPr>
        <w:tc>
          <w:tcPr>
            <w:tcW w:w="4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4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Exercisable at March 31, 2012</w:t>
            </w:r>
          </w:p>
        </w:tc>
        <w:tc>
          <w:tcPr>
            <w:tcW w:w="2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2,898,315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8.55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bl>
    <w:p>
      <w:pPr>
        <w:spacing w:after="0" w:line="222"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color w:val="auto"/>
        </w:rPr>
        <w:t>The Company has granted options with fair values ranging from $3.68 to $13.93 per option or a weighted average fair value of $7.67 per option. The Company issues ordinary shares for all options exercised. The total amount of fully vested share options which remained outstanding at March 31, 2012, was 2,898,315. Fully vested share options at March 31, 2012 have an average remaining contractual term of 3.48 years, an average exercise price of $21.65 and a total intrinsic value of $9.6 million. The total intrinsic value of options exercised during the three months ended March 31, 2012, was $0.8 million (March 31, 2011: $0.8 million).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movement in non-vested share options for the three months ended March 31,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94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94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340" w:type="dxa"/>
            <w:vAlign w:val="bottom"/>
          </w:tcPr>
          <w:p>
            <w:pPr>
              <w:spacing w:after="0"/>
              <w:rPr>
                <w:sz w:val="18"/>
                <w:szCs w:val="18"/>
                <w:color w:val="auto"/>
              </w:rPr>
            </w:pPr>
          </w:p>
        </w:tc>
        <w:tc>
          <w:tcPr>
            <w:tcW w:w="294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34"/>
        </w:trPr>
        <w:tc>
          <w:tcPr>
            <w:tcW w:w="5340" w:type="dxa"/>
            <w:vAlign w:val="bottom"/>
          </w:tcPr>
          <w:p>
            <w:pPr>
              <w:spacing w:after="0"/>
              <w:rPr>
                <w:sz w:val="20"/>
                <w:szCs w:val="20"/>
                <w:color w:val="auto"/>
              </w:rPr>
            </w:pPr>
          </w:p>
        </w:tc>
        <w:tc>
          <w:tcPr>
            <w:tcW w:w="29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Exercise Price</w:t>
            </w: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5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 vested outstanding at December 31, 2011</w:t>
            </w:r>
          </w:p>
        </w:tc>
        <w:tc>
          <w:tcPr>
            <w:tcW w:w="2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2,534,310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16"/>
        </w:trPr>
        <w:tc>
          <w:tcPr>
            <w:tcW w:w="5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2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Vested</w:t>
            </w:r>
          </w:p>
        </w:tc>
        <w:tc>
          <w:tcPr>
            <w:tcW w:w="2940" w:type="dxa"/>
            <w:vAlign w:val="bottom"/>
          </w:tcPr>
          <w:p>
            <w:pPr>
              <w:jc w:val="right"/>
              <w:spacing w:after="0"/>
              <w:rPr>
                <w:sz w:val="20"/>
                <w:szCs w:val="20"/>
                <w:color w:val="auto"/>
              </w:rPr>
            </w:pPr>
            <w:r>
              <w:rPr>
                <w:rFonts w:ascii="Arial" w:cs="Arial" w:eastAsia="Arial" w:hAnsi="Arial"/>
                <w:sz w:val="18"/>
                <w:szCs w:val="18"/>
                <w:color w:val="auto"/>
              </w:rPr>
              <w:t>(667,974)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25.03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9.37</w:t>
            </w:r>
          </w:p>
        </w:tc>
      </w:tr>
      <w:tr>
        <w:trPr>
          <w:trHeight w:val="223"/>
        </w:trPr>
        <w:tc>
          <w:tcPr>
            <w:tcW w:w="5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r>
      <w:tr>
        <w:trPr>
          <w:trHeight w:val="216"/>
        </w:trPr>
        <w:tc>
          <w:tcPr>
            <w:tcW w:w="5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5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 vested outstanding at March 31, 2012</w:t>
            </w:r>
          </w:p>
        </w:tc>
        <w:tc>
          <w:tcPr>
            <w:tcW w:w="2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1,956,913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Fair value of Stock Options Assumptions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weighted average fair value of options granted during the period ended March 31, 2012 and March 31, 2011 was calculated using the Black-Scholes option pricing model. The weighted average fair values and assumptions used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w w:val="90"/>
              </w:rPr>
              <w:t>Three Months Ended</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March 31,</w:t>
            </w:r>
          </w:p>
        </w:tc>
      </w:tr>
      <w:tr>
        <w:trPr>
          <w:trHeight w:val="196"/>
        </w:trPr>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7"/>
                <w:szCs w:val="17"/>
                <w:color w:val="auto"/>
              </w:rPr>
            </w:pPr>
          </w:p>
        </w:tc>
      </w:tr>
      <w:tr>
        <w:trPr>
          <w:trHeight w:val="237"/>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7"/>
        </w:trPr>
        <w:tc>
          <w:tcPr>
            <w:tcW w:w="180" w:type="dxa"/>
            <w:vAlign w:val="bottom"/>
            <w:tcBorders>
              <w:bottom w:val="single" w:sz="8" w:color="auto"/>
            </w:tcBorders>
            <w:shd w:val="clear" w:color="auto" w:fill="CCEEFF"/>
          </w:tcPr>
          <w:p>
            <w:pPr>
              <w:spacing w:after="0"/>
              <w:rPr>
                <w:sz w:val="22"/>
                <w:szCs w:val="22"/>
                <w:color w:val="auto"/>
              </w:rPr>
            </w:pPr>
          </w:p>
        </w:tc>
        <w:tc>
          <w:tcPr>
            <w:tcW w:w="3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5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8.20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r>
      <w:tr>
        <w:trPr>
          <w:trHeight w:val="385"/>
        </w:trPr>
        <w:tc>
          <w:tcPr>
            <w:tcW w:w="18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Assumptions:</w:t>
            </w: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
        </w:trPr>
        <w:tc>
          <w:tcPr>
            <w:tcW w:w="18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04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1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04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1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4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0.86%</w:t>
            </w:r>
          </w:p>
        </w:tc>
        <w:tc>
          <w:tcPr>
            <w:tcW w:w="2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1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5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5 years</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5 years</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601"/>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40" w:type="dxa"/>
            <w:vAlign w:val="bottom"/>
          </w:tcPr>
          <w:p>
            <w:pPr>
              <w:jc w:val="right"/>
              <w:ind w:right="30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5" w:name="page16"/>
    <w:bookmarkEnd w:id="15"/>
    <w:p>
      <w:pPr>
        <w:jc w:val="both"/>
        <w:spacing w:after="0" w:line="236" w:lineRule="auto"/>
        <w:rPr>
          <w:sz w:val="20"/>
          <w:szCs w:val="20"/>
          <w:color w:val="auto"/>
        </w:rPr>
      </w:pPr>
      <w:r>
        <w:rPr>
          <w:rFonts w:ascii="Arial" w:cs="Arial" w:eastAsia="Arial" w:hAnsi="Arial"/>
          <w:sz w:val="22"/>
          <w:szCs w:val="22"/>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Restricted Share Units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 has awarded restricted Share Units (“RSU’s”) to certain key executives of the Group. The following table summarizes RSU activity for the three months ended March 31, 2012: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160" w:type="dxa"/>
            <w:vAlign w:val="bottom"/>
          </w:tcPr>
          <w:p>
            <w:pPr>
              <w:spacing w:after="0"/>
              <w:rPr>
                <w:sz w:val="18"/>
                <w:szCs w:val="18"/>
                <w:color w:val="auto"/>
              </w:rPr>
            </w:pPr>
          </w:p>
        </w:tc>
        <w:tc>
          <w:tcPr>
            <w:tcW w:w="356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5160" w:type="dxa"/>
            <w:vAlign w:val="bottom"/>
          </w:tcPr>
          <w:p>
            <w:pPr>
              <w:spacing w:after="0"/>
              <w:rPr>
                <w:sz w:val="18"/>
                <w:szCs w:val="18"/>
                <w:color w:val="auto"/>
              </w:rPr>
            </w:pPr>
          </w:p>
        </w:tc>
        <w:tc>
          <w:tcPr>
            <w:tcW w:w="356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5160" w:type="dxa"/>
            <w:vAlign w:val="bottom"/>
          </w:tcPr>
          <w:p>
            <w:pPr>
              <w:spacing w:after="0"/>
              <w:rPr>
                <w:sz w:val="18"/>
                <w:szCs w:val="18"/>
                <w:color w:val="auto"/>
              </w:rPr>
            </w:pPr>
          </w:p>
        </w:tc>
        <w:tc>
          <w:tcPr>
            <w:tcW w:w="356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r>
      <w:tr>
        <w:trPr>
          <w:trHeight w:val="234"/>
        </w:trPr>
        <w:tc>
          <w:tcPr>
            <w:tcW w:w="5160" w:type="dxa"/>
            <w:vAlign w:val="bottom"/>
          </w:tcPr>
          <w:p>
            <w:pPr>
              <w:spacing w:after="0"/>
              <w:rPr>
                <w:sz w:val="20"/>
                <w:szCs w:val="20"/>
                <w:color w:val="auto"/>
              </w:rPr>
            </w:pPr>
          </w:p>
        </w:tc>
        <w:tc>
          <w:tcPr>
            <w:tcW w:w="356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r>
      <w:tr>
        <w:trPr>
          <w:trHeight w:val="216"/>
        </w:trPr>
        <w:tc>
          <w:tcPr>
            <w:tcW w:w="5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5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2011</w:t>
            </w:r>
          </w:p>
        </w:tc>
        <w:tc>
          <w:tcPr>
            <w:tcW w:w="3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365,000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19.46</w:t>
            </w:r>
          </w:p>
        </w:tc>
        <w:tc>
          <w:tcPr>
            <w:tcW w:w="1240" w:type="dxa"/>
            <w:vAlign w:val="bottom"/>
            <w:tcBorders>
              <w:bottom w:val="single" w:sz="8" w:color="auto"/>
            </w:tcBorders>
            <w:shd w:val="clear" w:color="auto" w:fill="CCEEFF"/>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3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20.38</w:t>
            </w:r>
          </w:p>
        </w:tc>
        <w:tc>
          <w:tcPr>
            <w:tcW w:w="124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r>
      <w:tr>
        <w:trPr>
          <w:trHeight w:val="223"/>
        </w:trPr>
        <w:tc>
          <w:tcPr>
            <w:tcW w:w="5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5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Outstanding at March 31, 2012</w:t>
            </w:r>
          </w:p>
        </w:tc>
        <w:tc>
          <w:tcPr>
            <w:tcW w:w="3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552,000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19.77</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10"/>
        </w:trPr>
        <w:tc>
          <w:tcPr>
            <w:tcW w:w="5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5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Exercisable at March 31, 2012</w:t>
            </w:r>
          </w:p>
        </w:tc>
        <w:tc>
          <w:tcPr>
            <w:tcW w:w="3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19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includes 150,000 RSU’s awarded to certain key executives of the Group which are not expected to vest.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movement in non-vested RSU’s during the three months ended March 31, 2012: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9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34"/>
        </w:trPr>
        <w:tc>
          <w:tcPr>
            <w:tcW w:w="5960" w:type="dxa"/>
            <w:vAlign w:val="bottom"/>
          </w:tcPr>
          <w:p>
            <w:pPr>
              <w:spacing w:after="0"/>
              <w:rPr>
                <w:sz w:val="20"/>
                <w:szCs w:val="20"/>
                <w:color w:val="auto"/>
              </w:rPr>
            </w:pP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 Units</w:t>
            </w:r>
          </w:p>
        </w:tc>
        <w:tc>
          <w:tcPr>
            <w:tcW w:w="4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 vested outstanding at December 31, 2011</w:t>
            </w:r>
          </w:p>
        </w:tc>
        <w:tc>
          <w:tcPr>
            <w:tcW w:w="3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365,000</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r>
      <w:tr>
        <w:trPr>
          <w:trHeight w:val="216"/>
        </w:trPr>
        <w:tc>
          <w:tcPr>
            <w:tcW w:w="59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187,000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20.38</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Vested</w:t>
            </w:r>
          </w:p>
        </w:tc>
        <w:tc>
          <w:tcPr>
            <w:tcW w:w="3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 vested outstanding at March 31, 2012</w:t>
            </w:r>
          </w:p>
        </w:tc>
        <w:tc>
          <w:tcPr>
            <w:tcW w:w="3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552,000</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19.77</w:t>
            </w:r>
          </w:p>
        </w:tc>
      </w:tr>
      <w:tr>
        <w:trPr>
          <w:trHeight w:val="21"/>
        </w:trPr>
        <w:tc>
          <w:tcPr>
            <w:tcW w:w="59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 fair value of stock awards vested for the three months ended March 31, 2012 totaled $0.0 million (2011: $0.2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i w:val="1"/>
          <w:iCs w:val="1"/>
          <w:color w:val="auto"/>
        </w:rPr>
        <w:t>Non-cash stock compensation expense</w:t>
      </w:r>
    </w:p>
    <w:p>
      <w:pPr>
        <w:spacing w:after="0" w:line="233"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Non-cash stock compensation expense for the three months ended March 31, 2012, has been allocated to direct costs and selling, general and administrative expenses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r>
      <w:tr>
        <w:trPr>
          <w:trHeight w:val="20"/>
        </w:trPr>
        <w:tc>
          <w:tcPr>
            <w:tcW w:w="5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7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March 31,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r>
      <w:tr>
        <w:trPr>
          <w:trHeight w:val="196"/>
        </w:trPr>
        <w:tc>
          <w:tcPr>
            <w:tcW w:w="57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440" w:type="dxa"/>
            <w:vAlign w:val="bottom"/>
          </w:tcPr>
          <w:p>
            <w:pPr>
              <w:spacing w:after="0"/>
              <w:rPr>
                <w:sz w:val="17"/>
                <w:szCs w:val="17"/>
                <w:color w:val="auto"/>
              </w:rPr>
            </w:pPr>
          </w:p>
        </w:tc>
        <w:tc>
          <w:tcPr>
            <w:tcW w:w="560" w:type="dxa"/>
            <w:vAlign w:val="bottom"/>
            <w:gridSpan w:val="3"/>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r>
      <w:tr>
        <w:trPr>
          <w:trHeight w:val="237"/>
        </w:trPr>
        <w:tc>
          <w:tcPr>
            <w:tcW w:w="57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costs</w:t>
            </w:r>
          </w:p>
        </w:tc>
        <w:tc>
          <w:tcPr>
            <w:tcW w:w="3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1,071</w:t>
            </w:r>
          </w:p>
        </w:tc>
      </w:tr>
      <w:tr>
        <w:trPr>
          <w:trHeight w:val="223"/>
        </w:trPr>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3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1,092</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872</w:t>
            </w:r>
          </w:p>
        </w:tc>
      </w:tr>
      <w:tr>
        <w:trPr>
          <w:trHeight w:val="216"/>
        </w:trPr>
        <w:tc>
          <w:tcPr>
            <w:tcW w:w="57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2,432</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1,943</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Total non-cash stock compensation expense not yet recognized at March 31, 2012 amounted to $14.6 million. The weighted average period over which this is expected to be recognized is 2.85 years. Total tax benefit recognized in additional paid in capital related to non-cash compensation expense amounted to $0.4 million for the three months ended March 31, 2012 (2011: $0.3 million).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Share Capital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 Repurchase Program</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October 27, 2011 the Company announced its intention to commence a share repurchase program of up to $50 million. On November 22, 2011 the Company entered into two separate share repurchase plans of $10 million each, covering the periods November 23, 2011 to December 31, 2011 and January 1, 2012 to February 20, 2012 respectively. On February 21, 2012 the Company entered into a further share repurchase plan of $20 million, covering the period February 22, 2012 to April 22, 2012. The Company intends to enter further share repurchase plans to effect the share repurchase program in accordance with Rule 10b-18 and Rule 10b5-1 of the Securities Exchange Act of 1934, the authorization granted at the Company’s annual general meeting on July 18, 2011 applicable laws and regulations and the Listing Rules of the Irish Stock Exchange.</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the repurchase program, a broker will purchase the Company’s American Depositary Shares (“ADSs”) from time to time on the open market or in privately negotiated transactions in accordance with agreed terms and limitations. ADSs purchased will be deposited with the Depositary under the Company’s ADR facility against delivery of the underlying Ordinary Shares, which will be repurchased by the Company on the Irish Stock Exchange in compliance with the Company’s share repurchase authorization and applicable laws and regulations. Separately, Ordinary Shares traded on the Irish Stock Exchange may also be repurchased on behalf of the Company. The program is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are irrevocable and the trading decisions in respect of the repurchase program will be made independently of and uninfluenced by the Company. The Company confirms that on entering the repurchase plans it had no material non-public, price-sensitive or inside information regarding the Company or its securities. Furthermore, the Company will not enter into additional plans whilst in possession of such information.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timing and actual number of shares repurchased will be dependent on market conditions, legal and regulatory requirements and the other terms and limitations contained in the plans. In addition, share repurchases may be suspended or discontinued in certain circumstances in accordance with the agreed terms. Therefore, there can be no assurance as to the timing or number of shares that may be repurchased under the repurchase program. All Ordinary Shares repurchased by the Company will be cancelled.</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the three months ended March 31, 2012 82,100 ordinary shares were repurchased by the Company for a total consideration of $1.4 million. As at March 31, 2012 627,697 ordinary shares have been repurchased by the Company for a total consideration of $10.4 million. All ordinary shares repurchased by the Company were cancelled and the nominal value of these shares transferred to a capital redemption reserve fund as required under Irish Company Law.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10. Business Segment Information</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 The Company also provides laboratory services through its central laboratory business, which includes the Company’s central laboratories located in Dublin, New York, India, Singapore and China.</w:t>
      </w:r>
    </w:p>
    <w:p>
      <w:pPr>
        <w:spacing w:after="0" w:line="212"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 xml:space="preserve">The Company determines and presents operating segments in accordance with FASB ASC 280-10 </w:t>
      </w:r>
      <w:r>
        <w:rPr>
          <w:rFonts w:ascii="Arial" w:cs="Arial" w:eastAsia="Arial" w:hAnsi="Arial"/>
          <w:sz w:val="19"/>
          <w:szCs w:val="19"/>
          <w:i w:val="1"/>
          <w:iCs w:val="1"/>
          <w:color w:val="auto"/>
        </w:rPr>
        <w:t>Disclosures about Segments of</w:t>
      </w:r>
      <w:r>
        <w:rPr>
          <w:rFonts w:ascii="Arial" w:cs="Arial" w:eastAsia="Arial" w:hAnsi="Arial"/>
          <w:sz w:val="19"/>
          <w:szCs w:val="19"/>
          <w:color w:val="auto"/>
        </w:rPr>
        <w:t xml:space="preserve"> </w:t>
      </w:r>
      <w:r>
        <w:rPr>
          <w:rFonts w:ascii="Arial" w:cs="Arial" w:eastAsia="Arial" w:hAnsi="Arial"/>
          <w:sz w:val="19"/>
          <w:szCs w:val="19"/>
          <w:i w:val="1"/>
          <w:iCs w:val="1"/>
          <w:color w:val="auto"/>
        </w:rPr>
        <w:t>an Enterprises and Related Information</w:t>
      </w:r>
      <w:r>
        <w:rPr>
          <w:rFonts w:ascii="Arial" w:cs="Arial" w:eastAsia="Arial" w:hAnsi="Arial"/>
          <w:sz w:val="19"/>
          <w:szCs w:val="19"/>
          <w:color w:val="auto"/>
        </w:rPr>
        <w:t>, based on the information that is internally provided to the Chief Executive Officer and</w:t>
      </w:r>
      <w:r>
        <w:rPr>
          <w:rFonts w:ascii="Arial" w:cs="Arial" w:eastAsia="Arial" w:hAnsi="Arial"/>
          <w:sz w:val="19"/>
          <w:szCs w:val="19"/>
          <w:i w:val="1"/>
          <w:iCs w:val="1"/>
          <w:color w:val="auto"/>
        </w:rPr>
        <w:t xml:space="preserve"> </w:t>
      </w:r>
      <w:r>
        <w:rPr>
          <w:rFonts w:ascii="Arial" w:cs="Arial" w:eastAsia="Arial" w:hAnsi="Arial"/>
          <w:sz w:val="19"/>
          <w:szCs w:val="19"/>
          <w:color w:val="auto"/>
        </w:rPr>
        <w:t>Chief Financial Officer, who together are considered the Company’s chief operating decision maker. The Company has determined that it has two reportable segments, its Clinical Research segment and Central Laboratory segment.</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Company's areas of operation outside of Ireland include the United States, United Kingdom, France, Germany, Italy, Spain, The Netherlands, Sweden, Finland, Denmark, Belgium, Switzerland, Poland, Czech Republic, Lithuania, Latvia, Russia, Ukraine, Hungary, Israel, Romania, Canada, Mexico, Brazil, Colombia, Argentina, Chile, Peru, India, China, South Korea, Japan, Thailand, Taiwan, Singapore, The Philippines, Australia, New Zealand, and South Africa.</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Segment information as at March 31, 2012 and December 31, 2011 and for the three months ended March 31, 2012 and March 31, 2011 is as follows:</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The distribution of net revenue by geographical area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r>
      <w:tr>
        <w:trPr>
          <w:trHeight w:val="20"/>
        </w:trPr>
        <w:tc>
          <w:tcPr>
            <w:tcW w:w="7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340" w:type="dxa"/>
            <w:vAlign w:val="bottom"/>
          </w:tcPr>
          <w:p>
            <w:pPr>
              <w:spacing w:after="0"/>
              <w:rPr>
                <w:sz w:val="17"/>
                <w:szCs w:val="17"/>
                <w:color w:val="auto"/>
              </w:rPr>
            </w:pPr>
          </w:p>
        </w:tc>
        <w:tc>
          <w:tcPr>
            <w:tcW w:w="10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rPr>
              <w:t>March 31,</w:t>
            </w:r>
          </w:p>
        </w:tc>
      </w:tr>
      <w:tr>
        <w:trPr>
          <w:trHeight w:val="196"/>
        </w:trPr>
        <w:tc>
          <w:tcPr>
            <w:tcW w:w="7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r>
      <w:tr>
        <w:trPr>
          <w:trHeight w:val="237"/>
        </w:trPr>
        <w:tc>
          <w:tcPr>
            <w:tcW w:w="7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28,995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29,353</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14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86,044</w:t>
            </w:r>
          </w:p>
        </w:tc>
        <w:tc>
          <w:tcPr>
            <w:tcW w:w="3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81,077</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1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107,747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92,564</w:t>
            </w:r>
          </w:p>
        </w:tc>
      </w:tr>
      <w:tr>
        <w:trPr>
          <w:trHeight w:val="223"/>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 of the World</w:t>
            </w:r>
          </w:p>
        </w:tc>
        <w:tc>
          <w:tcPr>
            <w:tcW w:w="1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29,547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26,303</w:t>
            </w:r>
          </w:p>
        </w:tc>
      </w:tr>
      <w:tr>
        <w:trPr>
          <w:trHeight w:val="216"/>
        </w:trPr>
        <w:tc>
          <w:tcPr>
            <w:tcW w:w="77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252,333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229,297</w:t>
            </w:r>
          </w:p>
        </w:tc>
      </w:tr>
      <w:tr>
        <w:trPr>
          <w:trHeight w:val="21"/>
        </w:trPr>
        <w:tc>
          <w:tcPr>
            <w:tcW w:w="7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4"/>
        </w:trPr>
        <w:tc>
          <w:tcPr>
            <w:tcW w:w="7760" w:type="dxa"/>
            <w:vAlign w:val="bottom"/>
          </w:tcPr>
          <w:p>
            <w:pPr>
              <w:ind w:left="180"/>
              <w:spacing w:after="0"/>
              <w:rPr>
                <w:sz w:val="20"/>
                <w:szCs w:val="20"/>
                <w:color w:val="auto"/>
              </w:rPr>
            </w:pPr>
            <w:r>
              <w:rPr>
                <w:rFonts w:ascii="Arial" w:cs="Arial" w:eastAsia="Arial" w:hAnsi="Arial"/>
                <w:sz w:val="18"/>
                <w:szCs w:val="18"/>
                <w:color w:val="auto"/>
              </w:rPr>
              <w:t>* All sales shown for Ireland are export sales.</w:t>
            </w: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82"/>
        </w:trPr>
        <w:tc>
          <w:tcPr>
            <w:tcW w:w="7760" w:type="dxa"/>
            <w:vAlign w:val="bottom"/>
          </w:tcPr>
          <w:p>
            <w:pPr>
              <w:ind w:left="540"/>
              <w:spacing w:after="0"/>
              <w:rPr>
                <w:sz w:val="20"/>
                <w:szCs w:val="20"/>
                <w:color w:val="auto"/>
              </w:rPr>
            </w:pPr>
            <w:r>
              <w:rPr>
                <w:rFonts w:ascii="Arial" w:cs="Arial" w:eastAsia="Arial" w:hAnsi="Arial"/>
                <w:sz w:val="22"/>
                <w:szCs w:val="22"/>
                <w:color w:val="auto"/>
              </w:rPr>
              <w:t>b) The distribution of net revenue by business segment was as follows:</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7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r>
      <w:tr>
        <w:trPr>
          <w:trHeight w:val="20"/>
        </w:trPr>
        <w:tc>
          <w:tcPr>
            <w:tcW w:w="7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196"/>
        </w:trPr>
        <w:tc>
          <w:tcPr>
            <w:tcW w:w="7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340" w:type="dxa"/>
            <w:vAlign w:val="bottom"/>
          </w:tcPr>
          <w:p>
            <w:pPr>
              <w:spacing w:after="0"/>
              <w:rPr>
                <w:sz w:val="17"/>
                <w:szCs w:val="17"/>
                <w:color w:val="auto"/>
              </w:rPr>
            </w:pPr>
          </w:p>
        </w:tc>
        <w:tc>
          <w:tcPr>
            <w:tcW w:w="10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rPr>
              <w:t>March 31,</w:t>
            </w:r>
          </w:p>
        </w:tc>
      </w:tr>
      <w:tr>
        <w:trPr>
          <w:trHeight w:val="196"/>
        </w:trPr>
        <w:tc>
          <w:tcPr>
            <w:tcW w:w="7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7"/>
                <w:szCs w:val="17"/>
                <w:color w:val="auto"/>
              </w:rPr>
            </w:pPr>
          </w:p>
        </w:tc>
      </w:tr>
      <w:tr>
        <w:trPr>
          <w:trHeight w:val="237"/>
        </w:trPr>
        <w:tc>
          <w:tcPr>
            <w:tcW w:w="7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212,844</w:t>
            </w:r>
          </w:p>
        </w:tc>
      </w:tr>
      <w:tr>
        <w:trPr>
          <w:trHeight w:val="223"/>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1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19,428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16,453</w:t>
            </w:r>
          </w:p>
        </w:tc>
      </w:tr>
      <w:tr>
        <w:trPr>
          <w:trHeight w:val="216"/>
        </w:trPr>
        <w:tc>
          <w:tcPr>
            <w:tcW w:w="77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252,333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229,297</w:t>
            </w:r>
          </w:p>
        </w:tc>
      </w:tr>
      <w:tr>
        <w:trPr>
          <w:trHeight w:val="21"/>
        </w:trPr>
        <w:tc>
          <w:tcPr>
            <w:tcW w:w="7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601"/>
        </w:trPr>
        <w:tc>
          <w:tcPr>
            <w:tcW w:w="7760" w:type="dxa"/>
            <w:vAlign w:val="bottom"/>
          </w:tcPr>
          <w:p>
            <w:pPr>
              <w:ind w:left="5620"/>
              <w:spacing w:after="0"/>
              <w:rPr>
                <w:sz w:val="20"/>
                <w:szCs w:val="20"/>
                <w:color w:val="auto"/>
              </w:rPr>
            </w:pPr>
            <w:r>
              <w:rPr>
                <w:rFonts w:ascii="Arial" w:cs="Arial" w:eastAsia="Arial" w:hAnsi="Arial"/>
                <w:sz w:val="18"/>
                <w:szCs w:val="18"/>
                <w:color w:val="auto"/>
              </w:rPr>
              <w:t>17</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776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8" w:name="page19"/>
    <w:bookmarkEnd w:id="18"/>
    <w:p>
      <w:pPr>
        <w:ind w:left="540"/>
        <w:spacing w:after="0"/>
        <w:rPr>
          <w:sz w:val="20"/>
          <w:szCs w:val="20"/>
          <w:color w:val="auto"/>
        </w:rPr>
      </w:pPr>
      <w:r>
        <w:rPr>
          <w:rFonts w:ascii="Arial" w:cs="Arial" w:eastAsia="Arial" w:hAnsi="Arial"/>
          <w:sz w:val="22"/>
          <w:szCs w:val="22"/>
          <w:color w:val="auto"/>
        </w:rPr>
        <w:t>c) The distribution of income from operations by geographical area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Non-</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Non-</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recurring</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charges, net</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charges, net</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charges, net</w:t>
            </w:r>
          </w:p>
        </w:tc>
      </w:tr>
      <w:tr>
        <w:trPr>
          <w:trHeight w:val="234"/>
        </w:trPr>
        <w:tc>
          <w:tcPr>
            <w:tcW w:w="4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9,721</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9,721</w:t>
            </w: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29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6,557</w:t>
            </w:r>
          </w:p>
        </w:tc>
      </w:tr>
      <w:tr>
        <w:trPr>
          <w:trHeight w:val="223"/>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 of the World</w:t>
            </w:r>
          </w:p>
        </w:tc>
        <w:tc>
          <w:tcPr>
            <w:tcW w:w="29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1,750</w:t>
            </w:r>
          </w:p>
        </w:tc>
      </w:tr>
      <w:tr>
        <w:trPr>
          <w:trHeight w:val="216"/>
        </w:trPr>
        <w:tc>
          <w:tcPr>
            <w:tcW w:w="41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11,732</w:t>
            </w: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4"/>
        </w:trPr>
        <w:tc>
          <w:tcPr>
            <w:tcW w:w="4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Non-</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Non-</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recurring</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4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charges, net</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charges, net</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charges, net</w:t>
            </w:r>
          </w:p>
        </w:tc>
      </w:tr>
      <w:tr>
        <w:trPr>
          <w:trHeight w:val="234"/>
        </w:trPr>
        <w:tc>
          <w:tcPr>
            <w:tcW w:w="4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2,504</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2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5,473</w:t>
            </w:r>
          </w:p>
        </w:tc>
        <w:tc>
          <w:tcPr>
            <w:tcW w:w="2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(1,803)</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3,670</w:t>
            </w: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29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(3,114)</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3,177</w:t>
            </w:r>
          </w:p>
        </w:tc>
      </w:tr>
      <w:tr>
        <w:trPr>
          <w:trHeight w:val="223"/>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 of the World</w:t>
            </w:r>
          </w:p>
        </w:tc>
        <w:tc>
          <w:tcPr>
            <w:tcW w:w="29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1,618</w:t>
            </w:r>
          </w:p>
        </w:tc>
      </w:tr>
      <w:tr>
        <w:trPr>
          <w:trHeight w:val="216"/>
        </w:trPr>
        <w:tc>
          <w:tcPr>
            <w:tcW w:w="41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10,969</w:t>
            </w: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 The distribution of income from operations by business segment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16"/>
        </w:trPr>
        <w:tc>
          <w:tcPr>
            <w:tcW w:w="3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16"/>
        </w:trPr>
        <w:tc>
          <w:tcPr>
            <w:tcW w:w="3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3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Non-</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Non-</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r>
      <w:tr>
        <w:trPr>
          <w:trHeight w:val="216"/>
        </w:trPr>
        <w:tc>
          <w:tcPr>
            <w:tcW w:w="3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recurring</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3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charges, net</w:t>
            </w:r>
          </w:p>
        </w:tc>
        <w:tc>
          <w:tcPr>
            <w:tcW w:w="2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charges, net</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charges, net</w:t>
            </w:r>
          </w:p>
        </w:tc>
      </w:tr>
      <w:tr>
        <w:trPr>
          <w:trHeight w:val="234"/>
        </w:trPr>
        <w:tc>
          <w:tcPr>
            <w:tcW w:w="35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3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10,099</w:t>
            </w:r>
          </w:p>
        </w:tc>
      </w:tr>
      <w:tr>
        <w:trPr>
          <w:trHeight w:val="223"/>
        </w:trPr>
        <w:tc>
          <w:tcPr>
            <w:tcW w:w="3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3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1,633</w:t>
            </w:r>
          </w:p>
        </w:tc>
      </w:tr>
      <w:tr>
        <w:trPr>
          <w:trHeight w:val="216"/>
        </w:trPr>
        <w:tc>
          <w:tcPr>
            <w:tcW w:w="3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7"/>
        </w:trPr>
        <w:tc>
          <w:tcPr>
            <w:tcW w:w="3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11,732</w:t>
            </w:r>
          </w:p>
        </w:tc>
      </w:tr>
      <w:tr>
        <w:trPr>
          <w:trHeight w:val="601"/>
        </w:trPr>
        <w:tc>
          <w:tcPr>
            <w:tcW w:w="3560" w:type="dxa"/>
            <w:vAlign w:val="bottom"/>
          </w:tcPr>
          <w:p>
            <w:pPr>
              <w:spacing w:after="0"/>
              <w:rPr>
                <w:sz w:val="24"/>
                <w:szCs w:val="24"/>
                <w:color w:val="auto"/>
              </w:rPr>
            </w:pPr>
          </w:p>
        </w:tc>
        <w:tc>
          <w:tcPr>
            <w:tcW w:w="3480" w:type="dxa"/>
            <w:vAlign w:val="bottom"/>
          </w:tcPr>
          <w:p>
            <w:pPr>
              <w:jc w:val="right"/>
              <w:ind w:right="1150"/>
              <w:spacing w:after="0"/>
              <w:rPr>
                <w:sz w:val="20"/>
                <w:szCs w:val="20"/>
                <w:color w:val="auto"/>
              </w:rPr>
            </w:pPr>
            <w:r>
              <w:rPr>
                <w:rFonts w:ascii="Arial" w:cs="Arial" w:eastAsia="Arial" w:hAnsi="Arial"/>
                <w:sz w:val="18"/>
                <w:szCs w:val="18"/>
                <w:color w:val="auto"/>
              </w:rPr>
              <w:t>18</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8"/>
        </w:trPr>
        <w:tc>
          <w:tcPr>
            <w:tcW w:w="35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Excluding</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Non-</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Including</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recurring</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Non-</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charges,</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recurring</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recurring</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charges, net</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charges, net</w:t>
            </w:r>
          </w:p>
        </w:tc>
      </w:tr>
      <w:tr>
        <w:trPr>
          <w:trHeight w:val="234"/>
        </w:trPr>
        <w:tc>
          <w:tcPr>
            <w:tcW w:w="4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2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15,220</w:t>
            </w:r>
          </w:p>
        </w:tc>
      </w:tr>
      <w:tr>
        <w:trPr>
          <w:trHeight w:val="223"/>
        </w:trPr>
        <w:tc>
          <w:tcPr>
            <w:tcW w:w="4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2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(1,545)</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w:t>
            </w:r>
          </w:p>
        </w:tc>
      </w:tr>
      <w:tr>
        <w:trPr>
          <w:trHeight w:val="216"/>
        </w:trPr>
        <w:tc>
          <w:tcPr>
            <w:tcW w:w="41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10,969</w:t>
            </w:r>
          </w:p>
        </w:tc>
      </w:tr>
      <w:tr>
        <w:trPr>
          <w:trHeight w:val="21"/>
        </w:trPr>
        <w:tc>
          <w:tcPr>
            <w:tcW w:w="41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The distribution of property, plant and equipment, net, by geographical area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4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80" w:type="dxa"/>
            <w:vAlign w:val="bottom"/>
            <w:gridSpan w:val="7"/>
          </w:tcPr>
          <w:p>
            <w:pPr>
              <w:ind w:left="3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40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112,418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109,953</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404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16,452</w:t>
            </w:r>
          </w:p>
        </w:tc>
        <w:tc>
          <w:tcPr>
            <w:tcW w:w="4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16,419</w:t>
            </w: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40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32,322</w:t>
            </w:r>
          </w:p>
        </w:tc>
        <w:tc>
          <w:tcPr>
            <w:tcW w:w="4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33,086</w:t>
            </w:r>
          </w:p>
        </w:tc>
      </w:tr>
      <w:tr>
        <w:trPr>
          <w:trHeight w:val="223"/>
        </w:trPr>
        <w:tc>
          <w:tcPr>
            <w:tcW w:w="4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 of the World</w:t>
            </w:r>
          </w:p>
        </w:tc>
        <w:tc>
          <w:tcPr>
            <w:tcW w:w="40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9,003</w:t>
            </w:r>
          </w:p>
        </w:tc>
      </w:tr>
      <w:tr>
        <w:trPr>
          <w:trHeight w:val="216"/>
        </w:trPr>
        <w:tc>
          <w:tcPr>
            <w:tcW w:w="49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4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170,067</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168,461</w:t>
            </w: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 The distribution of property, plant and equipment, net, by business segment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r>
      <w:tr>
        <w:trPr>
          <w:trHeight w:val="196"/>
        </w:trPr>
        <w:tc>
          <w:tcPr>
            <w:tcW w:w="49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4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80" w:type="dxa"/>
            <w:vAlign w:val="bottom"/>
            <w:gridSpan w:val="7"/>
          </w:tcPr>
          <w:p>
            <w:pPr>
              <w:ind w:left="3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40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150,169</w:t>
            </w:r>
          </w:p>
        </w:tc>
      </w:tr>
      <w:tr>
        <w:trPr>
          <w:trHeight w:val="223"/>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40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18,010</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18,292</w:t>
            </w:r>
          </w:p>
        </w:tc>
      </w:tr>
      <w:tr>
        <w:trPr>
          <w:trHeight w:val="216"/>
        </w:trPr>
        <w:tc>
          <w:tcPr>
            <w:tcW w:w="49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4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170,067</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168,461</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 The distribution of depreciation and amortization by geographical area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760" w:type="dxa"/>
            <w:vAlign w:val="bottom"/>
            <w:gridSpan w:val="3"/>
          </w:tcPr>
          <w:p>
            <w:pPr>
              <w:spacing w:after="0"/>
              <w:rPr>
                <w:sz w:val="18"/>
                <w:szCs w:val="18"/>
                <w:color w:val="auto"/>
              </w:rPr>
            </w:pPr>
          </w:p>
        </w:tc>
      </w:tr>
      <w:tr>
        <w:trPr>
          <w:trHeight w:val="196"/>
        </w:trPr>
        <w:tc>
          <w:tcPr>
            <w:tcW w:w="35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90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March 31,</w:t>
            </w:r>
          </w:p>
        </w:tc>
        <w:tc>
          <w:tcPr>
            <w:tcW w:w="620" w:type="dxa"/>
            <w:vAlign w:val="bottom"/>
          </w:tcPr>
          <w:p>
            <w:pPr>
              <w:spacing w:after="0"/>
              <w:rPr>
                <w:sz w:val="17"/>
                <w:szCs w:val="17"/>
                <w:color w:val="auto"/>
              </w:rPr>
            </w:pPr>
          </w:p>
        </w:tc>
        <w:tc>
          <w:tcPr>
            <w:tcW w:w="96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rPr>
              <w:t>March 31,</w:t>
            </w:r>
          </w:p>
        </w:tc>
      </w:tr>
      <w:tr>
        <w:trPr>
          <w:trHeight w:val="20"/>
        </w:trPr>
        <w:tc>
          <w:tcPr>
            <w:tcW w:w="35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8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35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5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5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2,946</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54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1,582</w:t>
            </w: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54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3,343</w:t>
            </w:r>
          </w:p>
        </w:tc>
      </w:tr>
      <w:tr>
        <w:trPr>
          <w:trHeight w:val="223"/>
        </w:trPr>
        <w:tc>
          <w:tcPr>
            <w:tcW w:w="3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 of the World</w:t>
            </w:r>
          </w:p>
        </w:tc>
        <w:tc>
          <w:tcPr>
            <w:tcW w:w="5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925</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1,102</w:t>
            </w:r>
          </w:p>
        </w:tc>
      </w:tr>
      <w:tr>
        <w:trPr>
          <w:trHeight w:val="216"/>
        </w:trPr>
        <w:tc>
          <w:tcPr>
            <w:tcW w:w="354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5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10,802</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8,973</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601"/>
        </w:trPr>
        <w:tc>
          <w:tcPr>
            <w:tcW w:w="3540" w:type="dxa"/>
            <w:vAlign w:val="bottom"/>
          </w:tcPr>
          <w:p>
            <w:pPr>
              <w:spacing w:after="0"/>
              <w:rPr>
                <w:sz w:val="24"/>
                <w:szCs w:val="24"/>
                <w:color w:val="auto"/>
              </w:rPr>
            </w:pPr>
          </w:p>
        </w:tc>
        <w:tc>
          <w:tcPr>
            <w:tcW w:w="5400" w:type="dxa"/>
            <w:vAlign w:val="bottom"/>
          </w:tcPr>
          <w:p>
            <w:pPr>
              <w:jc w:val="right"/>
              <w:ind w:right="305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540" w:type="dxa"/>
            <w:vAlign w:val="bottom"/>
            <w:tcBorders>
              <w:bottom w:val="single" w:sz="8" w:color="808080"/>
            </w:tcBorders>
          </w:tcPr>
          <w:p>
            <w:pPr>
              <w:spacing w:after="0"/>
              <w:rPr>
                <w:sz w:val="10"/>
                <w:szCs w:val="10"/>
                <w:color w:val="auto"/>
              </w:rPr>
            </w:pPr>
          </w:p>
        </w:tc>
        <w:tc>
          <w:tcPr>
            <w:tcW w:w="5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left="540"/>
        <w:spacing w:after="0"/>
        <w:rPr>
          <w:sz w:val="20"/>
          <w:szCs w:val="20"/>
          <w:color w:val="auto"/>
        </w:rPr>
      </w:pPr>
      <w:r>
        <w:rPr>
          <w:rFonts w:ascii="Arial" w:cs="Arial" w:eastAsia="Arial" w:hAnsi="Arial"/>
          <w:sz w:val="22"/>
          <w:szCs w:val="22"/>
          <w:color w:val="auto"/>
        </w:rPr>
        <w:t>h) The distribution of depreciation and amortization by business segment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760" w:type="dxa"/>
            <w:vAlign w:val="bottom"/>
            <w:gridSpan w:val="3"/>
          </w:tcPr>
          <w:p>
            <w:pPr>
              <w:spacing w:after="0"/>
              <w:rPr>
                <w:sz w:val="17"/>
                <w:szCs w:val="17"/>
                <w:color w:val="auto"/>
              </w:rPr>
            </w:pPr>
          </w:p>
        </w:tc>
      </w:tr>
      <w:tr>
        <w:trPr>
          <w:trHeight w:val="196"/>
        </w:trPr>
        <w:tc>
          <w:tcPr>
            <w:tcW w:w="49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r>
      <w:tr>
        <w:trPr>
          <w:trHeight w:val="196"/>
        </w:trPr>
        <w:tc>
          <w:tcPr>
            <w:tcW w:w="49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4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40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7,735</w:t>
            </w:r>
          </w:p>
        </w:tc>
      </w:tr>
      <w:tr>
        <w:trPr>
          <w:trHeight w:val="223"/>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40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908</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1,238</w:t>
            </w:r>
          </w:p>
        </w:tc>
      </w:tr>
      <w:tr>
        <w:trPr>
          <w:trHeight w:val="216"/>
        </w:trPr>
        <w:tc>
          <w:tcPr>
            <w:tcW w:w="49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4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10,802</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8,973</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 The distribution of total assets by geographical area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4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80" w:type="dxa"/>
            <w:vAlign w:val="bottom"/>
            <w:gridSpan w:val="8"/>
          </w:tcPr>
          <w:p>
            <w:pPr>
              <w:ind w:left="3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40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408,757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414,510</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Rest of Europe</w:t>
            </w:r>
          </w:p>
        </w:tc>
        <w:tc>
          <w:tcPr>
            <w:tcW w:w="40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232,619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216,313</w:t>
            </w: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4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436,508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363,527</w:t>
            </w:r>
          </w:p>
        </w:tc>
      </w:tr>
      <w:tr>
        <w:trPr>
          <w:trHeight w:val="223"/>
        </w:trPr>
        <w:tc>
          <w:tcPr>
            <w:tcW w:w="4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 of the World</w:t>
            </w:r>
          </w:p>
        </w:tc>
        <w:tc>
          <w:tcPr>
            <w:tcW w:w="40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47,622</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41,117</w:t>
            </w:r>
          </w:p>
        </w:tc>
      </w:tr>
      <w:tr>
        <w:trPr>
          <w:trHeight w:val="216"/>
        </w:trPr>
        <w:tc>
          <w:tcPr>
            <w:tcW w:w="49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4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1,125,506</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1,035,467</w:t>
            </w: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j) The distribution of total assets by business segment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35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2011</w:t>
            </w:r>
          </w:p>
        </w:tc>
      </w:tr>
      <w:tr>
        <w:trPr>
          <w:trHeight w:val="20"/>
        </w:trPr>
        <w:tc>
          <w:tcPr>
            <w:tcW w:w="35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5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480" w:type="dxa"/>
            <w:vAlign w:val="bottom"/>
            <w:gridSpan w:val="7"/>
          </w:tcPr>
          <w:p>
            <w:pPr>
              <w:ind w:left="3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research</w:t>
            </w:r>
          </w:p>
        </w:tc>
        <w:tc>
          <w:tcPr>
            <w:tcW w:w="5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1,070,024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980,283</w:t>
            </w:r>
          </w:p>
        </w:tc>
      </w:tr>
      <w:tr>
        <w:trPr>
          <w:trHeight w:val="223"/>
        </w:trPr>
        <w:tc>
          <w:tcPr>
            <w:tcW w:w="3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Central laboratory</w:t>
            </w:r>
          </w:p>
        </w:tc>
        <w:tc>
          <w:tcPr>
            <w:tcW w:w="5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55,482</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55,184</w:t>
            </w:r>
          </w:p>
        </w:tc>
      </w:tr>
      <w:tr>
        <w:trPr>
          <w:trHeight w:val="216"/>
        </w:trPr>
        <w:tc>
          <w:tcPr>
            <w:tcW w:w="35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5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1,125,506</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1,035,467</w:t>
            </w:r>
          </w:p>
        </w:tc>
      </w:tr>
      <w:tr>
        <w:trPr>
          <w:trHeight w:val="21"/>
        </w:trPr>
        <w:tc>
          <w:tcPr>
            <w:tcW w:w="356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601"/>
        </w:trPr>
        <w:tc>
          <w:tcPr>
            <w:tcW w:w="3560" w:type="dxa"/>
            <w:vAlign w:val="bottom"/>
          </w:tcPr>
          <w:p>
            <w:pPr>
              <w:spacing w:after="0"/>
              <w:rPr>
                <w:sz w:val="24"/>
                <w:szCs w:val="24"/>
                <w:color w:val="auto"/>
              </w:rPr>
            </w:pPr>
          </w:p>
        </w:tc>
        <w:tc>
          <w:tcPr>
            <w:tcW w:w="5380" w:type="dxa"/>
            <w:vAlign w:val="bottom"/>
          </w:tcPr>
          <w:p>
            <w:pPr>
              <w:jc w:val="right"/>
              <w:ind w:right="305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560" w:type="dxa"/>
            <w:vAlign w:val="bottom"/>
            <w:tcBorders>
              <w:bottom w:val="single" w:sz="8" w:color="808080"/>
            </w:tcBorders>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ICON plc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2011. The Consolidated Financial Statements have been prepared in accordance with accounting principles generally accepted in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2012, we had approximately 8,670 employees, in 84 locations in 40 countries. During the three months ended March 31, 2012 we derived approximately 42.7%, 45.6% and 11.7% of our net revenue in the United States, Europe and Rest of World, respectively.</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backlog consists of potential net revenue yet to be earned from projects awarded by clients. At March 31, 2012 we had a backlog of approximately $2.4 billion, compared with approximately $2.3 billion at December 31, 2011.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Direct costs consist primarily of compensation, associated fringe benefits and share based compensation expense for project-related employees and other direct project driven costs. Selling, general and administrative expenses comprise primarily of compensation, related fringe benefits and share based compensation expense for non project-related employees, recruitment expenditure, professional service costs, advertising costs and all costs related to facilities and information systems.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9"/>
          <w:szCs w:val="19"/>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Three Months Ended March 31, 2012 compared with Three Months Ended March 31, 2011</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gridSpan w:val="7"/>
          </w:tcPr>
          <w:p>
            <w:pPr>
              <w:jc w:val="right"/>
              <w:ind w:right="114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March 31,</w:t>
            </w:r>
          </w:p>
        </w:tc>
        <w:tc>
          <w:tcPr>
            <w:tcW w:w="68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March 31,</w:t>
            </w:r>
          </w:p>
        </w:tc>
        <w:tc>
          <w:tcPr>
            <w:tcW w:w="620" w:type="dxa"/>
            <w:vAlign w:val="bottom"/>
          </w:tcPr>
          <w:p>
            <w:pPr>
              <w:spacing w:after="0"/>
              <w:rPr>
                <w:sz w:val="17"/>
                <w:szCs w:val="17"/>
                <w:color w:val="auto"/>
              </w:rPr>
            </w:pPr>
          </w:p>
        </w:tc>
        <w:tc>
          <w:tcPr>
            <w:tcW w:w="480" w:type="dxa"/>
            <w:vAlign w:val="bottom"/>
            <w:gridSpan w:val="4"/>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68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2011</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5"/>
          </w:tcPr>
          <w:p>
            <w:pPr>
              <w:jc w:val="right"/>
              <w:ind w:right="220"/>
              <w:spacing w:after="0" w:line="196" w:lineRule="exact"/>
              <w:rPr>
                <w:sz w:val="20"/>
                <w:szCs w:val="20"/>
                <w:color w:val="auto"/>
              </w:rPr>
            </w:pPr>
            <w:r>
              <w:rPr>
                <w:rFonts w:ascii="Arial" w:cs="Arial" w:eastAsia="Arial" w:hAnsi="Arial"/>
                <w:sz w:val="18"/>
                <w:szCs w:val="18"/>
                <w:b w:val="1"/>
                <w:bCs w:val="1"/>
                <w:color w:val="auto"/>
              </w:rPr>
              <w:t>to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Borders>
              <w:bottom w:val="single" w:sz="8" w:color="auto"/>
            </w:tcBorders>
            <w:gridSpan w:val="6"/>
          </w:tcPr>
          <w:p>
            <w:pPr>
              <w:jc w:val="right"/>
              <w:spacing w:after="0" w:line="196"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7"/>
              </w:rPr>
              <w:t>Increase/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980" w:type="dxa"/>
            <w:vAlign w:val="bottom"/>
            <w:gridSpan w:val="9"/>
          </w:tcPr>
          <w:p>
            <w:pPr>
              <w:jc w:val="right"/>
              <w:ind w:right="920"/>
              <w:spacing w:after="0" w:line="196" w:lineRule="exact"/>
              <w:rPr>
                <w:sz w:val="20"/>
                <w:szCs w:val="20"/>
                <w:color w:val="auto"/>
              </w:rPr>
            </w:pPr>
            <w:r>
              <w:rPr>
                <w:rFonts w:ascii="Arial" w:cs="Arial" w:eastAsia="Arial" w:hAnsi="Arial"/>
                <w:sz w:val="18"/>
                <w:szCs w:val="18"/>
                <w:b w:val="1"/>
                <w:bCs w:val="1"/>
                <w:color w:val="auto"/>
                <w:w w:val="87"/>
              </w:rPr>
              <w:t>Percentage of Net Revenue</w:t>
            </w:r>
          </w:p>
        </w:tc>
        <w:tc>
          <w:tcPr>
            <w:tcW w:w="80" w:type="dxa"/>
            <w:vAlign w:val="bottom"/>
          </w:tcPr>
          <w:p>
            <w:pPr>
              <w:spacing w:after="0"/>
              <w:rPr>
                <w:sz w:val="17"/>
                <w:szCs w:val="17"/>
                <w:color w:val="auto"/>
              </w:rPr>
            </w:pPr>
          </w:p>
        </w:tc>
        <w:tc>
          <w:tcPr>
            <w:tcW w:w="100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580" w:type="dxa"/>
            <w:vAlign w:val="bottom"/>
            <w:tcBorders>
              <w:bottom w:val="single" w:sz="8" w:color="auto"/>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400" w:type="dxa"/>
            <w:vAlign w:val="bottom"/>
            <w:tcBorders>
              <w:bottom w:val="single" w:sz="8" w:color="auto"/>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4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1580" w:type="dxa"/>
            <w:vAlign w:val="bottom"/>
            <w:gridSpan w:val="5"/>
          </w:tcPr>
          <w:p>
            <w:pPr>
              <w:jc w:val="right"/>
              <w:ind w:right="540"/>
              <w:spacing w:after="0"/>
              <w:rPr>
                <w:sz w:val="20"/>
                <w:szCs w:val="20"/>
                <w:color w:val="auto"/>
              </w:rPr>
            </w:pPr>
            <w:r>
              <w:rPr>
                <w:rFonts w:ascii="Arial" w:cs="Arial" w:eastAsia="Arial" w:hAnsi="Arial"/>
                <w:sz w:val="18"/>
                <w:szCs w:val="18"/>
                <w:color w:val="auto"/>
              </w:rPr>
              <w:t>64.3%</w:t>
            </w:r>
          </w:p>
        </w:tc>
        <w:tc>
          <w:tcPr>
            <w:tcW w:w="1400" w:type="dxa"/>
            <w:vAlign w:val="bottom"/>
            <w:gridSpan w:val="4"/>
          </w:tcPr>
          <w:p>
            <w:pPr>
              <w:jc w:val="right"/>
              <w:ind w:right="480"/>
              <w:spacing w:after="0"/>
              <w:rPr>
                <w:sz w:val="20"/>
                <w:szCs w:val="20"/>
                <w:color w:val="auto"/>
              </w:rPr>
            </w:pPr>
            <w:r>
              <w:rPr>
                <w:rFonts w:ascii="Arial" w:cs="Arial" w:eastAsia="Arial" w:hAnsi="Arial"/>
                <w:sz w:val="18"/>
                <w:szCs w:val="18"/>
                <w:color w:val="auto"/>
              </w:rPr>
              <w:t>63.0%</w:t>
            </w:r>
          </w:p>
        </w:tc>
        <w:tc>
          <w:tcPr>
            <w:tcW w:w="1080" w:type="dxa"/>
            <w:vAlign w:val="bottom"/>
            <w:gridSpan w:val="7"/>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26.8%</w:t>
            </w: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26.1%</w:t>
            </w:r>
          </w:p>
        </w:tc>
        <w:tc>
          <w:tcPr>
            <w:tcW w:w="10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color w:val="auto"/>
              </w:rPr>
              <w:t>4.3%</w:t>
            </w:r>
          </w:p>
        </w:tc>
        <w:tc>
          <w:tcPr>
            <w:tcW w:w="14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color w:val="auto"/>
              </w:rPr>
              <w:t>3.9%</w:t>
            </w:r>
          </w:p>
        </w:tc>
        <w:tc>
          <w:tcPr>
            <w:tcW w:w="10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0" w:type="dxa"/>
            <w:vAlign w:val="bottom"/>
            <w:gridSpan w:val="2"/>
          </w:tcPr>
          <w:p>
            <w:pPr>
              <w:spacing w:after="0" w:line="201" w:lineRule="exact"/>
              <w:rPr>
                <w:sz w:val="20"/>
                <w:szCs w:val="20"/>
                <w:color w:val="auto"/>
              </w:rPr>
            </w:pPr>
            <w:r>
              <w:rPr>
                <w:rFonts w:ascii="Arial" w:cs="Arial" w:eastAsia="Arial" w:hAnsi="Arial"/>
                <w:sz w:val="18"/>
                <w:szCs w:val="18"/>
                <w:color w:val="auto"/>
              </w:rPr>
              <w:t>Income from operations (excluding non-recurring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gridSpan w:val="3"/>
          </w:tcPr>
          <w:p>
            <w:pPr>
              <w:spacing w:after="0"/>
              <w:rPr>
                <w:sz w:val="20"/>
                <w:szCs w:val="20"/>
                <w:color w:val="auto"/>
              </w:rPr>
            </w:pPr>
            <w:r>
              <w:rPr>
                <w:rFonts w:ascii="Arial" w:cs="Arial" w:eastAsia="Arial" w:hAnsi="Arial"/>
                <w:sz w:val="18"/>
                <w:szCs w:val="18"/>
                <w:color w:val="auto"/>
              </w:rPr>
              <w:t>charges)</w:t>
            </w:r>
          </w:p>
        </w:tc>
        <w:tc>
          <w:tcPr>
            <w:tcW w:w="1580" w:type="dxa"/>
            <w:vAlign w:val="bottom"/>
            <w:gridSpan w:val="5"/>
          </w:tcPr>
          <w:p>
            <w:pPr>
              <w:jc w:val="right"/>
              <w:ind w:right="540"/>
              <w:spacing w:after="0"/>
              <w:rPr>
                <w:sz w:val="20"/>
                <w:szCs w:val="20"/>
                <w:color w:val="auto"/>
              </w:rPr>
            </w:pPr>
            <w:r>
              <w:rPr>
                <w:rFonts w:ascii="Arial" w:cs="Arial" w:eastAsia="Arial" w:hAnsi="Arial"/>
                <w:sz w:val="18"/>
                <w:szCs w:val="18"/>
                <w:color w:val="auto"/>
              </w:rPr>
              <w:t>4.6%</w:t>
            </w:r>
          </w:p>
        </w:tc>
        <w:tc>
          <w:tcPr>
            <w:tcW w:w="1400" w:type="dxa"/>
            <w:vAlign w:val="bottom"/>
            <w:gridSpan w:val="4"/>
          </w:tcPr>
          <w:p>
            <w:pPr>
              <w:jc w:val="right"/>
              <w:ind w:right="480"/>
              <w:spacing w:after="0"/>
              <w:rPr>
                <w:sz w:val="20"/>
                <w:szCs w:val="20"/>
                <w:color w:val="auto"/>
              </w:rPr>
            </w:pPr>
            <w:r>
              <w:rPr>
                <w:rFonts w:ascii="Arial" w:cs="Arial" w:eastAsia="Arial" w:hAnsi="Arial"/>
                <w:sz w:val="18"/>
                <w:szCs w:val="18"/>
                <w:color w:val="auto"/>
              </w:rPr>
              <w:t>7.0%</w:t>
            </w:r>
          </w:p>
        </w:tc>
        <w:tc>
          <w:tcPr>
            <w:tcW w:w="1080" w:type="dxa"/>
            <w:vAlign w:val="bottom"/>
            <w:gridSpan w:val="7"/>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Non-recurring charges</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1080" w:type="dxa"/>
            <w:vAlign w:val="bottom"/>
            <w:tcBorders>
              <w:bottom w:val="single" w:sz="8" w:color="auto"/>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(including non-recurring charges)</w:t>
            </w:r>
          </w:p>
        </w:tc>
        <w:tc>
          <w:tcPr>
            <w:tcW w:w="1580" w:type="dxa"/>
            <w:vAlign w:val="bottom"/>
            <w:tcBorders>
              <w:bottom w:val="single" w:sz="8" w:color="auto"/>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1400" w:type="dxa"/>
            <w:vAlign w:val="bottom"/>
            <w:tcBorders>
              <w:bottom w:val="single" w:sz="8" w:color="auto"/>
            </w:tcBorders>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4.8%</w:t>
            </w:r>
          </w:p>
        </w:tc>
        <w:tc>
          <w:tcPr>
            <w:tcW w:w="108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revenue for the period increased by $23.0 million, or 10.0%, from $229.3 million for the three months ended March 31, 2011 to $252.3 million for the three months ended March 31, 2012. Net revenue in our clinical research segment increased by $20.1 million, or 9.4%, from $212.8 million for the three months ended March 31, 2011 to $232.9 million for the three months ended March 31, 2012. In our Central Laboratory business, net revenue increased by $2.9 million, or 18.3%, from $16.5 million for the three months ended March 31, 2011 to $19.4 million for the three months ended March 31, 2012. Net revenue derived from the acquisitions of Oxford Outcomes, Firecrest, BeijingWits Medical and PriceSpective amounted to $12.7 million for the three months ended March 31, 2012 compared to net revenue derived from the acquisition of Oxford Outcomes of $4.0 million for the three months ended March 31, 2011. For the three months ended March 31, 2012 we derived approximately 42.7%, 45.6% and 11.7% of our net revenue in the United States, Europe and Rest of World, respectively.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9"/>
          <w:szCs w:val="19"/>
          <w:color w:val="auto"/>
        </w:rPr>
        <w:t>Direct costs for the period increased by $17.8 million, or 12.3%, from $144.5 million for the three months ended March 31, 2011 to $162.3 million for the three months ended March 31, 2012. As a percentage of net revenue, direct costs have increased from 63.0% for the three months ended March 31, 2011 to 64.3% for the three months ended March 31, 2012. Direct costs in our clinical research segment have increased by 13.5% or $17.9 million during the three month period. As a percentage of net revenue direct costs in our clinical research segment have increased from 62.2% for the three months ended March 31, 2011 to 64.5% for the three months ended March 31, 2012. This increase has resulted from our continued investment in personnel and related infrastructure in recent months to service new business awards and strategic partnership arrangements. In our central laboratory business, direct costs have decreased by 0.7% or $0.1 million during the period. As a percentage of net revenue direct costs in our central laboratory business have decreased from 73.8% for the three months ended March 31, 2011 to 62.0% for the three months ended March 31, 2012 a result of ongoing cost management and improved resource utilization in this business.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Selling, general and administrative expenses for the period increased by $7.6 million, or 12.7%, from $59.9 million for the three months ended March 31, 2011 to $67.5 million for the three months ended March 31, 2012. The increase in selling, general and administration expense for the period arose primarily from an increase in facilities and related costs of $1.4 million and an increase in personnel related expenditure of $7.8 million. These increases were offset by a decrease in other general overhead costs of $1.6 million. As a percentage of net revenue, selling, general and administrative expenses, increased from 26.1% for the three months ended March 31, 2011 to 26.8% for the three months ended March 31, 2012. In our clinical research segment, selling, general and administrative expenses increased by $8.7 million or 16.2% during the period. This was offset by a decrease in our central laboratory business, where selling, general and administrative expenses decreased by $1.1 million or 19.2%.</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Depreciation expense for the period increased by $0.5 million, or 6.0%, from $8.3 million for the three months ended March 31, 2011 to $8.8 million for the three months ended March 31, 2012, principally as a result of our continued investment in facilities and equipment to support the Company’s growth. As a percentage of net revenue, depreciation decreased from 3.6% of net revenues for the three months ended March 31, 2011 to 3.5% for the three months ended March 31, 2012. Amortization expense for the period increased by $1.3 million, or 185.7%, from $0.7 million for the period ended March 31, 2011 to $2.0 million for the three months ended March 31, 2012. Amortization expense represents the amortization of intangible assets acquired on business combinations. The increase in the amortization expense in the current period is primarily a result of intangible assets acquired from the acquisitions of Oxford Outcomes and Firecrest during the year ended December 31, 2011. As a percentage of net revenue, amortization expense increased from 0.3% of net revenues for the three months ended March 31, 2011 to 0.8% of net revenues for the three months ended March 31, 2012.</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As a result of the above, income from operations for the three months increased by $0.7 million, or 6.4%, from $11.0 million ($16.0 million excluding non-recurring charges) for the three months ended March 31, 2011 to $11.7 million for the three months ended March 31, 2012. As a percentage of net revenue, income from operations decreased from 4.8% (7.0% excluding non-recurring charges) of net revenues for the three months ended March 31, 2011 to 4.6% of net revenues for the three months ended March 31, 2012. In our clinical research segment, income from operations for the three months decreased by $5.1 million, or 33.6%, from $15.2 million ($18.7 million excluding non-recurring charges) for the three months ended March 31, 2011 to $10.1 million for the three months ended March 31, 2012. As a percentage of net revenue, income from operations decreased from 7.2% (8.8% excluding non-recurring charges) of net revenues for the three months ended March 31, 2011 to 4.3% of net revenues for the three months ended March 31, 2012. In our central laboratory business, income from operations for the period increased from a loss of $4.2 million ($2.7 million excluding non-recurring charges) for the three months ended March 31, 2011 to a profit of $1.6 million for the three months ended March 31, 2012. As a percentage of net revenue, income from operations increased from a loss of 25.8% (16.4% excluding non-recurring charges) for the three months ended March 31, 2011 to a profit of 8.4% for the three months ended March 31, 2012.</w:t>
      </w:r>
    </w:p>
    <w:p>
      <w:pPr>
        <w:spacing w:after="0" w:line="200" w:lineRule="exact"/>
        <w:rPr>
          <w:sz w:val="20"/>
          <w:szCs w:val="20"/>
          <w:color w:val="auto"/>
        </w:rPr>
      </w:pPr>
    </w:p>
    <w:p>
      <w:pPr>
        <w:spacing w:after="0" w:line="23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Interest expense for the period increased from $0.2 million for the three months ended March 31, 2011 to $0.4 million for the three months ended March 31, 2012. Interest expense for the three months ended March 31, 2012 includes $0.2 million in respect of non-cash finance charges relating to acquisition contingent consideration. Interest income for the period increased from $0.2 million for the three months ended March 31, 2011 to $0.4 million for the three months ended March 31, 2012, as a result of higher cash and short term investment balances during the three months ended March 31, 2012.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 w:name="page25"/>
    <w:bookmarkEnd w:id="24"/>
    <w:p>
      <w:pPr>
        <w:jc w:val="both"/>
        <w:spacing w:after="0" w:line="238" w:lineRule="auto"/>
        <w:rPr>
          <w:sz w:val="20"/>
          <w:szCs w:val="20"/>
          <w:color w:val="auto"/>
        </w:rPr>
      </w:pPr>
      <w:r>
        <w:rPr>
          <w:rFonts w:ascii="Arial" w:cs="Arial" w:eastAsia="Arial" w:hAnsi="Arial"/>
          <w:sz w:val="22"/>
          <w:szCs w:val="22"/>
          <w:color w:val="auto"/>
        </w:rPr>
        <w:t>Provision for income taxes was $2.7 million for the three months ended March 31, 2011 and the three months ended March 31, 2012. The Company’s effective tax rate for the three months ended March 31, 2012 was 23.3% compared with 24.3% for the three months ended March 31, 2011. The Company’s effective tax rate is principally a function of the distribution of pre-tax profits in the territories in which it operates.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Company’s cash and short term investment balances at March 31, 2012 amounted to $205.9 million compared with cash and short term investment balances of $174.1 million at December 31, 2011. The Company’s cash and short term investment balances at March 31, 2012 comprised cash and cash equivalents $128.8 million and short-term investments $77.1 million. The Company’s cash and short-term investment balances at December 31, 2011 comprised cash and cash equivalents $119.2 million and short-term investments $54.9 million.</w:t>
      </w:r>
    </w:p>
    <w:p>
      <w:pPr>
        <w:spacing w:after="0" w:line="215"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On July 20,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is secured by certain composite guarantees, indemnities and pledges in favor of the banks. During the three months ended March 31, 2012 the Company drew down $20 million of the facility. Additional amounts available to the Group under the facility amounted to $130.0 million at March 31, 2012 compared with $150.0 million at December 31, 2011.</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cash provided by operating activities was $60.6 million for the three months ended March 31, 2012 compared with cash used in operating activities of $5.3 million for the three months ended March 31, 2011.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increase in cash flow from operating activities during the three months ended March 31, 2012 arose primarily from a decrease in the number of days revenue outstanding during the period. The number of days revenue outstanding at March 31, 2012 was 37 days compared to 47 days at December 31, 2011. The number of days revenue outstanding at March 31, 2011 was 49 days compared to 37 days at December 31, 2010.</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Net cash used in investing activities was $73.9 million for the three months ended March 31, 2012 compared to net cash used in investing activities of $67.4 million for the three months ended March 31, 2011. Net cash used in the three months ended March 31, 2012 arose principally from cash paid for acquisitions, capital expenditures and the purchase of short-term investments.</w:t>
      </w:r>
    </w:p>
    <w:p>
      <w:pPr>
        <w:spacing w:after="0" w:line="161"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 xml:space="preserve">During the three months ended March 31, 2012 the Company completed the acquisition of BeijingWits Medical for an initial cash consideration of $9.0 million (including $6.0 million paid and a further $3.0 million due to be paid) and the acquisition of PriceSpective for an initial cash consideration of $37.1 million. Cash received on the acquisitions of BeijingWits Medical and PriceSpective amounted to $0.6 million and $2.3 million respectively. The Company also paid $1.2 million during the three months ended March 31, 2012 in respect of certain working capital targets for Oxford Outcomes and $4.5 million in respect of certain performance milestones and working capital targets for Firecrest. Additional amounts payable at March 31, 2012 in relation to acquisitions include $3.0 million in respect of BeijingWits Medical </w:t>
      </w:r>
      <w:r>
        <w:rPr>
          <w:rFonts w:ascii="Arial" w:cs="Arial" w:eastAsia="Arial" w:hAnsi="Arial"/>
          <w:sz w:val="21"/>
          <w:szCs w:val="21"/>
          <w:i w:val="1"/>
          <w:iCs w:val="1"/>
          <w:color w:val="auto"/>
        </w:rPr>
        <w:t>(as above),</w:t>
      </w:r>
      <w:r>
        <w:rPr>
          <w:rFonts w:ascii="Arial" w:cs="Arial" w:eastAsia="Arial" w:hAnsi="Arial"/>
          <w:sz w:val="21"/>
          <w:szCs w:val="21"/>
          <w:color w:val="auto"/>
        </w:rPr>
        <w:t xml:space="preserve"> $0.3 million in respect of Timaq Medical Imaging and $68.5 million potentially payable contingent upon the future results of acquired businesses; including PriceSpective ($15.0 million); BeijingWits Medical ($7.0 million); Firecrest ($40.1 million) and Oxford Outcomes ($6.4 million). </w:t>
      </w:r>
      <w:r>
        <w:rPr>
          <w:rFonts w:ascii="Arial" w:cs="Arial" w:eastAsia="Arial" w:hAnsi="Arial"/>
          <w:sz w:val="21"/>
          <w:szCs w:val="21"/>
          <w:i w:val="1"/>
          <w:iCs w:val="1"/>
          <w:color w:val="auto"/>
        </w:rPr>
        <w:t>(See note 3 Business</w:t>
      </w:r>
      <w:r>
        <w:rPr>
          <w:rFonts w:ascii="Arial" w:cs="Arial" w:eastAsia="Arial" w:hAnsi="Arial"/>
          <w:sz w:val="21"/>
          <w:szCs w:val="21"/>
          <w:color w:val="auto"/>
        </w:rPr>
        <w:t xml:space="preserve"> </w:t>
      </w:r>
      <w:r>
        <w:rPr>
          <w:rFonts w:ascii="Arial" w:cs="Arial" w:eastAsia="Arial" w:hAnsi="Arial"/>
          <w:sz w:val="21"/>
          <w:szCs w:val="21"/>
          <w:i w:val="1"/>
          <w:iCs w:val="1"/>
          <w:color w:val="auto"/>
        </w:rPr>
        <w:t>Combinations for further information relating to acquisitions and amounts potentially payable contingent upon the future results of acquired businesses).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 w:name="page26"/>
    <w:bookmarkEnd w:id="25"/>
    <w:p>
      <w:pPr>
        <w:jc w:val="both"/>
        <w:spacing w:after="0"/>
        <w:rPr>
          <w:sz w:val="20"/>
          <w:szCs w:val="20"/>
          <w:color w:val="auto"/>
        </w:rPr>
      </w:pPr>
      <w:r>
        <w:rPr>
          <w:rFonts w:ascii="Arial" w:cs="Arial" w:eastAsia="Arial" w:hAnsi="Arial"/>
          <w:sz w:val="22"/>
          <w:szCs w:val="22"/>
          <w:color w:val="auto"/>
        </w:rPr>
        <w:t>Capital expenditure for the three months ended March 31, 2012 amounted to $6.5 million, and comprised mainly of expenditure on global infrastructure and information technology systems to support the Company’s growth. During the three months ended March 31, 2012 the Company invested $27.4 million in short-term investments.</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Net cash provided by financing activities during the three months ended March 31, 2012 amounted to $19.8 million compared with net cash provided by financing activities of $1.0 million for the three months ended March 31, 2011. Net cash provided by financing activities during the three months ended March 31, 2012 arose primarily from the draw down of $20.0 million in bank credit lines and loan facilities and $0.8 million received from the exercise of stock options. This was offset by payments amounting to $1.4 million to repurchase shares under the Company’s share repurchase plans. On October 27, 2011 the Company announced its intention to commence a share repurchase program of up to $50 million. On November 22, 2011 the Company entered into two separate share repurchase plans of $10 million each, covering the periods November 23, 2011 to December 31, 2011 and January 1, 2012 to February 20, 2012 respectively. On February 21, 2012 the Company entered into a further share repurchase plan of $20 million, covering the period February 22, 2012 to April 22, 2012. During the three months ended March 31, 2012 the Company repurchased 82,100 ordinary shares for a total consideration of $1.4 million. As at March 31, 2012 627,697 ordinary shares have been repurchased by the Company for a total consideration of $10.4 million. All ordinary shares repurchased by the Company were cancelled </w:t>
      </w:r>
      <w:r>
        <w:rPr>
          <w:rFonts w:ascii="Arial" w:cs="Arial" w:eastAsia="Arial" w:hAnsi="Arial"/>
          <w:sz w:val="19"/>
          <w:szCs w:val="19"/>
          <w:i w:val="1"/>
          <w:iCs w:val="1"/>
          <w:color w:val="auto"/>
        </w:rPr>
        <w:t>(see note 9 Share Capital for further information).</w:t>
      </w:r>
    </w:p>
    <w:p>
      <w:pPr>
        <w:spacing w:after="0" w:line="189"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As a result of these cash flows, cash and cash equivalents increased by $9.6 million for the three months ended March 31, 2012 compared to a decrease of $63.9 million for the three months ended March 31, 2011.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We believe the effects of inflation generally do not have a material adverse impact on our operations or financial conditions.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239"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We are not party to any litigation or other legal proceedings that we believe could reasonably be expected to have a material adverse effect on our business, results of operations and financial condition.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0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rPr>
              <w:t>Date April 26, 2012</w:t>
            </w:r>
          </w:p>
        </w:tc>
        <w:tc>
          <w:tcPr>
            <w:tcW w:w="53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61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sectPr>
      <w:pgSz w:w="11900" w:h="16838" w:orient="portrait"/>
      <w:cols w:equalWidth="0" w:num="1">
        <w:col w:w="11420"/>
      </w:cols>
      <w:pgMar w:left="240" w:top="5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2019-12-09T13:07:17Z</dcterms:created>
  <dcterms:modified xsi:type="dcterms:W3CDTF">2019-12-09T13:07:17Z</dcterms:modified>
</cp:coreProperties>
</file>