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200"/>
        <w:spacing w:after="0"/>
        <w:tabs>
          <w:tab w:leader="none" w:pos="6120" w:val="left"/>
        </w:tabs>
        <w:rPr>
          <w:sz w:val="20"/>
          <w:szCs w:val="20"/>
          <w:color w:val="auto"/>
        </w:rPr>
      </w:pPr>
      <w:r>
        <w:rPr>
          <w:rFonts w:ascii="Times New Roman" w:cs="Times New Roman" w:eastAsia="Times New Roman" w:hAnsi="Times New Roman"/>
          <w:sz w:val="18"/>
          <w:szCs w:val="18"/>
          <w:color w:val="auto"/>
        </w:rPr>
        <w:t>Form 20-F __X___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200"/>
        <w:spacing w:after="0"/>
        <w:tabs>
          <w:tab w:leader="none" w:pos="612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No___X___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200"/>
        <w:spacing w:after="0"/>
        <w:tabs>
          <w:tab w:leader="none" w:pos="612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No___X___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53"/>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108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25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r>
      <w:tr>
        <w:trPr>
          <w:trHeight w:val="44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99.</w:t>
            </w:r>
            <w:r>
              <w:rPr>
                <w:rFonts w:ascii="Times New Roman" w:cs="Times New Roman" w:eastAsia="Times New Roman" w:hAnsi="Times New Roman"/>
                <w:sz w:val="18"/>
                <w:szCs w:val="18"/>
                <w:u w:val="single" w:color="auto"/>
                <w:color w:val="3051F2"/>
              </w:rPr>
              <w:t>1</w:t>
            </w:r>
          </w:p>
        </w:tc>
        <w:tc>
          <w:tcPr>
            <w:tcW w:w="1080" w:type="dxa"/>
            <w:vAlign w:val="bottom"/>
          </w:tcPr>
          <w:p>
            <w:pPr>
              <w:spacing w:after="0"/>
              <w:rPr>
                <w:sz w:val="24"/>
                <w:szCs w:val="24"/>
                <w:color w:val="auto"/>
              </w:rPr>
            </w:pPr>
          </w:p>
        </w:tc>
        <w:tc>
          <w:tcPr>
            <w:tcW w:w="9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ICON plc Press Release issued July 24, 2024 - ICON announces results of Annual General Meeting and changes to the Board of</w:t>
            </w:r>
          </w:p>
        </w:tc>
      </w:tr>
      <w:tr>
        <w:trPr>
          <w:trHeight w:val="202"/>
        </w:trPr>
        <w:tc>
          <w:tcPr>
            <w:tcW w:w="320" w:type="dxa"/>
            <w:vAlign w:val="bottom"/>
            <w:tcBorders>
              <w:top w:val="single" w:sz="8" w:color="3051F2"/>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40" w:type="dxa"/>
            <w:vAlign w:val="bottom"/>
            <w:tcBorders>
              <w:top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Directors</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ectPr>
          <w:pgSz w:w="11900" w:h="16838" w:orient="portrait"/>
          <w:cols w:equalWidth="0" w:num="1">
            <w:col w:w="10860"/>
          </w:cols>
          <w:pgMar w:left="340" w:top="1440" w:right="6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457200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announces results of Annual General Meeting and changes to the Board of Directors</w:t>
      </w: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b w:val="1"/>
          <w:bCs w:val="1"/>
          <w:color w:val="auto"/>
        </w:rPr>
        <w:t xml:space="preserve">Dublin, Ireland, July 24, 2024 – </w:t>
      </w:r>
      <w:r>
        <w:rPr>
          <w:rFonts w:ascii="Times New Roman" w:cs="Times New Roman" w:eastAsia="Times New Roman" w:hAnsi="Times New Roman"/>
          <w:sz w:val="18"/>
          <w:szCs w:val="18"/>
          <w:color w:val="auto"/>
        </w:rPr>
        <w:t>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healthcare intelligence and clinical research organization,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all resolutions at the Annual General Meeting of the company (AGM) held on July 23, 2024 were duly passed by shareholders. ICON also confirmed that following the conclusion of the company's AGM, Joan Garahy retired as a non-executive director and announced that Anne Whitaker was appointed as a non-executive director.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AGM</w:t>
      </w:r>
    </w:p>
    <w:p>
      <w:pPr>
        <w:spacing w:after="0" w:line="67"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All resolutions, which had all been recommended by the Board, were duly passed by shareholders. These resolutions were set out in the Notice of the AGM sent to shareholders dated June 10, 2024 and are available on the ICON plc website.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Proxy were received by ICON plc before the meeting, appointing proxies and giving them the following voting instructions:</w:t>
      </w:r>
    </w:p>
    <w:p>
      <w:pPr>
        <w:spacing w:after="0" w:line="291" w:lineRule="exact"/>
        <w:rPr>
          <w:sz w:val="20"/>
          <w:szCs w:val="20"/>
          <w:color w:val="auto"/>
        </w:rPr>
      </w:pPr>
    </w:p>
    <w:tbl>
      <w:tblPr>
        <w:tblLayout w:type="fixed"/>
        <w:tblInd w:w="130" w:type="dxa"/>
        <w:tblCellMar>
          <w:top w:w="0" w:type="dxa"/>
          <w:left w:w="0" w:type="dxa"/>
          <w:bottom w:w="0" w:type="dxa"/>
          <w:right w:w="0" w:type="dxa"/>
        </w:tblCellMar>
      </w:tblPr>
      <w:tr>
        <w:trPr>
          <w:trHeight w:val="194"/>
        </w:trPr>
        <w:tc>
          <w:tcPr>
            <w:tcW w:w="18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RESOLUTION</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RESOLUTION</w:t>
            </w:r>
          </w:p>
        </w:tc>
        <w:tc>
          <w:tcPr>
            <w:tcW w:w="150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TOTAL</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VOTE FOR</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VOTE</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w:t>
            </w:r>
          </w:p>
        </w:tc>
        <w:tc>
          <w:tcPr>
            <w:tcW w:w="0" w:type="dxa"/>
            <w:vAlign w:val="bottom"/>
          </w:tcPr>
          <w:p>
            <w:pPr>
              <w:spacing w:after="0"/>
              <w:rPr>
                <w:sz w:val="1"/>
                <w:szCs w:val="1"/>
                <w:color w:val="auto"/>
              </w:rPr>
            </w:pPr>
          </w:p>
        </w:tc>
      </w:tr>
      <w:tr>
        <w:trPr>
          <w:trHeight w:val="81"/>
        </w:trPr>
        <w:tc>
          <w:tcPr>
            <w:tcW w:w="186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8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continue"/>
          </w:tcPr>
          <w:p>
            <w:pPr>
              <w:spacing w:after="0"/>
              <w:rPr>
                <w:sz w:val="11"/>
                <w:szCs w:val="11"/>
                <w:color w:val="auto"/>
              </w:rPr>
            </w:pPr>
          </w:p>
        </w:tc>
        <w:tc>
          <w:tcPr>
            <w:tcW w:w="33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4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Mr. Ciaran Murray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73,506,766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1,308,834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15,025</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Dr. Steve Cutler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74,129,199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686,533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14,893</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re-elect Mr. Rónán Murphy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73,897,502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917,979</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15,144</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Dr. John Climax</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73,829,768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985,950</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Ms. Julie O’Neill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73,688,026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1,127,416</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Mr. Eugene McCague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69,968,433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3,715,604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1,146,588</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re-elect Dr. Linda Grais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74,242,529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573,982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14,114</w:t>
            </w: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To review the company’s affairs and consider</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74,552,361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74,298</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203,966</w:t>
            </w: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accounts and reports</w:t>
            </w:r>
          </w:p>
        </w:tc>
        <w:tc>
          <w:tcPr>
            <w:tcW w:w="15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3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To authorize the fixing of the auditors’</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71,307,735</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3,507,660</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15,230</w:t>
            </w: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remuneration</w:t>
            </w:r>
          </w:p>
        </w:tc>
        <w:tc>
          <w:tcPr>
            <w:tcW w:w="15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authorize the company to allot shares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73,485,798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1,328,716</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16,111</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disapply the statutory pre-emption rights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74,520,746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281,266</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28,613</w:t>
            </w: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3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To disapply the statutory pre-emption rights</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73,507,644</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1,294,211</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28,770</w:t>
            </w: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for funding capital investment or acquisitions</w:t>
            </w:r>
          </w:p>
        </w:tc>
        <w:tc>
          <w:tcPr>
            <w:tcW w:w="15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3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To authorize the company to make market</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74,472,821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167,358</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190,446</w:t>
            </w:r>
          </w:p>
        </w:tc>
        <w:tc>
          <w:tcPr>
            <w:tcW w:w="0" w:type="dxa"/>
            <w:vAlign w:val="bottom"/>
          </w:tcPr>
          <w:p>
            <w:pPr>
              <w:spacing w:after="0"/>
              <w:rPr>
                <w:sz w:val="1"/>
                <w:szCs w:val="1"/>
                <w:color w:val="auto"/>
              </w:rPr>
            </w:pPr>
          </w:p>
        </w:tc>
      </w:tr>
      <w:tr>
        <w:trPr>
          <w:trHeight w:val="140"/>
        </w:trPr>
        <w:tc>
          <w:tcPr>
            <w:tcW w:w="186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purchases of shares</w:t>
            </w:r>
          </w:p>
        </w:tc>
        <w:tc>
          <w:tcPr>
            <w:tcW w:w="15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3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To authorize the price range at which the</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74,830,625</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74,545,941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262,022</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22,662</w:t>
            </w: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right w:val="single" w:sz="8" w:color="auto"/>
            </w:tcBorders>
            <w:vMerge w:val="continue"/>
          </w:tcPr>
          <w:p>
            <w:pPr>
              <w:spacing w:after="0"/>
              <w:rPr>
                <w:sz w:val="15"/>
                <w:szCs w:val="15"/>
                <w:color w:val="auto"/>
              </w:rPr>
            </w:pPr>
          </w:p>
        </w:tc>
        <w:tc>
          <w:tcPr>
            <w:tcW w:w="33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company can reissue shares that it holds as</w:t>
            </w:r>
          </w:p>
        </w:tc>
        <w:tc>
          <w:tcPr>
            <w:tcW w:w="1500" w:type="dxa"/>
            <w:vAlign w:val="bottom"/>
            <w:tcBorders>
              <w:right w:val="single" w:sz="8" w:color="auto"/>
            </w:tcBorders>
            <w:vMerge w:val="continue"/>
          </w:tcPr>
          <w:p>
            <w:pPr>
              <w:spacing w:after="0"/>
              <w:rPr>
                <w:sz w:val="15"/>
                <w:szCs w:val="15"/>
                <w:color w:val="auto"/>
              </w:rPr>
            </w:pPr>
          </w:p>
        </w:tc>
        <w:tc>
          <w:tcPr>
            <w:tcW w:w="142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treasury shares</w:t>
            </w:r>
          </w:p>
        </w:tc>
        <w:tc>
          <w:tcPr>
            <w:tcW w:w="15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Special Resolution. All resolutions are ordinary resolutions unless otherwise stated.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changes</w:t>
      </w:r>
    </w:p>
    <w:p>
      <w:pPr>
        <w:spacing w:after="0" w:line="6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As previously announced in the ICON AGM Proxy Documentation dated June 10, 2024, Ms. Joan Garahy decided not to stand for re-election and she retired from the Board at the conclusion of the AGM.</w:t>
      </w:r>
    </w:p>
    <w:p>
      <w:pPr>
        <w:sectPr>
          <w:pgSz w:w="11900" w:h="16838" w:orient="portrait"/>
          <w:cols w:equalWidth="0" w:num="1">
            <w:col w:w="11240"/>
          </w:cols>
          <w:pgMar w:left="320" w:top="104" w:right="339" w:bottom="1440" w:gutter="0" w:footer="0" w:header="0"/>
        </w:sectPr>
      </w:pPr>
    </w:p>
    <w:bookmarkStart w:id="4" w:name="page5"/>
    <w:bookmarkEnd w:id="4"/>
    <w:p>
      <w:pPr>
        <w:jc w:val="both"/>
        <w:spacing w:after="0" w:line="347" w:lineRule="auto"/>
        <w:rPr>
          <w:sz w:val="20"/>
          <w:szCs w:val="20"/>
          <w:color w:val="auto"/>
        </w:rPr>
      </w:pPr>
      <w:r>
        <w:rPr>
          <w:rFonts w:ascii="Times New Roman" w:cs="Times New Roman" w:eastAsia="Times New Roman" w:hAnsi="Times New Roman"/>
          <w:sz w:val="18"/>
          <w:szCs w:val="18"/>
          <w:color w:val="auto"/>
        </w:rPr>
        <w:t xml:space="preserve">Ms. Anne Whitaker was appointed to the Board following the AGM on July 23, 2024. </w:t>
      </w:r>
      <w:r>
        <w:rPr>
          <w:rFonts w:ascii="Times New Roman" w:cs="Times New Roman" w:eastAsia="Times New Roman" w:hAnsi="Times New Roman"/>
          <w:sz w:val="18"/>
          <w:szCs w:val="18"/>
          <w:i w:val="1"/>
          <w:iCs w:val="1"/>
          <w:color w:val="auto"/>
        </w:rPr>
        <w:t>“I am delighted to welcome Anne to the ICON Board,"</w:t>
      </w:r>
      <w:r>
        <w:rPr>
          <w:rFonts w:ascii="Times New Roman" w:cs="Times New Roman" w:eastAsia="Times New Roman" w:hAnsi="Times New Roman"/>
          <w:sz w:val="18"/>
          <w:szCs w:val="18"/>
          <w:color w:val="auto"/>
        </w:rPr>
        <w:t xml:space="preserve"> commented Mr. Ciaran Murray, ICON’s Chair. </w:t>
      </w:r>
      <w:r>
        <w:rPr>
          <w:rFonts w:ascii="Times New Roman" w:cs="Times New Roman" w:eastAsia="Times New Roman" w:hAnsi="Times New Roman"/>
          <w:sz w:val="18"/>
          <w:szCs w:val="18"/>
          <w:i w:val="1"/>
          <w:iCs w:val="1"/>
          <w:color w:val="auto"/>
        </w:rPr>
        <w:t>“Her extensive global pharmaceutical industry experience will be a valuable addition to the ICON Board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Ms. Whitaker is an experienced healthcare executive, advisor and director. She currently serves as managing partner of Anne Whitaker Group, LLC, a board and private equity advisory firm, CEO and Chair of the Board of Aerami Therapeutics, and as an operating partner of NewVale Capital, a private equity firm. Ms. Whitaker was previously CEO and director of Novoclem Therapeutics. Earlier in her career, Ms. Whitaker held senior executive leadership positions at Bausch Health, Sanofi, GlaxoSmithKline, and multiple CEO roles for private and public development-stage companies.</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Ms. Whitaker serves as the Chair of QurAlis and as a non-executive director of Nykode Therapeutics, Trinity Life Sciences, Byrn Pharma and Bespak. She is a member of the Board of Trustees of the University of North Alabama. She previously served on the boards of Curio Digital Therapeutics, Ergomed plc, UDG Healthcare, Cree, Mallinckrodt, KNOW Bio, Novoclem Therapeutics, Vectura Group and Synta Pharmaceuticals. She holds a BSc in Chemistry and Business from the University of North Alabama.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8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97 locations in 55 countries as at June 30, 2024. For further information about ICON, visit: www.iconplc.com.</w:t>
      </w:r>
    </w:p>
    <w:p>
      <w:pPr>
        <w:spacing w:after="0" w:line="21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ICON/ICLR-F</w:t>
      </w:r>
    </w:p>
    <w:sectPr>
      <w:pgSz w:w="11900" w:h="16838" w:orient="portrait"/>
      <w:cols w:equalWidth="0" w:num="1">
        <w:col w:w="11240"/>
      </w:cols>
      <w:pgMar w:left="320" w:top="10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2024-07-24T05:28:56Z</dcterms:created>
  <dcterms:modified xsi:type="dcterms:W3CDTF">2024-07-24T05:28:56Z</dcterms:modified>
</cp:coreProperties>
</file>