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82"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22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00" w:lineRule="exact"/>
        <w:rPr>
          <w:sz w:val="24"/>
          <w:szCs w:val="24"/>
          <w:color w:val="auto"/>
        </w:rPr>
      </w:pPr>
    </w:p>
    <w:p>
      <w:pPr>
        <w:spacing w:after="0" w:line="29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ICON plc</w:t>
      </w:r>
    </w:p>
    <w:p>
      <w:pPr>
        <w:spacing w:after="0" w:line="5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D18 X5R3, Ireland</w:t>
      </w:r>
    </w:p>
    <w:p>
      <w:pPr>
        <w:spacing w:after="0" w:line="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2820"/>
        <w:spacing w:after="0" w:line="207" w:lineRule="exact"/>
        <w:tabs>
          <w:tab w:leader="none" w:pos="56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850265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334"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This report on Form 6-K is hereby incorporated by reference into the registration statements of ICON plc on Form S-8 (Registration Nos. 333-152802, 333-204153, 333-231527, 333-254891, 333-257578 and 333-282826) and on Form F-3 (Registration No. 333-278943),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As used herein, “ICON plc”, “ICON”, "ICON Group", the “Company” and “we”, "our" or “us” refer to ICON public limited company and its consolidated subsidiaries, unless the context requires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from compound selection to Phase I-IV clinical studies. Our vision is to be the healthcare intelligence partner of choice by delivering industry leading solutions and best in class performance in clinical development.</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March 31, 2026 we had approximately 40,350 employees in 97 locations in 55 countries. During the three months ended March 31, 2026 we derived 31.6%, 56.6% and 11.8% of our revenue in the United States, Europe and Rest of World respectively (during the three months ended March 31, 2025: 33.4%, 55.1% and 11.5% respectively).</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Changes in Board of Directors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 effect from June 1, 2026, Mr. Kevin Egan and Mr. Jeff Elliott joined the Board of Directors. Dr. Steve Cutler resigned from the Board effective May 21, 2026.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Bridge Secured Credit Facility</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April 27,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April 26, 2027.</w:t>
      </w:r>
    </w:p>
    <w:p>
      <w:pPr>
        <w:spacing w:after="0" w:line="21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Borrowings under the Bridge Secured Credit Facility do not amortize and are due at final maturity. The interest rate margin applicable to borrowings under the Bridge Secured Credit Facility is USD Term SOFR plus a fixed calendared applicable margin ranging from 1.00% to 2.25%. At June 23, 2026, the applicable margin was 1.00%.</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ind w:left="660"/>
        <w:spacing w:after="0"/>
        <w:rPr>
          <w:sz w:val="20"/>
          <w:szCs w:val="20"/>
          <w:color w:val="auto"/>
        </w:rPr>
      </w:pPr>
      <w:r>
        <w:rPr>
          <w:rFonts w:ascii="Arial" w:cs="Arial" w:eastAsia="Arial" w:hAnsi="Arial"/>
          <w:sz w:val="16"/>
          <w:szCs w:val="16"/>
          <w:i w:val="1"/>
          <w:iCs w:val="1"/>
          <w:color w:val="auto"/>
        </w:rPr>
        <w:t>Disposal of Symphony Health Solutions Corporation</w:t>
      </w:r>
    </w:p>
    <w:p>
      <w:pPr>
        <w:spacing w:after="0" w:line="2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May 8,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May 8, 2026, the Company’s investment in HealthVerity has been recorded at a carrying value of $nil.</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Waivers to the debt agreements</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April 27, 2026, the parties (limited to the borrowers and revolving lenders under the senior secured revolving loan facility only) to the Credit Agreement (as defined below) entered into a Consent to Credit Agreement pursuant to which such revolving lenders agreed to provide a limited and temporary waiver of the requirement to deliver certain financial statements under the senior secured revolving credit facility in connection with the borrowings thereunder. The waiver applied solely for the specified consent period ending May 31, 2026.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May 18, 2026, the Company launched a consent and waiver to the Credit Agreement (applicable to all facilities thereunder) in order to request that the requisite lenders thereunder agree to (i) waive the technical default caused by the Company’s late delivery of annual financial statements for the fiscal year ending December 31, 2025, (ii) provide an extension of</w:t>
      </w:r>
    </w:p>
    <w:p>
      <w:pPr>
        <w:spacing w:after="0" w:line="1" w:lineRule="exact"/>
        <w:rPr>
          <w:sz w:val="20"/>
          <w:szCs w:val="20"/>
          <w:color w:val="auto"/>
        </w:rPr>
      </w:pPr>
    </w:p>
    <w:p>
      <w:pPr>
        <w:jc w:val="both"/>
        <w:ind w:right="2060"/>
        <w:spacing w:after="0" w:line="264" w:lineRule="auto"/>
        <w:rPr>
          <w:sz w:val="20"/>
          <w:szCs w:val="20"/>
          <w:color w:val="auto"/>
        </w:rPr>
      </w:pPr>
      <w:r>
        <w:rPr>
          <w:rFonts w:ascii="Arial" w:cs="Arial" w:eastAsia="Arial" w:hAnsi="Arial"/>
          <w:sz w:val="16"/>
          <w:szCs w:val="16"/>
          <w:color w:val="auto"/>
        </w:rPr>
        <w:t>the delivery of the Company’s annual financial statements for the fiscal year ending December 31, 2025 to July 16, 2026 and (iii) provide an extension of the delivery of the Company’s quarterly financial statements for the fiscal quarter ending March 31, 2026 to July 31, 2026. Consent to the waiver was received on May 22, 2026.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filed its Annual Report on Form 20-F for the year ended December 31, 2025 on May 27, 2026.</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29, 2026, the Annual Report on Form 20-F that was subject to the April 27, 2026 and May 18, 2026 waivers was delivered to the requisite parties under the Credit Agreement.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exchange translation</w:t>
      </w:r>
    </w:p>
    <w:p>
      <w:pPr>
        <w:spacing w:after="0" w:line="1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prepares its financial statements in United States ("U.S.") dollars while the local results of a certain number of our subsidiaries are prepared in currencies other than the U.S. dollar, including, amongst others, the pound sterling and the euro. In addition, the Company's contracts with clients are sometimes denominated in currencies other than the U.S. dollar. Finally, the Company is exposed to a wide variety of currencies in the expenses line due to most expenses being incurred in the local currencies of where global operations are based. Accordingly, changes in exchange rates between the U.S. dollar and those other currencies can impact the Company’s financial results.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 w:name="page5"/>
    <w:bookmarkEnd w:id="4"/>
    <w:p>
      <w:pPr>
        <w:ind w:left="562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AT MARCH 31, 2026 AND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(Audited)</w:t>
            </w:r>
          </w:p>
        </w:tc>
      </w:tr>
      <w:tr>
        <w:trPr>
          <w:trHeight w:val="155"/>
        </w:trPr>
        <w:tc>
          <w:tcPr>
            <w:tcW w:w="7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7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16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765,164</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647,295</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Accounts receivable, net of allowance for credit losses</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1,471,304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1,474,898</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Unbilled revenue</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1,090,950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1,096,592</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91,804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116,750</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Prepayments and other current assets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144,150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105,316</w:t>
            </w:r>
          </w:p>
        </w:tc>
      </w:tr>
      <w:tr>
        <w:trPr>
          <w:trHeight w:val="215"/>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taxes receivable</w:t>
            </w:r>
          </w:p>
        </w:tc>
        <w:tc>
          <w:tcPr>
            <w:tcW w:w="1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43,965</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60,824</w:t>
            </w:r>
          </w:p>
        </w:tc>
      </w:tr>
      <w:tr>
        <w:trPr>
          <w:trHeight w:val="210"/>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3,607,337</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3,501,675</w:t>
            </w:r>
          </w:p>
        </w:tc>
      </w:tr>
      <w:tr>
        <w:trPr>
          <w:trHeight w:val="162"/>
        </w:trPr>
        <w:tc>
          <w:tcPr>
            <w:tcW w:w="7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Property, plant and equipment, net</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384,750</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395,724</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8,725,780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8,731,689</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Intangible assets, net</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3,196,704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3,247,118</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right-of-use assets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123,606</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128,948</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Other receivables</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74,442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75,707</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asset</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109,437</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106,871</w:t>
            </w:r>
          </w:p>
        </w:tc>
      </w:tr>
      <w:tr>
        <w:trPr>
          <w:trHeight w:val="215"/>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Investments in equity</w:t>
            </w:r>
          </w:p>
        </w:tc>
        <w:tc>
          <w:tcPr>
            <w:tcW w:w="1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96,966</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82,050</w:t>
            </w:r>
          </w:p>
        </w:tc>
      </w:tr>
      <w:tr>
        <w:trPr>
          <w:trHeight w:val="234"/>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16,319,022</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16,269,782</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7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99,846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192,117</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Unearned revenue</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1,547,527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1,550,471</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964,790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904,826</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Income taxes payable</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27,611</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18,999</w:t>
            </w:r>
          </w:p>
        </w:tc>
      </w:tr>
      <w:tr>
        <w:trPr>
          <w:trHeight w:val="216"/>
        </w:trPr>
        <w:tc>
          <w:tcPr>
            <w:tcW w:w="7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Current bank credit lines, loan facilities and notes</w:t>
            </w:r>
          </w:p>
        </w:tc>
        <w:tc>
          <w:tcPr>
            <w:tcW w:w="1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529,762</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529,762</w:t>
            </w:r>
          </w:p>
        </w:tc>
      </w:tr>
      <w:tr>
        <w:trPr>
          <w:trHeight w:val="210"/>
        </w:trPr>
        <w:tc>
          <w:tcPr>
            <w:tcW w:w="710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3,169,536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3,196,175</w:t>
            </w:r>
          </w:p>
        </w:tc>
      </w:tr>
      <w:tr>
        <w:trPr>
          <w:trHeight w:val="217"/>
        </w:trPr>
        <w:tc>
          <w:tcPr>
            <w:tcW w:w="7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bank credit lines, loan facilities and notes, net</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2,866,695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2,872,616</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Lease liabilities</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111,329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117,122</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other liabilities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72,337</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72,807</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Non-current income taxes payable</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104,509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103,251</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tax liability</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694,320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714,427</w:t>
            </w:r>
          </w:p>
        </w:tc>
      </w:tr>
      <w:tr>
        <w:trPr>
          <w:trHeight w:val="215"/>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Commitments and contingencies</w:t>
            </w:r>
          </w:p>
        </w:tc>
        <w:tc>
          <w:tcPr>
            <w:tcW w:w="1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7,018,726</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7,076,398</w:t>
            </w:r>
          </w:p>
        </w:tc>
      </w:tr>
      <w:tr>
        <w:trPr>
          <w:trHeight w:val="197"/>
        </w:trPr>
        <w:tc>
          <w:tcPr>
            <w:tcW w:w="7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76,601,538 shares issued and outstanding at March 31, 2026 and</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76,567,325 shares issued and outstanding at December 31, 2025</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6,307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6,305</w:t>
            </w:r>
          </w:p>
        </w:tc>
      </w:tr>
      <w:tr>
        <w:trPr>
          <w:trHeight w:val="217"/>
        </w:trPr>
        <w:tc>
          <w:tcPr>
            <w:tcW w:w="7100" w:type="dxa"/>
            <w:vAlign w:val="bottom"/>
            <w:shd w:val="clear" w:color="auto" w:fill="CCEEFF"/>
          </w:tcPr>
          <w:p>
            <w:pPr>
              <w:ind w:left="340"/>
              <w:spacing w:after="0" w:line="184" w:lineRule="exact"/>
              <w:rPr>
                <w:sz w:val="20"/>
                <w:szCs w:val="20"/>
                <w:color w:val="auto"/>
              </w:rPr>
            </w:pPr>
            <w:r>
              <w:rPr>
                <w:rFonts w:ascii="Arial" w:cs="Arial" w:eastAsia="Arial" w:hAnsi="Arial"/>
                <w:sz w:val="16"/>
                <w:szCs w:val="16"/>
                <w:color w:val="auto"/>
              </w:rPr>
              <w:t>Additional paid</w:t>
            </w:r>
            <w:r>
              <w:rPr>
                <w:rFonts w:ascii="MS PGothic" w:cs="MS PGothic" w:eastAsia="MS PGothic" w:hAnsi="MS PGothic"/>
                <w:sz w:val="16"/>
                <w:szCs w:val="16"/>
                <w:color w:val="auto"/>
              </w:rPr>
              <w:t>‑</w:t>
            </w:r>
            <w:r>
              <w:rPr>
                <w:rFonts w:ascii="Arial" w:cs="Arial" w:eastAsia="Arial" w:hAnsi="Arial"/>
                <w:sz w:val="16"/>
                <w:szCs w:val="16"/>
                <w:color w:val="auto"/>
              </w:rPr>
              <w:t>in capital</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7,160,610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7,131,956</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Other undenominated capital</w:t>
            </w:r>
          </w:p>
        </w:tc>
        <w:tc>
          <w:tcPr>
            <w:tcW w:w="11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1,606</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1,606</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(95,029)</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(68,534)</w:t>
            </w:r>
          </w:p>
        </w:tc>
      </w:tr>
      <w:tr>
        <w:trPr>
          <w:trHeight w:val="215"/>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Retained earnings</w:t>
            </w:r>
          </w:p>
        </w:tc>
        <w:tc>
          <w:tcPr>
            <w:tcW w:w="1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2,226,802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2,122,051</w:t>
            </w:r>
          </w:p>
        </w:tc>
      </w:tr>
      <w:tr>
        <w:trPr>
          <w:trHeight w:val="210"/>
        </w:trPr>
        <w:tc>
          <w:tcPr>
            <w:tcW w:w="7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Total Shareholders' Equity</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9,300,296</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9,193,384</w:t>
            </w:r>
          </w:p>
        </w:tc>
      </w:tr>
      <w:tr>
        <w:trPr>
          <w:trHeight w:val="20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16,319,022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16,269,782</w:t>
            </w:r>
          </w:p>
        </w:tc>
      </w:tr>
      <w:tr>
        <w:trPr>
          <w:trHeight w:val="21"/>
        </w:trPr>
        <w:tc>
          <w:tcPr>
            <w:tcW w:w="7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060"/>
          </w:cols>
          <w:pgMar w:left="420" w:top="46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463" w:right="41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MONTHS ENDED MARCH 31, 2026 AND MARCH 31, 2025</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3"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0205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6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5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6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155"/>
        </w:trPr>
        <w:tc>
          <w:tcPr>
            <w:tcW w:w="60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3000" w:type="dxa"/>
            <w:vAlign w:val="bottom"/>
            <w:gridSpan w:val="3"/>
            <w:shd w:val="clear" w:color="auto" w:fill="CCEEFF"/>
          </w:tcPr>
          <w:p>
            <w:pPr>
              <w:jc w:val="right"/>
              <w:ind w:right="139"/>
              <w:spacing w:after="0" w:line="155" w:lineRule="exact"/>
              <w:rPr>
                <w:sz w:val="20"/>
                <w:szCs w:val="20"/>
                <w:color w:val="auto"/>
              </w:rPr>
            </w:pPr>
            <w:r>
              <w:rPr>
                <w:rFonts w:ascii="Arial" w:cs="Arial" w:eastAsia="Arial" w:hAnsi="Arial"/>
                <w:sz w:val="16"/>
                <w:szCs w:val="16"/>
                <w:b w:val="1"/>
                <w:bCs w:val="1"/>
                <w:color w:val="auto"/>
              </w:rPr>
              <w:t>(in thousands except share and per</w:t>
            </w:r>
          </w:p>
        </w:tc>
      </w:tr>
      <w:tr>
        <w:trPr>
          <w:trHeight w:val="216"/>
        </w:trPr>
        <w:tc>
          <w:tcPr>
            <w:tcW w:w="60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share data)</w:t>
            </w:r>
          </w:p>
        </w:tc>
        <w:tc>
          <w:tcPr>
            <w:tcW w:w="1020" w:type="dxa"/>
            <w:vAlign w:val="bottom"/>
            <w:shd w:val="clear" w:color="auto" w:fill="CCEEFF"/>
          </w:tcPr>
          <w:p>
            <w:pPr>
              <w:spacing w:after="0"/>
              <w:rPr>
                <w:sz w:val="18"/>
                <w:szCs w:val="18"/>
                <w:color w:val="auto"/>
              </w:rPr>
            </w:pPr>
          </w:p>
        </w:tc>
      </w:tr>
      <w:tr>
        <w:trPr>
          <w:trHeight w:val="270"/>
        </w:trPr>
        <w:tc>
          <w:tcPr>
            <w:tcW w:w="60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2,033,999</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2,015,320</w:t>
            </w:r>
          </w:p>
        </w:tc>
      </w:tr>
      <w:tr>
        <w:trPr>
          <w:trHeight w:val="270"/>
        </w:trPr>
        <w:tc>
          <w:tcPr>
            <w:tcW w:w="60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6060" w:type="dxa"/>
            <w:vAlign w:val="bottom"/>
          </w:tcPr>
          <w:p>
            <w:pPr>
              <w:ind w:left="340"/>
              <w:spacing w:after="0"/>
              <w:rPr>
                <w:sz w:val="20"/>
                <w:szCs w:val="20"/>
                <w:color w:val="auto"/>
              </w:rPr>
            </w:pPr>
            <w:r>
              <w:rPr>
                <w:rFonts w:ascii="Arial" w:cs="Arial" w:eastAsia="Arial" w:hAnsi="Arial"/>
                <w:sz w:val="16"/>
                <w:szCs w:val="16"/>
                <w:color w:val="auto"/>
              </w:rPr>
              <w:t>Direct costs</w:t>
            </w:r>
          </w:p>
        </w:tc>
        <w:tc>
          <w:tcPr>
            <w:tcW w:w="200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1,556,073</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1,449,258</w:t>
            </w:r>
          </w:p>
        </w:tc>
      </w:tr>
      <w:tr>
        <w:trPr>
          <w:trHeight w:val="217"/>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200,598</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198,384</w:t>
            </w:r>
          </w:p>
        </w:tc>
      </w:tr>
      <w:tr>
        <w:trPr>
          <w:trHeight w:val="215"/>
        </w:trPr>
        <w:tc>
          <w:tcPr>
            <w:tcW w:w="60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00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90,331</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95,958</w:t>
            </w:r>
          </w:p>
        </w:tc>
      </w:tr>
      <w:tr>
        <w:trPr>
          <w:trHeight w:val="217"/>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3,187</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w:t>
            </w:r>
          </w:p>
        </w:tc>
      </w:tr>
      <w:tr>
        <w:trPr>
          <w:trHeight w:val="215"/>
        </w:trPr>
        <w:tc>
          <w:tcPr>
            <w:tcW w:w="60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2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10,076</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39,346</w:t>
            </w:r>
          </w:p>
        </w:tc>
      </w:tr>
      <w:tr>
        <w:trPr>
          <w:trHeight w:val="210"/>
        </w:trPr>
        <w:tc>
          <w:tcPr>
            <w:tcW w:w="6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20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1,860,265</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1,788,350</w:t>
            </w:r>
          </w:p>
        </w:tc>
      </w:tr>
      <w:tr>
        <w:trPr>
          <w:trHeight w:val="251"/>
        </w:trPr>
        <w:tc>
          <w:tcPr>
            <w:tcW w:w="6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173,734</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226,970</w:t>
            </w:r>
          </w:p>
        </w:tc>
      </w:tr>
      <w:tr>
        <w:trPr>
          <w:trHeight w:val="215"/>
        </w:trPr>
        <w:tc>
          <w:tcPr>
            <w:tcW w:w="606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200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1,821</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1,802</w:t>
            </w:r>
          </w:p>
        </w:tc>
      </w:tr>
      <w:tr>
        <w:trPr>
          <w:trHeight w:val="216"/>
        </w:trPr>
        <w:tc>
          <w:tcPr>
            <w:tcW w:w="6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0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(47,997)</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(47,609)</w:t>
            </w:r>
          </w:p>
        </w:tc>
      </w:tr>
      <w:tr>
        <w:trPr>
          <w:trHeight w:val="251"/>
        </w:trPr>
        <w:tc>
          <w:tcPr>
            <w:tcW w:w="6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127,558</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181,163</w:t>
            </w:r>
          </w:p>
        </w:tc>
      </w:tr>
      <w:tr>
        <w:trPr>
          <w:trHeight w:val="215"/>
        </w:trPr>
        <w:tc>
          <w:tcPr>
            <w:tcW w:w="60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 expense</w:t>
            </w:r>
          </w:p>
        </w:tc>
        <w:tc>
          <w:tcPr>
            <w:tcW w:w="2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(22,807)</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(20,351)</w:t>
            </w:r>
          </w:p>
        </w:tc>
      </w:tr>
      <w:tr>
        <w:trPr>
          <w:trHeight w:val="234"/>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104,751</w:t>
            </w:r>
          </w:p>
        </w:tc>
        <w:tc>
          <w:tcPr>
            <w:tcW w:w="5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160,812</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6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w:t>
            </w:r>
          </w:p>
        </w:tc>
        <w:tc>
          <w:tcPr>
            <w:tcW w:w="20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60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5"/>
        </w:trPr>
        <w:tc>
          <w:tcPr>
            <w:tcW w:w="60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8"/>
        </w:trPr>
        <w:tc>
          <w:tcPr>
            <w:tcW w:w="60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2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1"/>
        </w:trPr>
        <w:tc>
          <w:tcPr>
            <w:tcW w:w="606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15"/>
        </w:trPr>
        <w:tc>
          <w:tcPr>
            <w:tcW w:w="6060" w:type="dxa"/>
            <w:vAlign w:val="bottom"/>
          </w:tcPr>
          <w:p>
            <w:pPr>
              <w:ind w:left="340"/>
              <w:spacing w:after="0"/>
              <w:rPr>
                <w:sz w:val="20"/>
                <w:szCs w:val="20"/>
                <w:color w:val="auto"/>
              </w:rPr>
            </w:pPr>
            <w:r>
              <w:rPr>
                <w:rFonts w:ascii="Arial" w:cs="Arial" w:eastAsia="Arial" w:hAnsi="Arial"/>
                <w:sz w:val="16"/>
                <w:szCs w:val="16"/>
                <w:color w:val="auto"/>
              </w:rPr>
              <w:t>Basic</w:t>
            </w:r>
          </w:p>
        </w:tc>
        <w:tc>
          <w:tcPr>
            <w:tcW w:w="200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76,579,420</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80,552,734</w:t>
            </w:r>
          </w:p>
        </w:tc>
      </w:tr>
      <w:tr>
        <w:trPr>
          <w:trHeight w:val="241"/>
        </w:trPr>
        <w:tc>
          <w:tcPr>
            <w:tcW w:w="6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0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77,261,813</w:t>
            </w:r>
          </w:p>
        </w:tc>
        <w:tc>
          <w:tcPr>
            <w:tcW w:w="5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80,924,355</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692"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line="270" w:lineRule="auto"/>
        <w:rPr>
          <w:sz w:val="20"/>
          <w:szCs w:val="20"/>
          <w:color w:val="auto"/>
        </w:rPr>
      </w:pPr>
      <w:r>
        <w:rPr>
          <w:rFonts w:ascii="Arial" w:cs="Arial" w:eastAsia="Arial" w:hAnsi="Arial"/>
          <w:sz w:val="16"/>
          <w:szCs w:val="16"/>
          <w:b w:val="1"/>
          <w:bCs w:val="1"/>
          <w:color w:val="auto"/>
        </w:rPr>
        <w:t>CONDENSED CONSOLIDATED STATEMENTS OF COMPREHENSIVE INCOME FOR THE THREE MONTHS ENDED MARCH 31, 2026 AND MARCH 31, 2025 (UNAUDITED)</w:t>
      </w:r>
    </w:p>
    <w:p>
      <w:pPr>
        <w:spacing w:after="0" w:line="241"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0205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8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56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10"/>
        </w:trPr>
        <w:tc>
          <w:tcPr>
            <w:tcW w:w="56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900" w:type="dxa"/>
            <w:vAlign w:val="bottom"/>
            <w:shd w:val="clear" w:color="auto" w:fill="CCEEFF"/>
          </w:tcPr>
          <w:p>
            <w:pPr>
              <w:spacing w:after="0"/>
              <w:rPr>
                <w:sz w:val="18"/>
                <w:szCs w:val="18"/>
                <w:color w:val="auto"/>
              </w:rPr>
            </w:pPr>
          </w:p>
        </w:tc>
      </w:tr>
      <w:tr>
        <w:trPr>
          <w:trHeight w:val="215"/>
        </w:trPr>
        <w:tc>
          <w:tcPr>
            <w:tcW w:w="5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104,751</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160,812</w:t>
            </w:r>
          </w:p>
        </w:tc>
      </w:tr>
      <w:tr>
        <w:trPr>
          <w:trHeight w:val="21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(loss) / income, net of tax:</w:t>
            </w:r>
          </w:p>
        </w:tc>
        <w:tc>
          <w:tcPr>
            <w:tcW w:w="2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568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2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(26,495)</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59,158</w:t>
            </w:r>
          </w:p>
        </w:tc>
      </w:tr>
      <w:tr>
        <w:trPr>
          <w:trHeight w:val="216"/>
        </w:trPr>
        <w:tc>
          <w:tcPr>
            <w:tcW w:w="5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Movement on cash flow hedge</w:t>
            </w:r>
          </w:p>
        </w:tc>
        <w:tc>
          <w:tcPr>
            <w:tcW w:w="26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r>
      <w:tr>
        <w:trPr>
          <w:trHeight w:val="21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2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78,256</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217,550</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692"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Ordinary</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Additional</w:t>
            </w:r>
          </w:p>
        </w:tc>
        <w:tc>
          <w:tcPr>
            <w:tcW w:w="4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Accumulated</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Retained</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Ordinary</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320"/>
              <w:spacing w:after="0" w:line="162" w:lineRule="exact"/>
              <w:rPr>
                <w:sz w:val="20"/>
                <w:szCs w:val="20"/>
                <w:color w:val="auto"/>
              </w:rPr>
            </w:pPr>
            <w:r>
              <w:rPr>
                <w:rFonts w:ascii="Arial" w:cs="Arial" w:eastAsia="Arial" w:hAnsi="Arial"/>
                <w:sz w:val="16"/>
                <w:szCs w:val="16"/>
                <w:b w:val="1"/>
                <w:bCs w:val="1"/>
                <w:color w:val="auto"/>
              </w:rPr>
              <w:t>Paid-in Undenominated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Earnings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b w:val="1"/>
                <w:bCs w:val="1"/>
                <w:color w:val="auto"/>
              </w:rPr>
              <w:t>Capital</w:t>
            </w:r>
          </w:p>
        </w:tc>
        <w:tc>
          <w:tcPr>
            <w:tcW w:w="42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Capital Comprehensive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(in thousands, except share data)</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76,567,325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7,131,956</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(68,534)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2,122,051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9,193,384</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104,751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104,751</w:t>
            </w:r>
          </w:p>
        </w:tc>
        <w:tc>
          <w:tcPr>
            <w:tcW w:w="0" w:type="dxa"/>
            <w:vAlign w:val="bottom"/>
          </w:tcPr>
          <w:p>
            <w:pPr>
              <w:spacing w:after="0"/>
              <w:rPr>
                <w:sz w:val="1"/>
                <w:szCs w:val="1"/>
                <w:color w:val="auto"/>
              </w:rPr>
            </w:pPr>
          </w:p>
        </w:tc>
      </w:tr>
      <w:tr>
        <w:trPr>
          <w:trHeight w:val="215"/>
        </w:trPr>
        <w:tc>
          <w:tcPr>
            <w:tcW w:w="2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Currency translation adjustment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(26,495)</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(26,495)</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78,256</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220" w:type="dxa"/>
            <w:vAlign w:val="bottom"/>
          </w:tcPr>
          <w:p>
            <w:pPr>
              <w:jc w:val="right"/>
              <w:spacing w:after="0"/>
              <w:rPr>
                <w:sz w:val="20"/>
                <w:szCs w:val="20"/>
                <w:color w:val="auto"/>
              </w:rPr>
            </w:pPr>
            <w:r>
              <w:rPr>
                <w:rFonts w:ascii="Arial" w:cs="Arial" w:eastAsia="Arial" w:hAnsi="Arial"/>
                <w:sz w:val="16"/>
                <w:szCs w:val="16"/>
                <w:color w:val="auto"/>
              </w:rPr>
              <w:t>10,174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27,574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27,574</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76,601,538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7,160,610</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2,226,802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9,300,296</w:t>
            </w:r>
          </w:p>
        </w:tc>
        <w:tc>
          <w:tcPr>
            <w:tcW w:w="0" w:type="dxa"/>
            <w:vAlign w:val="bottom"/>
          </w:tcPr>
          <w:p>
            <w:pPr>
              <w:spacing w:after="0"/>
              <w:rPr>
                <w:sz w:val="1"/>
                <w:szCs w:val="1"/>
                <w:color w:val="auto"/>
              </w:rPr>
            </w:pP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Number of</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Ordinary</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Additional</w:t>
            </w: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Ordinary</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180" w:type="dxa"/>
            <w:vAlign w:val="bottom"/>
            <w:shd w:val="clear" w:color="auto" w:fill="CCEEFF"/>
          </w:tcPr>
          <w:p>
            <w:pPr>
              <w:spacing w:after="0"/>
              <w:rPr>
                <w:sz w:val="14"/>
                <w:szCs w:val="14"/>
                <w:color w:val="auto"/>
              </w:rPr>
            </w:pPr>
          </w:p>
        </w:tc>
        <w:tc>
          <w:tcPr>
            <w:tcW w:w="2160" w:type="dxa"/>
            <w:vAlign w:val="bottom"/>
            <w:gridSpan w:val="3"/>
            <w:shd w:val="clear" w:color="auto" w:fill="CCEEFF"/>
          </w:tcPr>
          <w:p>
            <w:pPr>
              <w:ind w:left="320"/>
              <w:spacing w:after="0" w:line="162" w:lineRule="exact"/>
              <w:rPr>
                <w:sz w:val="20"/>
                <w:szCs w:val="20"/>
                <w:color w:val="auto"/>
              </w:rPr>
            </w:pPr>
            <w:r>
              <w:rPr>
                <w:rFonts w:ascii="Arial" w:cs="Arial" w:eastAsia="Arial" w:hAnsi="Arial"/>
                <w:sz w:val="16"/>
                <w:szCs w:val="16"/>
                <w:b w:val="1"/>
                <w:bCs w:val="1"/>
                <w:color w:val="auto"/>
              </w:rPr>
              <w:t>Paid-in Undenominated</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Earnings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b w:val="1"/>
                <w:bCs w:val="1"/>
                <w:color w:val="auto"/>
              </w:rPr>
              <w:t>Capital</w:t>
            </w:r>
          </w:p>
        </w:tc>
        <w:tc>
          <w:tcPr>
            <w:tcW w:w="42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Capital Comprehensive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(in thousands, except share data)</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80,756,860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7,020,231</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(229,929)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2,643,162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9,441,354</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160,812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160,812</w:t>
            </w:r>
          </w:p>
        </w:tc>
        <w:tc>
          <w:tcPr>
            <w:tcW w:w="0" w:type="dxa"/>
            <w:vAlign w:val="bottom"/>
          </w:tcPr>
          <w:p>
            <w:pPr>
              <w:spacing w:after="0"/>
              <w:rPr>
                <w:sz w:val="1"/>
                <w:szCs w:val="1"/>
                <w:color w:val="auto"/>
              </w:rPr>
            </w:pPr>
          </w:p>
        </w:tc>
      </w:tr>
      <w:tr>
        <w:trPr>
          <w:trHeight w:val="215"/>
        </w:trPr>
        <w:tc>
          <w:tcPr>
            <w:tcW w:w="298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59,158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59,158</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Movement on cash flow hedge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217,550</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4,762</w:t>
            </w: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27,046</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performance share units</w:t>
            </w: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12,359</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(1,360,537)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15"/>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repurchase costs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35"/>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79,464,252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7,037,344</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(173,191)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2,553,824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9,425,871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5" w:right="4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MONTHS ENDED MARCH 31, 2026 AND MARCH 31, 2025</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43"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020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6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68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900" w:type="dxa"/>
            <w:vAlign w:val="bottom"/>
            <w:shd w:val="clear" w:color="auto" w:fill="CCEEFF"/>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Arial" w:cs="Arial" w:eastAsia="Arial" w:hAnsi="Arial"/>
                <w:sz w:val="16"/>
                <w:szCs w:val="16"/>
                <w:b w:val="1"/>
                <w:bCs w:val="1"/>
                <w:color w:val="auto"/>
              </w:rPr>
              <w:t>Cash flows provided by operating activities:</w:t>
            </w: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104,751</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160,812</w:t>
            </w:r>
          </w:p>
        </w:tc>
      </w:tr>
      <w:tr>
        <w:trPr>
          <w:trHeight w:val="256"/>
        </w:trPr>
        <w:tc>
          <w:tcPr>
            <w:tcW w:w="6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90,331</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95,958</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8,980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9,384</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1,519</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1,480</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 expense</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27,574</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12,359</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Deferred tax benefit</w:t>
            </w:r>
          </w:p>
        </w:tc>
        <w:tc>
          <w:tcPr>
            <w:tcW w:w="1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(22,861)</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(25,014)</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foreign exchange movements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(13,076)</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18,081</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224</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8,240</w:t>
            </w:r>
          </w:p>
        </w:tc>
      </w:tr>
      <w:tr>
        <w:trPr>
          <w:trHeight w:val="217"/>
        </w:trPr>
        <w:tc>
          <w:tcPr>
            <w:tcW w:w="6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(3,188)</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Unbilled revenue</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6,766</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(66,376)</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Unearned revenue</w:t>
            </w:r>
          </w:p>
        </w:tc>
        <w:tc>
          <w:tcPr>
            <w:tcW w:w="1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(1,967)</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23,463</w:t>
            </w:r>
          </w:p>
        </w:tc>
      </w:tr>
      <w:tr>
        <w:trPr>
          <w:trHeight w:val="216"/>
        </w:trPr>
        <w:tc>
          <w:tcPr>
            <w:tcW w:w="6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 assets</w:t>
            </w:r>
          </w:p>
        </w:tc>
        <w:tc>
          <w:tcPr>
            <w:tcW w:w="1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(32,047)</w:t>
            </w: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29,372</w:t>
            </w:r>
          </w:p>
        </w:tc>
      </w:tr>
      <w:tr>
        <w:trPr>
          <w:trHeight w:val="209"/>
        </w:trPr>
        <w:tc>
          <w:tcPr>
            <w:tcW w:w="688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167,006</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268,240</w:t>
            </w:r>
          </w:p>
        </w:tc>
      </w:tr>
      <w:tr>
        <w:trPr>
          <w:trHeight w:val="257"/>
        </w:trPr>
        <w:tc>
          <w:tcPr>
            <w:tcW w:w="6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16"/>
        </w:trPr>
        <w:tc>
          <w:tcPr>
            <w:tcW w:w="6880" w:type="dxa"/>
            <w:vAlign w:val="bottom"/>
          </w:tcPr>
          <w:p>
            <w:pPr>
              <w:ind w:left="140"/>
              <w:spacing w:after="0"/>
              <w:rPr>
                <w:sz w:val="20"/>
                <w:szCs w:val="20"/>
                <w:color w:val="auto"/>
              </w:rPr>
            </w:pPr>
            <w:r>
              <w:rPr>
                <w:rFonts w:ascii="Arial" w:cs="Arial" w:eastAsia="Arial" w:hAnsi="Arial"/>
                <w:sz w:val="16"/>
                <w:szCs w:val="16"/>
                <w:b w:val="1"/>
                <w:bCs w:val="1"/>
                <w:color w:val="auto"/>
              </w:rPr>
              <w:t>Cash flows used in investing activities:</w:t>
            </w:r>
          </w:p>
        </w:tc>
        <w:tc>
          <w:tcPr>
            <w:tcW w:w="1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(30,771)</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(28,907)</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Purchase of subsidiary undertakings (net of cash acquired)</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investments in equity</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5"/>
        </w:trPr>
        <w:tc>
          <w:tcPr>
            <w:tcW w:w="6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Purchase of investments in equity</w:t>
            </w:r>
          </w:p>
        </w:tc>
        <w:tc>
          <w:tcPr>
            <w:tcW w:w="1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(8,930)</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(5,941)</w:t>
            </w:r>
          </w:p>
        </w:tc>
      </w:tr>
      <w:tr>
        <w:trPr>
          <w:trHeight w:val="210"/>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(39,438)</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(37,282)</w:t>
            </w:r>
          </w:p>
        </w:tc>
      </w:tr>
      <w:tr>
        <w:trPr>
          <w:trHeight w:val="257"/>
        </w:trPr>
        <w:tc>
          <w:tcPr>
            <w:tcW w:w="6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used in financing activities: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Drawdown of credit lines and loan facilities</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credit lines and loan facilities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(57,440)</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1,087</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4,763</w:t>
            </w:r>
          </w:p>
        </w:tc>
      </w:tr>
      <w:tr>
        <w:trPr>
          <w:trHeight w:val="217"/>
        </w:trPr>
        <w:tc>
          <w:tcPr>
            <w:tcW w:w="6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 issue costs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6880" w:type="dxa"/>
            <w:vAlign w:val="bottom"/>
          </w:tcPr>
          <w:p>
            <w:pPr>
              <w:ind w:left="220"/>
              <w:spacing w:after="0"/>
              <w:rPr>
                <w:sz w:val="20"/>
                <w:szCs w:val="20"/>
                <w:color w:val="auto"/>
              </w:rPr>
            </w:pPr>
            <w:r>
              <w:rPr>
                <w:rFonts w:ascii="Arial" w:cs="Arial" w:eastAsia="Arial" w:hAnsi="Arial"/>
                <w:sz w:val="16"/>
                <w:szCs w:val="16"/>
                <w:color w:val="auto"/>
              </w:rPr>
              <w:t>Repurchase of ordinary shares</w:t>
            </w:r>
          </w:p>
        </w:tc>
        <w:tc>
          <w:tcPr>
            <w:tcW w:w="1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6"/>
        </w:trPr>
        <w:tc>
          <w:tcPr>
            <w:tcW w:w="6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Share repurchase costs</w:t>
            </w:r>
          </w:p>
        </w:tc>
        <w:tc>
          <w:tcPr>
            <w:tcW w:w="1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6880" w:type="dxa"/>
            <w:vAlign w:val="bottom"/>
          </w:tcPr>
          <w:p>
            <w:pPr>
              <w:ind w:left="140"/>
              <w:spacing w:after="0"/>
              <w:rPr>
                <w:sz w:val="20"/>
                <w:szCs w:val="20"/>
                <w:color w:val="auto"/>
              </w:rPr>
            </w:pPr>
            <w:r>
              <w:rPr>
                <w:rFonts w:ascii="Arial" w:cs="Arial" w:eastAsia="Arial" w:hAnsi="Arial"/>
                <w:sz w:val="16"/>
                <w:szCs w:val="16"/>
                <w:color w:val="auto"/>
              </w:rPr>
              <w:t>Net cash used in financing activities</w:t>
            </w:r>
          </w:p>
        </w:tc>
        <w:tc>
          <w:tcPr>
            <w:tcW w:w="1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(6,358)</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(252,832)</w:t>
            </w:r>
          </w:p>
        </w:tc>
      </w:tr>
      <w:tr>
        <w:trPr>
          <w:trHeight w:val="257"/>
        </w:trPr>
        <w:tc>
          <w:tcPr>
            <w:tcW w:w="6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1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9,787</w:t>
            </w:r>
          </w:p>
        </w:tc>
      </w:tr>
      <w:tr>
        <w:trPr>
          <w:trHeight w:val="21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 (decrease) in cash and cash equivalents</w:t>
            </w:r>
          </w:p>
        </w:tc>
        <w:tc>
          <w:tcPr>
            <w:tcW w:w="1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117,869</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(12,087)</w:t>
            </w:r>
          </w:p>
        </w:tc>
      </w:tr>
      <w:tr>
        <w:trPr>
          <w:trHeight w:val="21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647,295</w:t>
            </w: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538,785</w:t>
            </w:r>
          </w:p>
        </w:tc>
      </w:tr>
      <w:tr>
        <w:trPr>
          <w:trHeight w:val="235"/>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765,164</w:t>
            </w:r>
          </w:p>
        </w:tc>
        <w:tc>
          <w:tcPr>
            <w:tcW w:w="6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526,698</w:t>
            </w:r>
          </w:p>
        </w:tc>
      </w:tr>
      <w:tr>
        <w:trPr>
          <w:trHeight w:val="20"/>
        </w:trPr>
        <w:tc>
          <w:tcPr>
            <w:tcW w:w="68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692" w:right="4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March 31, 2026</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Annual Report on Form 20-F for the year ended December 31, 2025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Operating results for the three months ended March 31, 2026 are not necessarily indicative of the results that may be expected for the fiscal period ending December 31, 2026.</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requires application of five steps: (1) identify the contract(s) with a customer;</w:t>
      </w:r>
    </w:p>
    <w:p>
      <w:pPr>
        <w:spacing w:after="0" w:line="21" w:lineRule="exact"/>
        <w:rPr>
          <w:sz w:val="20"/>
          <w:szCs w:val="20"/>
          <w:color w:val="auto"/>
        </w:rPr>
      </w:pPr>
    </w:p>
    <w:p>
      <w:pPr>
        <w:jc w:val="both"/>
        <w:ind w:firstLine="8"/>
        <w:spacing w:after="0" w:line="264" w:lineRule="auto"/>
        <w:tabs>
          <w:tab w:leader="none" w:pos="247" w:val="left"/>
        </w:tabs>
        <w:numPr>
          <w:ilvl w:val="0"/>
          <w:numId w:val="1"/>
        </w:numPr>
        <w:rPr>
          <w:rFonts w:ascii="Arial" w:cs="Arial" w:eastAsia="Arial" w:hAnsi="Arial"/>
          <w:sz w:val="16"/>
          <w:szCs w:val="16"/>
          <w:color w:val="auto"/>
        </w:rPr>
      </w:pPr>
      <w:r>
        <w:rPr>
          <w:rFonts w:ascii="Arial" w:cs="Arial" w:eastAsia="Arial" w:hAnsi="Arial"/>
          <w:sz w:val="16"/>
          <w:szCs w:val="16"/>
          <w:color w:val="auto"/>
        </w:rPr>
        <w:t>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Clinical trial service revenue</w:t>
      </w:r>
    </w:p>
    <w:p>
      <w:pPr>
        <w:spacing w:after="0" w:line="24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A clinical trial service is a single performance obligation satisfied over time. It represents the full-service obligation in respect of a clinical trial (including those services performed by investigators and other parties) and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Laboratory services revenue</w:t>
      </w:r>
    </w:p>
    <w:p>
      <w:pPr>
        <w:spacing w:after="0" w:line="2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is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Contracting services revenue</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 w:name="page11"/>
    <w:bookmarkEnd w:id="10"/>
    <w:p>
      <w:pPr>
        <w:ind w:left="660"/>
        <w:spacing w:after="0"/>
        <w:rPr>
          <w:sz w:val="20"/>
          <w:szCs w:val="20"/>
          <w:color w:val="auto"/>
        </w:rPr>
      </w:pPr>
      <w:r>
        <w:rPr>
          <w:rFonts w:ascii="Arial" w:cs="Arial" w:eastAsia="Arial" w:hAnsi="Arial"/>
          <w:sz w:val="16"/>
          <w:szCs w:val="16"/>
          <w:i w:val="1"/>
          <w:iCs w:val="1"/>
          <w:color w:val="auto"/>
        </w:rPr>
        <w:t>Consulting services revenue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Data services revenue</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appropriate measure of progress, generally time elapsed, to measure progress and transfer of control of the performance obligation to the customer. Expense reimbursements are recorded to revenue as the expenses are incurred as they relate directly to the service performed.</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Commissions</w:t>
      </w:r>
    </w:p>
    <w:p>
      <w:pPr>
        <w:spacing w:after="0" w:line="23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Sheets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straight-line basis over their estimated useful lives, as set forth in the table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Borders>
              <w:bottom w:val="single" w:sz="8" w:color="auto"/>
            </w:tcBorders>
            <w:shd w:val="clear" w:color="auto" w:fill="CCEEFF"/>
          </w:tcPr>
          <w:p>
            <w:pPr>
              <w:spacing w:after="0"/>
              <w:rPr>
                <w:sz w:val="18"/>
                <w:szCs w:val="18"/>
                <w:color w:val="auto"/>
              </w:rPr>
            </w:pPr>
          </w:p>
        </w:tc>
        <w:tc>
          <w:tcPr>
            <w:tcW w:w="5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9"/>
        </w:trPr>
        <w:tc>
          <w:tcPr>
            <w:tcW w:w="56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5600" w:type="dxa"/>
            <w:vAlign w:val="bottom"/>
          </w:tcPr>
          <w:p>
            <w:pPr>
              <w:jc w:val="right"/>
              <w:spacing w:after="0"/>
              <w:rPr>
                <w:sz w:val="20"/>
                <w:szCs w:val="20"/>
                <w:color w:val="auto"/>
              </w:rPr>
            </w:pPr>
            <w:r>
              <w:rPr>
                <w:rFonts w:ascii="Arial" w:cs="Arial" w:eastAsia="Arial" w:hAnsi="Arial"/>
                <w:sz w:val="16"/>
                <w:szCs w:val="16"/>
                <w:color w:val="auto"/>
              </w:rPr>
              <w:t>8 - 23 years</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5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3 - 5 years</w:t>
            </w:r>
          </w:p>
        </w:tc>
      </w:tr>
      <w:tr>
        <w:trPr>
          <w:trHeight w:val="21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5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periodically assesses the estimated useful lives of intangible assets to evaluate whether what was established at acquisition continues to be appropriate.</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Sheets. The Company accounts for the impact of Global Intangible Low-Taxed Income (“GILTI”) in the period it arises and has therefore not provided for deferred taxes in respect of this item.</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Arial" w:cs="Arial" w:eastAsia="Arial" w:hAnsi="Arial"/>
                <w:sz w:val="16"/>
                <w:szCs w:val="16"/>
                <w:b w:val="1"/>
                <w:bCs w:val="1"/>
                <w:color w:val="auto"/>
              </w:rPr>
              <w:t>3. Revenue</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8"/>
        </w:trPr>
        <w:tc>
          <w:tcPr>
            <w:tcW w:w="8180" w:type="dxa"/>
            <w:vAlign w:val="bottom"/>
          </w:tcPr>
          <w:p>
            <w:pPr>
              <w:ind w:left="660"/>
              <w:spacing w:after="0"/>
              <w:rPr>
                <w:sz w:val="20"/>
                <w:szCs w:val="20"/>
                <w:color w:val="auto"/>
              </w:rPr>
            </w:pPr>
            <w:r>
              <w:rPr>
                <w:rFonts w:ascii="Arial" w:cs="Arial" w:eastAsia="Arial" w:hAnsi="Arial"/>
                <w:sz w:val="16"/>
                <w:szCs w:val="16"/>
                <w:color w:val="auto"/>
              </w:rPr>
              <w:t>Revenue disaggregated by customer concentration is as follows: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0"/>
        </w:trPr>
        <w:tc>
          <w:tcPr>
            <w:tcW w:w="8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gridSpan w:val="3"/>
          </w:tcPr>
          <w:p>
            <w:pPr>
              <w:spacing w:after="0"/>
              <w:rPr>
                <w:sz w:val="9"/>
                <w:szCs w:val="9"/>
                <w:color w:val="auto"/>
              </w:rPr>
            </w:pPr>
          </w:p>
        </w:tc>
      </w:tr>
      <w:tr>
        <w:trPr>
          <w:trHeight w:val="216"/>
        </w:trPr>
        <w:tc>
          <w:tcPr>
            <w:tcW w:w="8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8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37"/>
        </w:trPr>
        <w:tc>
          <w:tcPr>
            <w:tcW w:w="81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Clients 1-5</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507,997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496,118</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310,359</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309,562</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469,397</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475,299</w:t>
            </w:r>
          </w:p>
        </w:tc>
      </w:tr>
      <w:tr>
        <w:trPr>
          <w:trHeight w:val="216"/>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746,246</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734,341</w:t>
            </w:r>
          </w:p>
        </w:tc>
      </w:tr>
      <w:tr>
        <w:trPr>
          <w:trHeight w:val="20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2,033,999</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2,015,320</w:t>
            </w:r>
          </w:p>
        </w:tc>
      </w:tr>
      <w:tr>
        <w:trPr>
          <w:trHeight w:val="21"/>
        </w:trPr>
        <w:tc>
          <w:tcPr>
            <w:tcW w:w="8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Accounts receivable, unbilled revenue (contract assets) and unearned revenue or payments on account (contract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receivables and unbilled revenue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March 31,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440" w:type="dxa"/>
            <w:vAlign w:val="bottom"/>
            <w:tcBorders>
              <w:bottom w:val="single" w:sz="8" w:color="auto"/>
            </w:tcBorders>
            <w:shd w:val="clear" w:color="auto" w:fill="CCEEFF"/>
          </w:tcPr>
          <w:p>
            <w:pPr>
              <w:spacing w:after="0"/>
              <w:rPr>
                <w:sz w:val="18"/>
                <w:szCs w:val="18"/>
                <w:color w:val="auto"/>
              </w:rPr>
            </w:pPr>
          </w:p>
        </w:tc>
        <w:tc>
          <w:tcPr>
            <w:tcW w:w="4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r>
      <w:tr>
        <w:trPr>
          <w:trHeight w:val="210"/>
        </w:trPr>
        <w:tc>
          <w:tcPr>
            <w:tcW w:w="44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62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(Billed services)</w:t>
            </w:r>
          </w:p>
        </w:tc>
        <w:tc>
          <w:tcPr>
            <w:tcW w:w="4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1,512,822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1,517,217</w:t>
            </w:r>
          </w:p>
        </w:tc>
      </w:tr>
      <w:tr>
        <w:trPr>
          <w:trHeight w:val="215"/>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credit losses</w:t>
            </w:r>
          </w:p>
        </w:tc>
        <w:tc>
          <w:tcPr>
            <w:tcW w:w="4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(41,518)</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(42,319)</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1,471,304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1,474,898</w:t>
            </w:r>
          </w:p>
        </w:tc>
      </w:tr>
      <w:tr>
        <w:trPr>
          <w:trHeight w:val="215"/>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Unbilled revenue (Unbilled services)</w:t>
            </w:r>
          </w:p>
        </w:tc>
        <w:tc>
          <w:tcPr>
            <w:tcW w:w="4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1,090,950</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1,096,592</w:t>
            </w:r>
          </w:p>
        </w:tc>
      </w:tr>
      <w:tr>
        <w:trPr>
          <w:trHeight w:val="235"/>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 net</w:t>
            </w:r>
          </w:p>
        </w:tc>
        <w:tc>
          <w:tcPr>
            <w:tcW w:w="4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2,562,254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2,571,490</w:t>
            </w: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37"/>
        </w:trPr>
        <w:tc>
          <w:tcPr>
            <w:tcW w:w="4440" w:type="dxa"/>
            <w:vAlign w:val="bottom"/>
          </w:tcPr>
          <w:p>
            <w:pPr>
              <w:spacing w:after="0"/>
              <w:rPr>
                <w:sz w:val="24"/>
                <w:szCs w:val="24"/>
                <w:color w:val="auto"/>
              </w:rPr>
            </w:pPr>
          </w:p>
        </w:tc>
        <w:tc>
          <w:tcPr>
            <w:tcW w:w="4180" w:type="dxa"/>
            <w:vAlign w:val="bottom"/>
          </w:tcPr>
          <w:p>
            <w:pPr>
              <w:jc w:val="right"/>
              <w:ind w:right="2839"/>
              <w:spacing w:after="0"/>
              <w:rPr>
                <w:sz w:val="20"/>
                <w:szCs w:val="20"/>
                <w:color w:val="auto"/>
              </w:rPr>
            </w:pPr>
            <w:r>
              <w:rPr>
                <w:rFonts w:ascii="Arial" w:cs="Arial" w:eastAsia="Arial" w:hAnsi="Arial"/>
                <w:sz w:val="16"/>
                <w:szCs w:val="16"/>
                <w:color w:val="auto"/>
              </w:rPr>
              <w:t>11</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7"/>
        </w:trPr>
        <w:tc>
          <w:tcPr>
            <w:tcW w:w="44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March 31,</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 Change</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4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(in thousands, except percentages)</w:t>
            </w:r>
          </w:p>
        </w:tc>
        <w:tc>
          <w:tcPr>
            <w:tcW w:w="1420" w:type="dxa"/>
            <w:vAlign w:val="bottom"/>
          </w:tcPr>
          <w:p>
            <w:pPr>
              <w:spacing w:after="0"/>
              <w:rPr>
                <w:sz w:val="18"/>
                <w:szCs w:val="18"/>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 (Unbilled services)</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1,090,950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1,096,592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(5,642)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Unearned revenue (Payments on account)</w:t>
            </w:r>
          </w:p>
        </w:tc>
        <w:tc>
          <w:tcPr>
            <w:tcW w:w="1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(1,547,527)</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(1,550,471)</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2,944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bl>
    <w:p>
      <w:pPr>
        <w:spacing w:after="0" w:line="2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Condensed Consolidated Balance Sheet.</w:t>
      </w:r>
    </w:p>
    <w:p>
      <w:pPr>
        <w:spacing w:after="0" w:line="19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Unbilled services as at March 31, 2026 decreased by $5.6 million compared to December 31, 2025. Unearned revenue decreased by $2.9 million compared to December 31, 2025. These fluctuations are primarily due to the timing of payments and invoicing related to the Company's clinical trial management contracts. Billings and payments are established by contractual provisions on the delivery of units/milestones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4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March 31, 2026, approximately $15.0 billion (December 31, 2025, $14.9 billion) of revenue is expected to be recognized in the future in respect of unsatisfied performance obligations. The Company expects to recognize revenue on approximately 48% of the unsatisfied performance obligations over the next 12 months (December 31, 2025: 48%), with the remainder expected to be recognized thereafter over the duration of the customer contracts.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the carrying amount of goodwill between December 31, 2025 and March 31, 2026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r>
      <w:tr>
        <w:trPr>
          <w:trHeight w:val="216"/>
        </w:trPr>
        <w:tc>
          <w:tcPr>
            <w:tcW w:w="8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r>
      <w:tr>
        <w:trPr>
          <w:trHeight w:val="155"/>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10"/>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8,731,689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9,051,410</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period acquisition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(364,248)</w:t>
            </w:r>
          </w:p>
        </w:tc>
      </w:tr>
      <w:tr>
        <w:trPr>
          <w:trHeight w:val="21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39,418</w:t>
            </w:r>
          </w:p>
        </w:tc>
      </w:tr>
      <w:tr>
        <w:trPr>
          <w:trHeight w:val="210"/>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Closing balance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8,725,780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8,731,689</w:t>
            </w: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There were no impairment charges during the three months ended March 31, 2026 (during the year ended December 31, 2025: $364.2 million related to the Company's Data Solutions reporting unit).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6. Intangible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intangible assets as of March 31, 2026 and December 31, 2025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March 31,</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60" w:type="dxa"/>
            <w:vAlign w:val="bottom"/>
            <w:tcBorders>
              <w:bottom w:val="single" w:sz="8" w:color="auto"/>
            </w:tcBorders>
            <w:shd w:val="clear" w:color="auto" w:fill="CCEEFF"/>
          </w:tcPr>
          <w:p>
            <w:pPr>
              <w:spacing w:after="0"/>
              <w:rPr>
                <w:sz w:val="18"/>
                <w:szCs w:val="18"/>
                <w:color w:val="auto"/>
              </w:rPr>
            </w:pPr>
          </w:p>
        </w:tc>
        <w:tc>
          <w:tcPr>
            <w:tcW w:w="3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5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4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4,133,727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4,134,478</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545,727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546,054</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3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204,700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204,721</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170,484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170,511</w:t>
            </w:r>
          </w:p>
        </w:tc>
      </w:tr>
      <w:tr>
        <w:trPr>
          <w:trHeight w:val="21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3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151,582</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151,754</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5,206,220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5,207,518</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3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(2,009,516)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(1,873,663)</w:t>
            </w:r>
          </w:p>
        </w:tc>
      </w:tr>
      <w:tr>
        <w:trPr>
          <w:trHeight w:val="216"/>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Impairment</w:t>
            </w:r>
          </w:p>
        </w:tc>
        <w:tc>
          <w:tcPr>
            <w:tcW w:w="3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(86,737)</w:t>
            </w:r>
          </w:p>
        </w:tc>
      </w:tr>
      <w:tr>
        <w:trPr>
          <w:trHeight w:val="20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book value</w:t>
            </w:r>
          </w:p>
        </w:tc>
        <w:tc>
          <w:tcPr>
            <w:tcW w:w="3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3,196,704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3,247,118</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the three months ended March 31, 2026, the amortization expense recognized by the Company was $50.3 million (three months ended March 31, 2025: $58.9 million).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additions to intangible assets during the three months ended March 31, 2026.</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 measurements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1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1"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83"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8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and accounts payable approximate fair value due to the short maturities of these instruments.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2026, the fair value of the major classes of the Company's assets and liabilities measured at fair value on a recurring basis were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shd w:val="clear" w:color="auto" w:fill="CCEEFF"/>
          </w:tcPr>
          <w:p>
            <w:pPr>
              <w:ind w:left="5360"/>
              <w:spacing w:after="0"/>
              <w:rPr>
                <w:sz w:val="20"/>
                <w:szCs w:val="20"/>
                <w:color w:val="auto"/>
              </w:rPr>
            </w:pPr>
            <w:r>
              <w:rPr>
                <w:rFonts w:ascii="Arial" w:cs="Arial" w:eastAsia="Arial" w:hAnsi="Arial"/>
                <w:sz w:val="16"/>
                <w:szCs w:val="16"/>
                <w:b w:val="1"/>
                <w:bCs w:val="1"/>
                <w:color w:val="auto"/>
              </w:rPr>
              <w:t>Level 1</w:t>
            </w:r>
          </w:p>
        </w:tc>
        <w:tc>
          <w:tcPr>
            <w:tcW w:w="13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Level 2</w:t>
            </w:r>
          </w:p>
        </w:tc>
        <w:tc>
          <w:tcPr>
            <w:tcW w:w="9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Level 3</w:t>
            </w: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Investments</w:t>
            </w:r>
          </w:p>
        </w:tc>
        <w:tc>
          <w:tcPr>
            <w:tcW w:w="8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9"/>
              </w:rPr>
              <w:t>Total</w:t>
            </w:r>
          </w:p>
        </w:tc>
      </w:tr>
      <w:tr>
        <w:trPr>
          <w:trHeight w:val="162"/>
        </w:trPr>
        <w:tc>
          <w:tcPr>
            <w:tcW w:w="6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Measured at Net</w:t>
            </w:r>
          </w:p>
        </w:tc>
        <w:tc>
          <w:tcPr>
            <w:tcW w:w="880" w:type="dxa"/>
            <w:vAlign w:val="bottom"/>
            <w:shd w:val="clear" w:color="auto" w:fill="CCEEFF"/>
          </w:tcPr>
          <w:p>
            <w:pPr>
              <w:spacing w:after="0"/>
              <w:rPr>
                <w:sz w:val="14"/>
                <w:szCs w:val="14"/>
                <w:color w:val="auto"/>
              </w:rPr>
            </w:pPr>
          </w:p>
        </w:tc>
      </w:tr>
      <w:tr>
        <w:trPr>
          <w:trHeight w:val="216"/>
        </w:trPr>
        <w:tc>
          <w:tcPr>
            <w:tcW w:w="6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Asset Value</w:t>
            </w:r>
          </w:p>
        </w:tc>
        <w:tc>
          <w:tcPr>
            <w:tcW w:w="880" w:type="dxa"/>
            <w:vAlign w:val="bottom"/>
            <w:tcBorders>
              <w:bottom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Investments in equity</w:t>
            </w:r>
            <w:r>
              <w:rPr>
                <w:rFonts w:ascii="Arial" w:cs="Arial" w:eastAsia="Arial" w:hAnsi="Arial"/>
                <w:sz w:val="21"/>
                <w:szCs w:val="21"/>
                <w:color w:val="auto"/>
                <w:vertAlign w:val="superscript"/>
              </w:rPr>
              <w:t>1</w:t>
            </w:r>
          </w:p>
        </w:tc>
        <w:tc>
          <w:tcPr>
            <w:tcW w:w="2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94,466</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94,466</w:t>
            </w:r>
          </w:p>
        </w:tc>
      </w:tr>
      <w:tr>
        <w:trPr>
          <w:trHeight w:val="234"/>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94,466</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94,466</w:t>
            </w: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3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0" w:type="dxa"/>
            <w:vAlign w:val="bottom"/>
          </w:tcPr>
          <w:p>
            <w:pPr>
              <w:jc w:val="right"/>
              <w:ind w:right="719"/>
              <w:spacing w:after="0"/>
              <w:rPr>
                <w:sz w:val="20"/>
                <w:szCs w:val="20"/>
                <w:color w:val="auto"/>
              </w:rPr>
            </w:pPr>
            <w:r>
              <w:rPr>
                <w:rFonts w:ascii="Arial" w:cs="Arial" w:eastAsia="Arial" w:hAnsi="Arial"/>
                <w:sz w:val="16"/>
                <w:szCs w:val="16"/>
                <w:color w:val="auto"/>
              </w:rPr>
              <w:t>13</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3"/>
        </w:trPr>
        <w:tc>
          <w:tcPr>
            <w:tcW w:w="31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firstLine="648"/>
        <w:spacing w:after="0" w:line="286" w:lineRule="auto"/>
        <w:rPr>
          <w:sz w:val="20"/>
          <w:szCs w:val="20"/>
          <w:color w:val="auto"/>
        </w:rPr>
      </w:pPr>
      <w:r>
        <w:rPr>
          <w:rFonts w:ascii="Arial" w:cs="Arial" w:eastAsia="Arial" w:hAnsi="Arial"/>
          <w:sz w:val="16"/>
          <w:szCs w:val="16"/>
          <w:color w:val="auto"/>
        </w:rPr>
        <w:t>As of December 31, 2025, the fair value of the major classes of the Company's assets and liabilities measured at fair value on a recurring basis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shd w:val="clear" w:color="auto" w:fill="CCEEFF"/>
          </w:tcPr>
          <w:p>
            <w:pPr>
              <w:ind w:left="5300"/>
              <w:spacing w:after="0"/>
              <w:rPr>
                <w:sz w:val="20"/>
                <w:szCs w:val="20"/>
                <w:color w:val="auto"/>
              </w:rPr>
            </w:pPr>
            <w:r>
              <w:rPr>
                <w:rFonts w:ascii="Arial" w:cs="Arial" w:eastAsia="Arial" w:hAnsi="Arial"/>
                <w:sz w:val="16"/>
                <w:szCs w:val="16"/>
                <w:b w:val="1"/>
                <w:bCs w:val="1"/>
                <w:color w:val="auto"/>
              </w:rPr>
              <w:t>Level 1</w:t>
            </w:r>
          </w:p>
        </w:tc>
        <w:tc>
          <w:tcPr>
            <w:tcW w:w="13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Level 2</w:t>
            </w:r>
          </w:p>
        </w:tc>
        <w:tc>
          <w:tcPr>
            <w:tcW w:w="9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Level 3</w:t>
            </w:r>
          </w:p>
        </w:tc>
        <w:tc>
          <w:tcPr>
            <w:tcW w:w="17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Investments</w:t>
            </w:r>
          </w:p>
        </w:tc>
        <w:tc>
          <w:tcPr>
            <w:tcW w:w="86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4"/>
              </w:rPr>
              <w:t>Total</w:t>
            </w:r>
          </w:p>
        </w:tc>
      </w:tr>
      <w:tr>
        <w:trPr>
          <w:trHeight w:val="162"/>
        </w:trPr>
        <w:tc>
          <w:tcPr>
            <w:tcW w:w="6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Measured at Net</w:t>
            </w:r>
          </w:p>
        </w:tc>
        <w:tc>
          <w:tcPr>
            <w:tcW w:w="860" w:type="dxa"/>
            <w:vAlign w:val="bottom"/>
            <w:shd w:val="clear" w:color="auto" w:fill="CCEEFF"/>
          </w:tcPr>
          <w:p>
            <w:pPr>
              <w:spacing w:after="0"/>
              <w:rPr>
                <w:sz w:val="14"/>
                <w:szCs w:val="14"/>
                <w:color w:val="auto"/>
              </w:rPr>
            </w:pPr>
          </w:p>
        </w:tc>
      </w:tr>
      <w:tr>
        <w:trPr>
          <w:trHeight w:val="216"/>
        </w:trPr>
        <w:tc>
          <w:tcPr>
            <w:tcW w:w="6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Asset Value</w:t>
            </w:r>
          </w:p>
        </w:tc>
        <w:tc>
          <w:tcPr>
            <w:tcW w:w="860" w:type="dxa"/>
            <w:vAlign w:val="bottom"/>
            <w:tcBorders>
              <w:bottom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Investments in equity</w:t>
            </w:r>
            <w:r>
              <w:rPr>
                <w:rFonts w:ascii="Arial" w:cs="Arial" w:eastAsia="Arial" w:hAnsi="Arial"/>
                <w:sz w:val="21"/>
                <w:szCs w:val="21"/>
                <w:color w:val="auto"/>
                <w:vertAlign w:val="superscript"/>
              </w:rPr>
              <w:t>1</w:t>
            </w:r>
          </w:p>
        </w:tc>
        <w:tc>
          <w:tcPr>
            <w:tcW w:w="2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79,550</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79,550</w:t>
            </w:r>
          </w:p>
        </w:tc>
      </w:tr>
      <w:tr>
        <w:trPr>
          <w:trHeight w:val="234"/>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79,550</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79,550</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Any increases or decreases in fair value are recognized in net income in the period. As at March 31, 2026 investments in equity excludes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investments in equity securities recorded at cost, net of impairment of $2.5 million </w:t>
      </w:r>
      <w:r>
        <w:rPr>
          <w:rFonts w:ascii="Times New Roman" w:cs="Times New Roman" w:eastAsia="Times New Roman" w:hAnsi="Times New Roman"/>
          <w:sz w:val="17"/>
          <w:szCs w:val="17"/>
          <w:color w:val="auto"/>
        </w:rPr>
        <w:t>(</w:t>
      </w:r>
      <w:r>
        <w:rPr>
          <w:rFonts w:ascii="Arial" w:cs="Arial" w:eastAsia="Arial" w:hAnsi="Arial"/>
          <w:sz w:val="16"/>
          <w:szCs w:val="16"/>
          <w:color w:val="auto"/>
        </w:rPr>
        <w:t>December 31, 2025: $2.5 million) which do not qualify for the NAV practical expedient.</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Sheets at cost and are not re-measured to fair value on a recurring basis. These assets include finite-lived intangible assets that are tested for impairment when a triggering event occurs and goodwill that is tested for impairment annually or when a triggering event occurs. As at March 31, 2026, assets carried on the Condensed Consolidated Balance Sheets which are not re-measured to fair value on a recurring basis totaled $11,925.0 million (December 31, 2025: $11,981.3 million). These assets are comprised of goodwill of $8,725.8 million (December 31, 2025: $8,731.7 million), intangible assets of $3,196.7 million (December 31, 2025: $3,247.1 million) and investments in equity recorded at cost, net of impairment of $2.5 million (December 31, 2025: $2.5 million</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estimated fair value of the Company’s debt was $3,432.1 million at March 31, 2026 (December 31, 2025: $3,500.1 million). The fair values of the senior secured term loan facility, the 2026 Notes and the New Notes (as defined in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were determined based on rates at which the debt is traded among financial institutions.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8. Restructuring</w:t>
      </w:r>
    </w:p>
    <w:p>
      <w:pPr>
        <w:spacing w:after="0" w:line="248"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In the three months ended March 31, 2026, a $10.1 million restructuring charge (March 31, 2025: $39.3 million) was recorded in the Condensed Consolidated Statement of Operations under a restructuring plan reflecting a workforce reduction.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8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8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(in thousands)</w:t>
            </w:r>
          </w:p>
        </w:tc>
        <w:tc>
          <w:tcPr>
            <w:tcW w:w="860" w:type="dxa"/>
            <w:vAlign w:val="bottom"/>
            <w:shd w:val="clear" w:color="auto" w:fill="CCEEFF"/>
          </w:tcPr>
          <w:p>
            <w:pPr>
              <w:spacing w:after="0"/>
              <w:rPr>
                <w:sz w:val="18"/>
                <w:szCs w:val="18"/>
                <w:color w:val="auto"/>
              </w:rPr>
            </w:pPr>
          </w:p>
        </w:tc>
      </w:tr>
      <w:tr>
        <w:trPr>
          <w:trHeight w:val="21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10,076</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39,346</w:t>
            </w:r>
          </w:p>
        </w:tc>
      </w:tr>
      <w:tr>
        <w:trPr>
          <w:trHeight w:val="235"/>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10,076</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39,346</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At March 31, 2026, a total liability of $15.1 million (December 31, 2025: $12.5 million) was recorded on the Condensed Consolidated Balance Sheet relating to restructuring activities.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156"/>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216"/>
        </w:trPr>
        <w:tc>
          <w:tcPr>
            <w:tcW w:w="8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Opening provision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680"/>
              <w:spacing w:after="0"/>
              <w:rPr>
                <w:sz w:val="20"/>
                <w:szCs w:val="20"/>
                <w:color w:val="auto"/>
              </w:rPr>
            </w:pPr>
            <w:r>
              <w:rPr>
                <w:rFonts w:ascii="Arial" w:cs="Arial" w:eastAsia="Arial" w:hAnsi="Arial"/>
                <w:sz w:val="16"/>
                <w:szCs w:val="16"/>
                <w:color w:val="auto"/>
              </w:rPr>
              <w:t>12,525</w:t>
            </w: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center"/>
              <w:ind w:left="79"/>
              <w:spacing w:after="0"/>
              <w:rPr>
                <w:sz w:val="20"/>
                <w:szCs w:val="20"/>
                <w:color w:val="auto"/>
              </w:rPr>
            </w:pPr>
            <w:r>
              <w:rPr>
                <w:rFonts w:ascii="Arial" w:cs="Arial" w:eastAsia="Arial" w:hAnsi="Arial"/>
                <w:sz w:val="16"/>
                <w:szCs w:val="16"/>
                <w:color w:val="auto"/>
                <w:w w:val="98"/>
              </w:rPr>
              <w:t>31,474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 during the period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10,076</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8"/>
              </w:rPr>
              <w:t>75,386</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(7,512)</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(94,335)</w:t>
            </w:r>
          </w:p>
        </w:tc>
        <w:tc>
          <w:tcPr>
            <w:tcW w:w="0" w:type="dxa"/>
            <w:vAlign w:val="bottom"/>
          </w:tcPr>
          <w:p>
            <w:pPr>
              <w:spacing w:after="0"/>
              <w:rPr>
                <w:sz w:val="1"/>
                <w:szCs w:val="1"/>
                <w:color w:val="auto"/>
              </w:rPr>
            </w:pPr>
          </w:p>
        </w:tc>
      </w:tr>
      <w:tr>
        <w:trPr>
          <w:trHeight w:val="23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provision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15,089</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8"/>
              </w:rPr>
              <w:t>12,525</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closing provision as at March 31, 2026 of $15.1 million (December 31, 2025: $12.5 million) reflects:</w:t>
      </w:r>
    </w:p>
    <w:p>
      <w:pPr>
        <w:spacing w:after="0" w:line="100" w:lineRule="exact"/>
        <w:rPr>
          <w:sz w:val="20"/>
          <w:szCs w:val="20"/>
          <w:color w:val="auto"/>
        </w:rPr>
      </w:pPr>
    </w:p>
    <w:p>
      <w:pPr>
        <w:ind w:right="20" w:firstLine="656"/>
        <w:spacing w:after="0" w:line="286" w:lineRule="auto"/>
        <w:tabs>
          <w:tab w:leader="none" w:pos="904" w:val="left"/>
        </w:tabs>
        <w:numPr>
          <w:ilvl w:val="0"/>
          <w:numId w:val="3"/>
        </w:numPr>
        <w:rPr>
          <w:rFonts w:ascii="Arial" w:cs="Arial" w:eastAsia="Arial" w:hAnsi="Arial"/>
          <w:sz w:val="16"/>
          <w:szCs w:val="16"/>
          <w:color w:val="auto"/>
        </w:rPr>
      </w:pPr>
      <w:r>
        <w:rPr>
          <w:rFonts w:ascii="Arial" w:cs="Arial" w:eastAsia="Arial" w:hAnsi="Arial"/>
          <w:sz w:val="16"/>
          <w:szCs w:val="16"/>
          <w:color w:val="auto"/>
        </w:rPr>
        <w:t>$12.0 million (December 31, 2025: $9.1 million) of personnel related liabilities as a result of the workforce reduction; all of which have been classified as short-term within Other Liabilities, and</w:t>
      </w:r>
    </w:p>
    <w:p>
      <w:pPr>
        <w:spacing w:after="0" w:line="47" w:lineRule="exact"/>
        <w:rPr>
          <w:rFonts w:ascii="Arial" w:cs="Arial" w:eastAsia="Arial" w:hAnsi="Arial"/>
          <w:sz w:val="16"/>
          <w:szCs w:val="16"/>
          <w:color w:val="auto"/>
        </w:rPr>
      </w:pPr>
    </w:p>
    <w:p>
      <w:pPr>
        <w:ind w:firstLine="656"/>
        <w:spacing w:after="0" w:line="321" w:lineRule="auto"/>
        <w:tabs>
          <w:tab w:leader="none" w:pos="902" w:val="left"/>
        </w:tabs>
        <w:numPr>
          <w:ilvl w:val="0"/>
          <w:numId w:val="3"/>
        </w:numPr>
        <w:rPr>
          <w:rFonts w:ascii="Arial" w:cs="Arial" w:eastAsia="Arial" w:hAnsi="Arial"/>
          <w:sz w:val="16"/>
          <w:szCs w:val="16"/>
          <w:color w:val="auto"/>
        </w:rPr>
      </w:pPr>
      <w:r>
        <w:rPr>
          <w:rFonts w:ascii="Arial" w:cs="Arial" w:eastAsia="Arial" w:hAnsi="Arial"/>
          <w:sz w:val="16"/>
          <w:szCs w:val="16"/>
          <w:color w:val="auto"/>
        </w:rPr>
        <w:t>$3.1 million (December 31, 2025: $3.4 million) of facilities related liabilities of which $1.2 million (December 31, 2025: $1.3 million) is included within Other Liabilities and $1.9 million (December 31, 2025: $2.1 million) is included within Non-Current Other Liabilities.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9. Operating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20" w:type="dxa"/>
            <w:vAlign w:val="bottom"/>
            <w:gridSpan w:val="3"/>
          </w:tcPr>
          <w:p>
            <w:pPr>
              <w:ind w:left="660"/>
              <w:spacing w:after="0"/>
              <w:rPr>
                <w:sz w:val="20"/>
                <w:szCs w:val="20"/>
                <w:color w:val="auto"/>
              </w:rPr>
            </w:pPr>
            <w:r>
              <w:rPr>
                <w:rFonts w:ascii="Arial" w:cs="Arial" w:eastAsia="Arial" w:hAnsi="Arial"/>
                <w:sz w:val="16"/>
                <w:szCs w:val="16"/>
                <w:color w:val="auto"/>
              </w:rPr>
              <w:t>Lease costs recorded under operating leases for three months ended March 31, 2026 and March 31, 2025 were as follows: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2"/>
        </w:trPr>
        <w:tc>
          <w:tcPr>
            <w:tcW w:w="8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20" w:type="dxa"/>
            <w:vAlign w:val="bottom"/>
            <w:gridSpan w:val="3"/>
          </w:tcPr>
          <w:p>
            <w:pPr>
              <w:spacing w:after="0"/>
              <w:rPr>
                <w:sz w:val="23"/>
                <w:szCs w:val="23"/>
                <w:color w:val="auto"/>
              </w:rPr>
            </w:pPr>
          </w:p>
        </w:tc>
      </w:tr>
      <w:tr>
        <w:trPr>
          <w:trHeight w:val="216"/>
        </w:trPr>
        <w:tc>
          <w:tcPr>
            <w:tcW w:w="8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8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8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(in thousands)</w:t>
            </w:r>
          </w:p>
        </w:tc>
        <w:tc>
          <w:tcPr>
            <w:tcW w:w="860" w:type="dxa"/>
            <w:vAlign w:val="bottom"/>
            <w:shd w:val="clear" w:color="auto" w:fill="CCEEFF"/>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540"/>
              <w:spacing w:after="0"/>
              <w:rPr>
                <w:sz w:val="20"/>
                <w:szCs w:val="20"/>
                <w:color w:val="auto"/>
              </w:rPr>
            </w:pPr>
            <w:r>
              <w:rPr>
                <w:rFonts w:ascii="Arial" w:cs="Arial" w:eastAsia="Arial" w:hAnsi="Arial"/>
                <w:sz w:val="16"/>
                <w:szCs w:val="16"/>
                <w:color w:val="auto"/>
              </w:rPr>
              <w:t>10,780</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11,199</w:t>
            </w:r>
          </w:p>
        </w:tc>
      </w:tr>
      <w:tr>
        <w:trPr>
          <w:trHeight w:val="21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10"/>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10,401</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10,431</w:t>
            </w: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$10.4 million incurred in the three months ended March 31, 2026 (March 31, 2025: $10.4 million), $8.7 million (March 31, 2025: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$8.9 million) is recorded within selling, general and administration costs and $1.7 million (March 31, 2025: $1.5 million) is recorded within direct costs.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2026 and March 31, 2025, costs incurred by the Group related to variable lease payments were de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minimis.</w:t>
      </w:r>
    </w:p>
    <w:p>
      <w:pPr>
        <w:spacing w:after="0" w:line="23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Right-of-use assets obtained, in exchange for lease obligations during the three months ended March 31, 2026, totaled $5.0 million (March 31, 2025: $7.0 million).</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weighted average remaining lease term and weighted-average discount rate at March 31, 2026 were 5.73 years and 3.84%, respectively. The weighted average remaining lease term and weighted-average discount rate at December 31, 2025 were 5.96 years and 4.04%,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March 31, 2026 were as follows:</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0"/>
        </w:trPr>
        <w:tc>
          <w:tcPr>
            <w:tcW w:w="8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88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Year 1</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40,077</w:t>
            </w:r>
          </w:p>
        </w:tc>
      </w:tr>
      <w:tr>
        <w:trPr>
          <w:trHeight w:val="217"/>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2</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35,506</w:t>
            </w:r>
          </w:p>
        </w:tc>
      </w:tr>
      <w:tr>
        <w:trPr>
          <w:trHeight w:val="215"/>
        </w:trPr>
        <w:tc>
          <w:tcPr>
            <w:tcW w:w="8840" w:type="dxa"/>
            <w:vAlign w:val="bottom"/>
          </w:tcPr>
          <w:p>
            <w:pPr>
              <w:ind w:left="20"/>
              <w:spacing w:after="0"/>
              <w:rPr>
                <w:sz w:val="20"/>
                <w:szCs w:val="20"/>
                <w:color w:val="auto"/>
              </w:rPr>
            </w:pPr>
            <w:r>
              <w:rPr>
                <w:rFonts w:ascii="Arial" w:cs="Arial" w:eastAsia="Arial" w:hAnsi="Arial"/>
                <w:sz w:val="16"/>
                <w:szCs w:val="16"/>
                <w:color w:val="auto"/>
              </w:rPr>
              <w:t>Year 3</w:t>
            </w:r>
          </w:p>
        </w:tc>
        <w:tc>
          <w:tcPr>
            <w:tcW w:w="1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26,223</w:t>
            </w:r>
          </w:p>
        </w:tc>
      </w:tr>
      <w:tr>
        <w:trPr>
          <w:trHeight w:val="217"/>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4</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19,239</w:t>
            </w:r>
          </w:p>
        </w:tc>
      </w:tr>
      <w:tr>
        <w:trPr>
          <w:trHeight w:val="215"/>
        </w:trPr>
        <w:tc>
          <w:tcPr>
            <w:tcW w:w="8840" w:type="dxa"/>
            <w:vAlign w:val="bottom"/>
          </w:tcPr>
          <w:p>
            <w:pPr>
              <w:ind w:left="20"/>
              <w:spacing w:after="0"/>
              <w:rPr>
                <w:sz w:val="20"/>
                <w:szCs w:val="20"/>
                <w:color w:val="auto"/>
              </w:rPr>
            </w:pPr>
            <w:r>
              <w:rPr>
                <w:rFonts w:ascii="Arial" w:cs="Arial" w:eastAsia="Arial" w:hAnsi="Arial"/>
                <w:sz w:val="16"/>
                <w:szCs w:val="16"/>
                <w:color w:val="auto"/>
              </w:rPr>
              <w:t>Year 5</w:t>
            </w:r>
          </w:p>
        </w:tc>
        <w:tc>
          <w:tcPr>
            <w:tcW w:w="1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10,721</w:t>
            </w:r>
          </w:p>
        </w:tc>
      </w:tr>
      <w:tr>
        <w:trPr>
          <w:trHeight w:val="216"/>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30,662</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Total future minimum lease payments</w:t>
            </w:r>
          </w:p>
        </w:tc>
        <w:tc>
          <w:tcPr>
            <w:tcW w:w="1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162,428</w:t>
            </w:r>
          </w:p>
        </w:tc>
      </w:tr>
      <w:tr>
        <w:trPr>
          <w:trHeight w:val="216"/>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imputed interest</w:t>
            </w:r>
          </w:p>
        </w:tc>
        <w:tc>
          <w:tcPr>
            <w:tcW w:w="1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(15,899)</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146,529</w:t>
            </w:r>
          </w:p>
        </w:tc>
      </w:tr>
      <w:tr>
        <w:trPr>
          <w:trHeight w:val="21"/>
        </w:trPr>
        <w:tc>
          <w:tcPr>
            <w:tcW w:w="8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Operating lease liabilities are presented as current and non-current. As at March 31, 2026, operating lease liabilities of $35.2 million have been included in Other liabilities (December 31, 2025: $36.3 million) and $111.3 million have been classified as Non-Current Lease Liabilities (December 31, 2025: $117.1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6"/>
                <w:szCs w:val="16"/>
                <w:b w:val="1"/>
                <w:bCs w:val="1"/>
                <w:color w:val="auto"/>
              </w:rPr>
              <w:t>10. Bank credit lines, loan facilities and notes</w:t>
            </w: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4"/>
        </w:trPr>
        <w:tc>
          <w:tcPr>
            <w:tcW w:w="8700" w:type="dxa"/>
            <w:vAlign w:val="bottom"/>
            <w:gridSpan w:val="4"/>
          </w:tcPr>
          <w:p>
            <w:pPr>
              <w:ind w:left="660"/>
              <w:spacing w:after="0"/>
              <w:rPr>
                <w:sz w:val="20"/>
                <w:szCs w:val="20"/>
                <w:color w:val="auto"/>
              </w:rPr>
            </w:pPr>
            <w:r>
              <w:rPr>
                <w:rFonts w:ascii="Arial" w:cs="Arial" w:eastAsia="Arial" w:hAnsi="Arial"/>
                <w:sz w:val="16"/>
                <w:szCs w:val="16"/>
                <w:color w:val="auto"/>
              </w:rPr>
              <w:t>The Company had the following debt outstanding as of March 31, 2026 and December 31, 2025:</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2"/>
        </w:trPr>
        <w:tc>
          <w:tcPr>
            <w:tcW w:w="36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180" w:type="dxa"/>
            <w:vAlign w:val="bottom"/>
            <w:gridSpan w:val="2"/>
          </w:tcPr>
          <w:p>
            <w:pPr>
              <w:spacing w:after="0"/>
              <w:rPr>
                <w:sz w:val="23"/>
                <w:szCs w:val="23"/>
                <w:color w:val="auto"/>
              </w:rPr>
            </w:pPr>
          </w:p>
        </w:tc>
        <w:tc>
          <w:tcPr>
            <w:tcW w:w="2540" w:type="dxa"/>
            <w:vAlign w:val="bottom"/>
            <w:gridSpan w:val="3"/>
          </w:tcPr>
          <w:p>
            <w:pPr>
              <w:spacing w:after="0"/>
              <w:rPr>
                <w:sz w:val="23"/>
                <w:szCs w:val="23"/>
                <w:color w:val="auto"/>
              </w:rPr>
            </w:pPr>
          </w:p>
        </w:tc>
      </w:tr>
      <w:tr>
        <w:trPr>
          <w:trHeight w:val="216"/>
        </w:trPr>
        <w:tc>
          <w:tcPr>
            <w:tcW w:w="36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gridSpan w:val="2"/>
            <w:shd w:val="clear" w:color="auto" w:fill="CCEEFF"/>
          </w:tcPr>
          <w:p>
            <w:pPr>
              <w:jc w:val="right"/>
              <w:ind w:right="1239"/>
              <w:spacing w:after="0"/>
              <w:rPr>
                <w:sz w:val="20"/>
                <w:szCs w:val="20"/>
                <w:color w:val="auto"/>
              </w:rPr>
            </w:pPr>
            <w:r>
              <w:rPr>
                <w:rFonts w:ascii="Arial" w:cs="Arial" w:eastAsia="Arial" w:hAnsi="Arial"/>
                <w:sz w:val="16"/>
                <w:szCs w:val="16"/>
                <w:b w:val="1"/>
                <w:bCs w:val="1"/>
                <w:color w:val="auto"/>
              </w:rPr>
              <w:t>Interest rate as of</w:t>
            </w:r>
          </w:p>
        </w:tc>
        <w:tc>
          <w:tcPr>
            <w:tcW w:w="254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Principal amount</w:t>
            </w:r>
          </w:p>
        </w:tc>
      </w:tr>
      <w:tr>
        <w:trPr>
          <w:trHeight w:val="156"/>
        </w:trPr>
        <w:tc>
          <w:tcPr>
            <w:tcW w:w="3660" w:type="dxa"/>
            <w:vAlign w:val="bottom"/>
          </w:tcPr>
          <w:p>
            <w:pPr>
              <w:spacing w:after="0"/>
              <w:rPr>
                <w:sz w:val="13"/>
                <w:szCs w:val="13"/>
                <w:color w:val="auto"/>
              </w:rPr>
            </w:pPr>
          </w:p>
        </w:tc>
        <w:tc>
          <w:tcPr>
            <w:tcW w:w="1860" w:type="dxa"/>
            <w:vAlign w:val="bottom"/>
          </w:tcPr>
          <w:p>
            <w:pPr>
              <w:ind w:left="420"/>
              <w:spacing w:after="0" w:line="155" w:lineRule="exact"/>
              <w:rPr>
                <w:sz w:val="20"/>
                <w:szCs w:val="20"/>
                <w:color w:val="auto"/>
              </w:rPr>
            </w:pPr>
            <w:r>
              <w:rPr>
                <w:rFonts w:ascii="Arial" w:cs="Arial" w:eastAsia="Arial" w:hAnsi="Arial"/>
                <w:sz w:val="16"/>
                <w:szCs w:val="16"/>
                <w:b w:val="1"/>
                <w:bCs w:val="1"/>
                <w:color w:val="auto"/>
              </w:rPr>
              <w:t>Maturity Date</w:t>
            </w:r>
          </w:p>
        </w:tc>
        <w:tc>
          <w:tcPr>
            <w:tcW w:w="144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March 31,</w:t>
            </w:r>
          </w:p>
        </w:tc>
        <w:tc>
          <w:tcPr>
            <w:tcW w:w="174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December 31,</w:t>
            </w: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36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10"/>
        </w:trPr>
        <w:tc>
          <w:tcPr>
            <w:tcW w:w="36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Senior Secured Term Loan</w:t>
            </w:r>
          </w:p>
        </w:tc>
        <w:tc>
          <w:tcPr>
            <w:tcW w:w="1860" w:type="dxa"/>
            <w:vAlign w:val="bottom"/>
          </w:tcPr>
          <w:p>
            <w:pPr>
              <w:ind w:left="140"/>
              <w:spacing w:after="0"/>
              <w:rPr>
                <w:sz w:val="20"/>
                <w:szCs w:val="20"/>
                <w:color w:val="auto"/>
              </w:rPr>
            </w:pPr>
            <w:r>
              <w:rPr>
                <w:rFonts w:ascii="Arial" w:cs="Arial" w:eastAsia="Arial" w:hAnsi="Arial"/>
                <w:sz w:val="16"/>
                <w:szCs w:val="16"/>
                <w:color w:val="auto"/>
              </w:rPr>
              <w:t>July 2028</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5.700 %</w:t>
            </w:r>
          </w:p>
        </w:tc>
        <w:tc>
          <w:tcPr>
            <w:tcW w:w="1740" w:type="dxa"/>
            <w:vAlign w:val="bottom"/>
          </w:tcPr>
          <w:p>
            <w:pPr>
              <w:jc w:val="right"/>
              <w:ind w:right="219"/>
              <w:spacing w:after="0"/>
              <w:rPr>
                <w:sz w:val="20"/>
                <w:szCs w:val="20"/>
                <w:color w:val="auto"/>
              </w:rPr>
            </w:pPr>
            <w:r>
              <w:rPr>
                <w:rFonts w:ascii="Arial" w:cs="Arial" w:eastAsia="Arial" w:hAnsi="Arial"/>
                <w:sz w:val="16"/>
                <w:szCs w:val="16"/>
                <w:color w:val="auto"/>
              </w:rPr>
              <w:t>5.672 % $</w:t>
            </w:r>
          </w:p>
        </w:tc>
        <w:tc>
          <w:tcPr>
            <w:tcW w:w="1060" w:type="dxa"/>
            <w:vAlign w:val="bottom"/>
          </w:tcPr>
          <w:p>
            <w:pPr>
              <w:jc w:val="right"/>
              <w:spacing w:after="0"/>
              <w:rPr>
                <w:sz w:val="20"/>
                <w:szCs w:val="20"/>
                <w:color w:val="auto"/>
              </w:rPr>
            </w:pPr>
            <w:r>
              <w:rPr>
                <w:rFonts w:ascii="Arial" w:cs="Arial" w:eastAsia="Arial" w:hAnsi="Arial"/>
                <w:sz w:val="16"/>
                <w:szCs w:val="16"/>
                <w:color w:val="auto"/>
              </w:rPr>
              <w:t>909,248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916,688</w:t>
            </w: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(the "2026 Notes")</w:t>
            </w:r>
          </w:p>
        </w:tc>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July 2026</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2.875 %</w:t>
            </w: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2.875 %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Senior Secured Notes (the "2027 Notes")*</w:t>
            </w:r>
          </w:p>
        </w:tc>
        <w:tc>
          <w:tcPr>
            <w:tcW w:w="1860" w:type="dxa"/>
            <w:vAlign w:val="bottom"/>
          </w:tcPr>
          <w:p>
            <w:pPr>
              <w:ind w:left="140"/>
              <w:spacing w:after="0"/>
              <w:rPr>
                <w:sz w:val="20"/>
                <w:szCs w:val="20"/>
                <w:color w:val="auto"/>
              </w:rPr>
            </w:pPr>
            <w:r>
              <w:rPr>
                <w:rFonts w:ascii="Arial" w:cs="Arial" w:eastAsia="Arial" w:hAnsi="Arial"/>
                <w:sz w:val="16"/>
                <w:szCs w:val="16"/>
                <w:color w:val="auto"/>
              </w:rPr>
              <w:t>May 2027</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5.809 %</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5.809 %</w:t>
            </w:r>
          </w:p>
        </w:tc>
        <w:tc>
          <w:tcPr>
            <w:tcW w:w="1060" w:type="dxa"/>
            <w:vAlign w:val="bottom"/>
          </w:tcPr>
          <w:p>
            <w:pPr>
              <w:jc w:val="right"/>
              <w:spacing w:after="0"/>
              <w:rPr>
                <w:sz w:val="20"/>
                <w:szCs w:val="20"/>
                <w:color w:val="auto"/>
              </w:rPr>
            </w:pPr>
            <w:r>
              <w:rPr>
                <w:rFonts w:ascii="Arial" w:cs="Arial" w:eastAsia="Arial" w:hAnsi="Arial"/>
                <w:sz w:val="16"/>
                <w:szCs w:val="16"/>
                <w:color w:val="auto"/>
              </w:rPr>
              <w:t>750,000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750,000</w:t>
            </w: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(the "2029 Notes")*</w:t>
            </w:r>
          </w:p>
        </w:tc>
        <w:tc>
          <w:tcPr>
            <w:tcW w:w="1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May 2029</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5.849 %</w:t>
            </w: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5.849 %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r>
      <w:tr>
        <w:trPr>
          <w:trHeight w:val="2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Senior Secured Notes (the "2034 Notes")*</w:t>
            </w: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May 2034</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6.000 %</w:t>
            </w: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6.000 %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3,409,248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3,416,688</w:t>
            </w:r>
          </w:p>
        </w:tc>
      </w:tr>
      <w:tr>
        <w:trPr>
          <w:trHeight w:val="2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 of debt</w:t>
            </w:r>
          </w:p>
        </w:tc>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(529,762)</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(529,762)</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2,879,486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2,886,926</w:t>
            </w:r>
          </w:p>
        </w:tc>
      </w:tr>
      <w:tr>
        <w:trPr>
          <w:trHeight w:val="2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(14,310)</w:t>
            </w:r>
          </w:p>
        </w:tc>
      </w:tr>
      <w:tr>
        <w:trPr>
          <w:trHeight w:val="234"/>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8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2,866,695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2,872,616</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56"/>
        </w:trPr>
        <w:tc>
          <w:tcPr>
            <w:tcW w:w="3660" w:type="dxa"/>
            <w:vAlign w:val="bottom"/>
          </w:tcPr>
          <w:p>
            <w:pPr>
              <w:spacing w:after="0"/>
              <w:rPr>
                <w:sz w:val="20"/>
                <w:szCs w:val="20"/>
                <w:color w:val="auto"/>
              </w:rPr>
            </w:pPr>
            <w:r>
              <w:rPr>
                <w:rFonts w:ascii="Arial" w:cs="Arial" w:eastAsia="Arial" w:hAnsi="Arial"/>
                <w:sz w:val="16"/>
                <w:szCs w:val="16"/>
                <w:color w:val="auto"/>
              </w:rPr>
              <w:t>*Issued May 8, 2024</w:t>
            </w:r>
          </w:p>
        </w:tc>
        <w:tc>
          <w:tcPr>
            <w:tcW w:w="1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46"/>
        </w:trPr>
        <w:tc>
          <w:tcPr>
            <w:tcW w:w="8700" w:type="dxa"/>
            <w:vAlign w:val="bottom"/>
            <w:gridSpan w:val="4"/>
          </w:tcPr>
          <w:p>
            <w:pPr>
              <w:ind w:left="660"/>
              <w:spacing w:after="0"/>
              <w:rPr>
                <w:sz w:val="20"/>
                <w:szCs w:val="20"/>
                <w:color w:val="auto"/>
              </w:rPr>
            </w:pPr>
            <w:r>
              <w:rPr>
                <w:rFonts w:ascii="Arial" w:cs="Arial" w:eastAsia="Arial" w:hAnsi="Arial"/>
                <w:sz w:val="16"/>
                <w:szCs w:val="16"/>
                <w:color w:val="auto"/>
              </w:rPr>
              <w:t>As of March 31, 2026, the contractual maturities of the Company's debt obligations were as follows: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36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Contractual maturities of debt</w:t>
            </w:r>
          </w:p>
        </w:tc>
        <w:tc>
          <w:tcPr>
            <w:tcW w:w="18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3660" w:type="dxa"/>
            <w:vAlign w:val="bottom"/>
          </w:tcPr>
          <w:p>
            <w:pPr>
              <w:ind w:left="20"/>
              <w:spacing w:after="0"/>
              <w:rPr>
                <w:sz w:val="20"/>
                <w:szCs w:val="20"/>
                <w:color w:val="auto"/>
              </w:rPr>
            </w:pPr>
            <w:r>
              <w:rPr>
                <w:rFonts w:ascii="Arial" w:cs="Arial" w:eastAsia="Arial" w:hAnsi="Arial"/>
                <w:sz w:val="16"/>
                <w:szCs w:val="16"/>
                <w:color w:val="auto"/>
              </w:rPr>
              <w:t>2026 (remaining)</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522,322</w:t>
            </w: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779,762</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2028</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857,164</w:t>
            </w: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r>
      <w:tr>
        <w:trPr>
          <w:trHeight w:val="2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2030 and thereafter</w:t>
            </w:r>
          </w:p>
        </w:tc>
        <w:tc>
          <w:tcPr>
            <w:tcW w:w="1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3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3,409,248</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New Notes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20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par).</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proceeds from the issuance were used to repay a portion of the senior secured term loan outstanding under the Senior Secured Credit Facilities and to pay fees, costs and expenses related to the offering.</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Interest on the New Notes is payable on May 8 and November 8 of each year, having commenced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PRA Health Sciences (the “Merger”). In conjunction with the completion of the Merger, on July 1, 2021, ICON entered into a credit agreement (the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 The Senior Secured Credit Facilities and the 2026 Notes were issued at a discount of $27.6 million.</w:t>
      </w:r>
    </w:p>
    <w:p>
      <w:pPr>
        <w:spacing w:after="0" w:line="23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plus an applicable margin which is dependent on the Company's net leverage ratio. At December 31, 2025, the applicable margin is 2.0% (which reflects the Third Amendment). The senior secured term loan facility is subject to a floor of 0.50%.</w:t>
      </w:r>
    </w:p>
    <w:p>
      <w:pPr>
        <w:spacing w:after="0" w:line="200"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On November 26, 2025, the parties to the Credit Agreement entered into a Fourth Amendment (the “Fourth Amendment”) to reprice and extend the senior secured revolving credit facility.</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As a result of the Fourth Amendment, the maturity was extended from a five-year term to a seven-year term ending July 1, 2028. Reflecting the Fourth Amendment, the interest rate margin applicable to borrowings under the revolving loan facility will be, at the option of the borrower, either (i) the applicable base rate plus an applicable margin of 0.35% or 0.00%, based on the Company’s current corporate family rating assigned by S&amp;P of BB (or lower) or BB+ (or higher), respectively, or (ii) Term SOFR plus an applicable margin of 1.35%, 1.00%, 0.75%, 0.55%, or 0.40%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Principal repayments on the senior secured term loan, comprising mandatory repayments, during the three months ended March 31, 2026 and year ended December 31, 2025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Quarter 1, 2025</w:t>
            </w:r>
          </w:p>
        </w:tc>
        <w:tc>
          <w:tcPr>
            <w:tcW w:w="4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(7,440)</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2025</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(7,441)</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3, 2025</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(7,440)</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2025</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(7,441)</w:t>
            </w: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2025</w:t>
            </w:r>
          </w:p>
        </w:tc>
        <w:tc>
          <w:tcPr>
            <w:tcW w:w="4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(29,762)</w:t>
            </w:r>
          </w:p>
        </w:tc>
      </w:tr>
      <w:tr>
        <w:trPr>
          <w:trHeight w:val="209"/>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1, 2026</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(7,440)</w:t>
            </w: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2026</w:t>
            </w:r>
          </w:p>
        </w:tc>
        <w:tc>
          <w:tcPr>
            <w:tcW w:w="4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(7,440)</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ind w:firstLine="648"/>
        <w:spacing w:after="0" w:line="275" w:lineRule="auto"/>
        <w:rPr>
          <w:sz w:val="20"/>
          <w:szCs w:val="20"/>
          <w:color w:val="auto"/>
        </w:rPr>
      </w:pPr>
      <w:r>
        <w:rPr>
          <w:rFonts w:ascii="Arial" w:cs="Arial" w:eastAsia="Arial" w:hAnsi="Arial"/>
          <w:sz w:val="16"/>
          <w:szCs w:val="16"/>
          <w:color w:val="auto"/>
        </w:rPr>
        <w:t>During the quarter ended March 31, 2026, the Company drew down $nil (year ended December 31, 2025: $50.0 million) of the senior secured revolving loan facility and repaid $nil (year ended December 31, 2025: $50.0 million) as shown below. As at March 31, 2026, $nil (December 31, 2025: $nil) was drawn under the senior secured revolving loan facility.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Repayment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Closing Balance</w:t>
            </w:r>
          </w:p>
        </w:tc>
      </w:tr>
      <w:tr>
        <w:trPr>
          <w:trHeight w:val="209"/>
        </w:trPr>
        <w:tc>
          <w:tcPr>
            <w:tcW w:w="4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2025</w:t>
            </w:r>
          </w:p>
        </w:tc>
        <w:tc>
          <w:tcPr>
            <w:tcW w:w="2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Quarter 2, 2025</w:t>
            </w:r>
          </w:p>
        </w:tc>
        <w:tc>
          <w:tcPr>
            <w:tcW w:w="2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 2025</w:t>
            </w: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1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 2025</w:t>
            </w:r>
          </w:p>
        </w:tc>
        <w:tc>
          <w:tcPr>
            <w:tcW w:w="2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0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 / (repayment) in 2025</w:t>
            </w:r>
          </w:p>
        </w:tc>
        <w:tc>
          <w:tcPr>
            <w:tcW w:w="2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0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1, 2026</w:t>
            </w:r>
          </w:p>
        </w:tc>
        <w:tc>
          <w:tcPr>
            <w:tcW w:w="2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34"/>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 / (repayment) in 2026</w:t>
            </w:r>
          </w:p>
        </w:tc>
        <w:tc>
          <w:tcPr>
            <w:tcW w:w="2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auto"/>
            </w:tcBorders>
            <w:gridSpan w:val="2"/>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2026 Notes</w:t>
      </w:r>
    </w:p>
    <w:p>
      <w:pPr>
        <w:spacing w:after="0" w:line="2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the 2026 Notes of $500 million in aggregate principal amount of 2.875% senior secured notes in a private offering (the “Offering”). The 2026 Notes will mature on July 15, 2026.</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The estimated fair value of the Company’s debt was $3,432.1 million at March 31, 2026 (December 31, 2025: $3,500.1 million). The fair values of the senior secured term loan facility, the 2026 Notes and the New Notes were determined based on rates at which the debt is traded among financial institutions.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recognized during the three months ended March 31, 2026 and March 31, 2025, comprise: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8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10"/>
        </w:trPr>
        <w:tc>
          <w:tcPr>
            <w:tcW w:w="8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(in thousands)</w:t>
            </w:r>
          </w:p>
        </w:tc>
        <w:tc>
          <w:tcPr>
            <w:tcW w:w="860" w:type="dxa"/>
            <w:vAlign w:val="bottom"/>
            <w:shd w:val="clear" w:color="auto" w:fill="CCEEFF"/>
          </w:tcPr>
          <w:p>
            <w:pPr>
              <w:spacing w:after="0"/>
              <w:rPr>
                <w:sz w:val="18"/>
                <w:szCs w:val="18"/>
                <w:color w:val="auto"/>
              </w:rPr>
            </w:pPr>
          </w:p>
        </w:tc>
      </w:tr>
      <w:tr>
        <w:trPr>
          <w:trHeight w:val="21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22,807</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20,351</w:t>
            </w:r>
          </w:p>
        </w:tc>
      </w:tr>
      <w:tr>
        <w:trPr>
          <w:trHeight w:val="235"/>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22,807</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20,351</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the normal course of business, the Company provides for uncertain tax positions and the related interest and adjusts its unrecognized tax benefits and accrued interest accordingly. As at March 31, 2026 the Company maintains a $104.5 million liability (December 31, 2025: $103.3 million) for unrecognized tax benefits, which is comprised of $80.4 million (December 31, 2025: $81.0 million) inclusive of $24.1 million (December 31, 2025: $22.3 million) for interest and penalties related to such items. The Company recognizes interest accrued on unrecognized tax benefits as an additional income tax expense.</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analyzed the filing positions in all of the significant jurisdictions where it is required to file income tax returns, as well as open tax years in these jurisdictions. The only periods subject to audit by the major tax jurisdictions where the Company does business are the 2015 through 2025 tax years. During such audits, local tax authorities may challenge the positions taken by us in our tax returns.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12. Net income per ordinary share</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Basic net income per ordinary share has been computed by dividing net income available to ordinary shareholders by the weighted average number of ordinary shares outstanding during the period.</w:t>
      </w:r>
    </w:p>
    <w:p>
      <w:pPr>
        <w:spacing w:after="0" w:line="1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180" w:type="dxa"/>
            <w:vAlign w:val="bottom"/>
            <w:gridSpan w:val="7"/>
          </w:tcPr>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tc>
        <w:tc>
          <w:tcPr>
            <w:tcW w:w="1060" w:type="dxa"/>
            <w:vAlign w:val="bottom"/>
          </w:tcPr>
          <w:p>
            <w:pPr>
              <w:spacing w:after="0"/>
              <w:rPr>
                <w:sz w:val="18"/>
                <w:szCs w:val="18"/>
                <w:color w:val="auto"/>
              </w:rPr>
            </w:pPr>
          </w:p>
        </w:tc>
      </w:tr>
      <w:tr>
        <w:trPr>
          <w:trHeight w:val="110"/>
        </w:trPr>
        <w:tc>
          <w:tcPr>
            <w:tcW w:w="7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80" w:type="dxa"/>
            <w:vAlign w:val="bottom"/>
            <w:gridSpan w:val="3"/>
          </w:tcPr>
          <w:p>
            <w:pPr>
              <w:spacing w:after="0"/>
              <w:rPr>
                <w:sz w:val="9"/>
                <w:szCs w:val="9"/>
                <w:color w:val="auto"/>
              </w:rPr>
            </w:pPr>
          </w:p>
        </w:tc>
      </w:tr>
      <w:tr>
        <w:trPr>
          <w:trHeight w:val="216"/>
        </w:trPr>
        <w:tc>
          <w:tcPr>
            <w:tcW w:w="7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7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7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basic net income per ordinary share</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76,579,420</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80,552,734</w:t>
            </w:r>
          </w:p>
        </w:tc>
      </w:tr>
      <w:tr>
        <w:trPr>
          <w:trHeight w:val="215"/>
        </w:trPr>
        <w:tc>
          <w:tcPr>
            <w:tcW w:w="83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Effect of dilutive share options and other awards outstanding under share based compensation programs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682,393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371,621</w:t>
            </w:r>
          </w:p>
        </w:tc>
      </w:tr>
      <w:tr>
        <w:trPr>
          <w:trHeight w:val="235"/>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diluted net income per ordinary share</w:t>
            </w: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77,261,813</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80,924,355</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gridSpan w:val="3"/>
          </w:tcPr>
          <w:p>
            <w:pPr>
              <w:spacing w:after="0" w:line="20" w:lineRule="exact"/>
              <w:rPr>
                <w:sz w:val="1"/>
                <w:szCs w:val="1"/>
                <w:color w:val="auto"/>
              </w:rPr>
            </w:pPr>
          </w:p>
        </w:tc>
      </w:tr>
      <w:tr>
        <w:trPr>
          <w:trHeight w:val="339"/>
        </w:trPr>
        <w:tc>
          <w:tcPr>
            <w:tcW w:w="7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3"/>
          </w:tcPr>
          <w:p>
            <w:pPr>
              <w:spacing w:after="0"/>
              <w:rPr>
                <w:sz w:val="24"/>
                <w:szCs w:val="24"/>
                <w:color w:val="auto"/>
              </w:rPr>
            </w:pPr>
          </w:p>
        </w:tc>
      </w:tr>
      <w:tr>
        <w:trPr>
          <w:trHeight w:val="216"/>
        </w:trPr>
        <w:tc>
          <w:tcPr>
            <w:tcW w:w="7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ind w:left="260"/>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7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ind w:left="300"/>
              <w:spacing w:after="0" w:line="155" w:lineRule="exact"/>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7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Basic</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ind w:left="680"/>
              <w:spacing w:after="0"/>
              <w:rPr>
                <w:sz w:val="20"/>
                <w:szCs w:val="20"/>
                <w:color w:val="auto"/>
              </w:rPr>
            </w:pPr>
            <w:r>
              <w:rPr>
                <w:rFonts w:ascii="Arial" w:cs="Arial" w:eastAsia="Arial" w:hAnsi="Arial"/>
                <w:sz w:val="16"/>
                <w:szCs w:val="16"/>
                <w:color w:val="auto"/>
              </w:rPr>
              <w:t>1.37</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6"/>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1.36</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621"/>
        </w:trPr>
        <w:tc>
          <w:tcPr>
            <w:tcW w:w="7280" w:type="dxa"/>
            <w:vAlign w:val="bottom"/>
          </w:tcPr>
          <w:p>
            <w:pPr>
              <w:spacing w:after="0"/>
              <w:rPr>
                <w:sz w:val="20"/>
                <w:szCs w:val="20"/>
                <w:color w:val="auto"/>
              </w:rPr>
            </w:pPr>
            <w:r>
              <w:rPr>
                <w:rFonts w:ascii="Arial" w:cs="Arial" w:eastAsia="Arial" w:hAnsi="Arial"/>
                <w:sz w:val="16"/>
                <w:szCs w:val="16"/>
                <w:b w:val="1"/>
                <w:bCs w:val="1"/>
                <w:color w:val="auto"/>
              </w:rPr>
              <w:t>13. Share based awards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8"/>
        </w:trPr>
        <w:tc>
          <w:tcPr>
            <w:tcW w:w="7280" w:type="dxa"/>
            <w:vAlign w:val="bottom"/>
          </w:tcPr>
          <w:p>
            <w:pPr>
              <w:spacing w:after="0"/>
              <w:rPr>
                <w:sz w:val="20"/>
                <w:szCs w:val="20"/>
                <w:color w:val="auto"/>
              </w:rPr>
            </w:pPr>
            <w:r>
              <w:rPr>
                <w:rFonts w:ascii="Arial" w:cs="Arial" w:eastAsia="Arial" w:hAnsi="Arial"/>
                <w:sz w:val="16"/>
                <w:szCs w:val="16"/>
                <w:i w:val="1"/>
                <w:iCs w:val="1"/>
                <w:color w:val="auto"/>
              </w:rPr>
              <w:t>Share Options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2"/>
        </w:trPr>
        <w:tc>
          <w:tcPr>
            <w:tcW w:w="7280" w:type="dxa"/>
            <w:vAlign w:val="bottom"/>
          </w:tcPr>
          <w:p>
            <w:pPr>
              <w:ind w:left="660"/>
              <w:spacing w:after="0"/>
              <w:rPr>
                <w:sz w:val="20"/>
                <w:szCs w:val="20"/>
                <w:color w:val="auto"/>
              </w:rPr>
            </w:pPr>
            <w:r>
              <w:rPr>
                <w:rFonts w:ascii="Arial" w:cs="Arial" w:eastAsia="Arial" w:hAnsi="Arial"/>
                <w:sz w:val="16"/>
                <w:szCs w:val="16"/>
                <w:color w:val="auto"/>
              </w:rPr>
              <w:t>The following table summarizes option activity for the three months ended March 31, 2026: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0"/>
        </w:trPr>
        <w:tc>
          <w:tcPr>
            <w:tcW w:w="728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r>
      <w:tr>
        <w:trPr>
          <w:trHeight w:val="162"/>
        </w:trPr>
        <w:tc>
          <w:tcPr>
            <w:tcW w:w="72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6"/>
                <w:szCs w:val="16"/>
                <w:b w:val="1"/>
                <w:bCs w:val="1"/>
                <w:color w:val="auto"/>
              </w:rPr>
              <w:t>Options</w:t>
            </w: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Weighted</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72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6"/>
                <w:szCs w:val="16"/>
                <w:b w:val="1"/>
                <w:bCs w:val="1"/>
                <w:color w:val="auto"/>
              </w:rPr>
              <w:t>Outstanding</w:t>
            </w: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Average</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r>
      <w:tr>
        <w:trPr>
          <w:trHeight w:val="162"/>
        </w:trPr>
        <w:tc>
          <w:tcPr>
            <w:tcW w:w="72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0"/>
              <w:spacing w:after="0" w:line="162" w:lineRule="exact"/>
              <w:rPr>
                <w:sz w:val="20"/>
                <w:szCs w:val="20"/>
                <w:color w:val="auto"/>
              </w:rPr>
            </w:pPr>
            <w:r>
              <w:rPr>
                <w:rFonts w:ascii="Arial" w:cs="Arial" w:eastAsia="Arial" w:hAnsi="Arial"/>
                <w:sz w:val="16"/>
                <w:szCs w:val="16"/>
                <w:b w:val="1"/>
                <w:bCs w:val="1"/>
                <w:color w:val="auto"/>
              </w:rPr>
              <w:t>Number of</w:t>
            </w: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Exercise</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r>
      <w:tr>
        <w:trPr>
          <w:trHeight w:val="162"/>
        </w:trPr>
        <w:tc>
          <w:tcPr>
            <w:tcW w:w="72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6"/>
                <w:szCs w:val="16"/>
                <w:b w:val="1"/>
                <w:bCs w:val="1"/>
                <w:color w:val="auto"/>
              </w:rPr>
              <w:t>Shares</w:t>
            </w: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Price</w:t>
            </w: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r>
      <w:tr>
        <w:trPr>
          <w:trHeight w:val="216"/>
        </w:trPr>
        <w:tc>
          <w:tcPr>
            <w:tcW w:w="7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09"/>
        </w:trPr>
        <w:tc>
          <w:tcPr>
            <w:tcW w:w="7280" w:type="dxa"/>
            <w:vAlign w:val="bottom"/>
          </w:tcPr>
          <w:p>
            <w:pPr>
              <w:ind w:left="20"/>
              <w:spacing w:after="0"/>
              <w:rPr>
                <w:sz w:val="20"/>
                <w:szCs w:val="20"/>
                <w:color w:val="auto"/>
              </w:rPr>
            </w:pPr>
            <w:r>
              <w:rPr>
                <w:rFonts w:ascii="Arial" w:cs="Arial" w:eastAsia="Arial" w:hAnsi="Arial"/>
                <w:sz w:val="16"/>
                <w:szCs w:val="16"/>
                <w:color w:val="auto"/>
              </w:rPr>
              <w:t>Outstanding at December 31, 2025</w:t>
            </w: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639,184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179.12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17"/>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(10,174)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106.64</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Expired</w:t>
            </w: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(31,560)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116.06</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March 31, 2026</w:t>
            </w: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597,450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183.69</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March 31, 2026</w:t>
            </w: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517,846</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178.31</w:t>
            </w:r>
          </w:p>
        </w:tc>
        <w:tc>
          <w:tcPr>
            <w:tcW w:w="4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March 31, 2026 was 517,846. Fully vested share options at March 31, 2026 have an average remaining contractual term of 3.58 years and an average exercise price of $178.31.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were no options granted during the three months ended March 31, 2026. The weighted average fair value of options granted during March 31, 2025 was calculated using the Black-Scholes option pricing model. The weighted average grant date fair values and assumptions used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w w:val="99"/>
              </w:rPr>
              <w:t>Three Months Ended</w:t>
            </w:r>
          </w:p>
        </w:tc>
        <w:tc>
          <w:tcPr>
            <w:tcW w:w="760" w:type="dxa"/>
            <w:vAlign w:val="bottom"/>
            <w:tcBorders>
              <w:bottom w:val="single" w:sz="8" w:color="auto"/>
            </w:tcBorders>
            <w:shd w:val="clear" w:color="auto" w:fill="CCEEFF"/>
          </w:tcPr>
          <w:p>
            <w:pPr>
              <w:spacing w:after="0"/>
              <w:rPr>
                <w:sz w:val="18"/>
                <w:szCs w:val="18"/>
                <w:color w:val="auto"/>
              </w:rPr>
            </w:pPr>
          </w:p>
        </w:tc>
      </w:tr>
      <w:tr>
        <w:trPr>
          <w:trHeight w:val="156"/>
        </w:trPr>
        <w:tc>
          <w:tcPr>
            <w:tcW w:w="8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Pr>
          <w:p>
            <w:pPr>
              <w:jc w:val="right"/>
              <w:ind w:right="819"/>
              <w:spacing w:after="0" w:line="155" w:lineRule="exact"/>
              <w:rPr>
                <w:sz w:val="20"/>
                <w:szCs w:val="20"/>
                <w:color w:val="auto"/>
              </w:rPr>
            </w:pPr>
            <w:r>
              <w:rPr>
                <w:rFonts w:ascii="Arial" w:cs="Arial" w:eastAsia="Arial" w:hAnsi="Arial"/>
                <w:sz w:val="16"/>
                <w:szCs w:val="16"/>
                <w:b w:val="1"/>
                <w:bCs w:val="1"/>
                <w:color w:val="auto"/>
              </w:rPr>
              <w:t>March 31,</w:t>
            </w:r>
          </w:p>
        </w:tc>
        <w:tc>
          <w:tcPr>
            <w:tcW w:w="7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97"/>
              </w:rPr>
              <w:t>March 31,</w:t>
            </w:r>
          </w:p>
        </w:tc>
      </w:tr>
      <w:tr>
        <w:trPr>
          <w:trHeight w:val="216"/>
        </w:trPr>
        <w:tc>
          <w:tcPr>
            <w:tcW w:w="8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64.42</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Assumptions:</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420" w:type="dxa"/>
            <w:vAlign w:val="bottom"/>
          </w:tcPr>
          <w:p>
            <w:pPr>
              <w:spacing w:after="0"/>
              <w:rPr>
                <w:sz w:val="18"/>
                <w:szCs w:val="18"/>
                <w:color w:val="auto"/>
              </w:rPr>
            </w:pPr>
          </w:p>
        </w:tc>
        <w:tc>
          <w:tcPr>
            <w:tcW w:w="1960" w:type="dxa"/>
            <w:vAlign w:val="bottom"/>
          </w:tcPr>
          <w:p>
            <w:pPr>
              <w:ind w:left="8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r>
      <w:tr>
        <w:trPr>
          <w:trHeight w:val="215"/>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life</w:t>
            </w: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years</w:t>
            </w:r>
          </w:p>
        </w:tc>
      </w:tr>
    </w:tbl>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Further, on October 25, 2024, the 2013 RSU Plan was amended and restated effective as of November 6, 2024 in order to increase the number of ordinary shares that can be issued under the 2013 RSU Plan by a further 2.5 million shares. Accordingly, an aggregate of 6.6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November 6, 2034.</w:t>
      </w:r>
    </w:p>
    <w:p>
      <w:pPr>
        <w:spacing w:after="0" w:line="20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Outside Director retained by the Company, or a Subsidiary to receive an award under the plan. 250,000 ordinary shares have been reserved for issuance under the 2019 Consultants RSU Plan. The awards are at par value and vest over a service period. Awards granted to Outside Directors vest over twelve months. No awards may be granted under the 2019 Consultants RSU Plan after May 16, 2029.</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RSU and PSU activity for the three months ended March 31, 2026: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shd w:val="clear" w:color="auto" w:fill="CCEEFF"/>
          </w:tcPr>
          <w:p>
            <w:pPr>
              <w:spacing w:after="0"/>
              <w:rPr>
                <w:sz w:val="16"/>
                <w:szCs w:val="16"/>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PSU</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Weighted</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Average Grant</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w:t>
            </w: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Date</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Date</w:t>
            </w:r>
          </w:p>
        </w:tc>
      </w:tr>
      <w:tr>
        <w:trPr>
          <w:trHeight w:val="216"/>
        </w:trPr>
        <w:tc>
          <w:tcPr>
            <w:tcW w:w="42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Outstanding at December 31, 2025</w:t>
            </w:r>
          </w:p>
        </w:tc>
        <w:tc>
          <w:tcPr>
            <w:tcW w:w="2680" w:type="dxa"/>
            <w:vAlign w:val="bottom"/>
          </w:tcPr>
          <w:p>
            <w:pPr>
              <w:jc w:val="right"/>
              <w:spacing w:after="0"/>
              <w:rPr>
                <w:sz w:val="20"/>
                <w:szCs w:val="20"/>
                <w:color w:val="auto"/>
              </w:rPr>
            </w:pPr>
            <w:r>
              <w:rPr>
                <w:rFonts w:ascii="Arial" w:cs="Arial" w:eastAsia="Arial" w:hAnsi="Arial"/>
                <w:sz w:val="16"/>
                <w:szCs w:val="16"/>
                <w:color w:val="auto"/>
              </w:rPr>
              <w:t>16,474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185.18</w:t>
            </w:r>
          </w:p>
        </w:tc>
        <w:tc>
          <w:tcPr>
            <w:tcW w:w="1220" w:type="dxa"/>
            <w:vAlign w:val="bottom"/>
          </w:tcPr>
          <w:p>
            <w:pPr>
              <w:jc w:val="right"/>
              <w:spacing w:after="0"/>
              <w:rPr>
                <w:sz w:val="20"/>
                <w:szCs w:val="20"/>
                <w:color w:val="auto"/>
              </w:rPr>
            </w:pPr>
            <w:r>
              <w:rPr>
                <w:rFonts w:ascii="Arial" w:cs="Arial" w:eastAsia="Arial" w:hAnsi="Arial"/>
                <w:sz w:val="16"/>
                <w:szCs w:val="16"/>
                <w:color w:val="auto"/>
              </w:rPr>
              <w:t>1,476,169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162.53</w:t>
            </w: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Shares vested</w:t>
            </w:r>
          </w:p>
        </w:tc>
        <w:tc>
          <w:tcPr>
            <w:tcW w:w="2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(24,039)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179.56</w:t>
            </w:r>
          </w:p>
        </w:tc>
      </w:tr>
      <w:tr>
        <w:trPr>
          <w:trHeight w:val="216"/>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185.18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172.47</w:t>
            </w:r>
          </w:p>
        </w:tc>
      </w:tr>
      <w:tr>
        <w:trPr>
          <w:trHeight w:val="21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March 31, 2026</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1,429,186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162.09</w:t>
            </w: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three months ended March 31, 2026 were nil (March 31, 2025: $1.9 million).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three months ended March 31, 2026 totaled $4.3 million (March 31, 2025: $5.0 million).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2" w:name="page23"/>
    <w:bookmarkEnd w:id="22"/>
    <w:p>
      <w:pPr>
        <w:jc w:val="both"/>
        <w:ind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2023 - 2025, 2024 - 2026, and 2025 - 2027. Depending on the amount of EPS from 2023 to 2027, up to an additional 47,779 PSUs may also be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compensation expense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 compensation expense for the three months ended March 31, 2026 and March 31, 2025 has been allocated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shd w:val="clear" w:color="auto" w:fill="CCEEFF"/>
          </w:tcPr>
          <w:p>
            <w:pPr>
              <w:spacing w:after="0"/>
              <w:rPr>
                <w:sz w:val="18"/>
                <w:szCs w:val="18"/>
                <w:color w:val="auto"/>
              </w:rPr>
            </w:pPr>
          </w:p>
        </w:tc>
      </w:tr>
      <w:tr>
        <w:trPr>
          <w:trHeight w:val="155"/>
        </w:trPr>
        <w:tc>
          <w:tcPr>
            <w:tcW w:w="7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8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7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10"/>
        </w:trPr>
        <w:tc>
          <w:tcPr>
            <w:tcW w:w="7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shd w:val="clear" w:color="auto" w:fill="CCEEFF"/>
          </w:tcPr>
          <w:p>
            <w:pPr>
              <w:spacing w:after="0"/>
              <w:rPr>
                <w:sz w:val="18"/>
                <w:szCs w:val="18"/>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18,296</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5,381</w:t>
            </w:r>
          </w:p>
        </w:tc>
      </w:tr>
      <w:tr>
        <w:trPr>
          <w:trHeight w:val="216"/>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8,686</w:t>
            </w:r>
          </w:p>
        </w:tc>
        <w:tc>
          <w:tcPr>
            <w:tcW w:w="8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6,913</w:t>
            </w:r>
          </w:p>
        </w:tc>
      </w:tr>
      <w:tr>
        <w:trPr>
          <w:trHeight w:val="209"/>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26,982</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12,294</w:t>
            </w: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 capital</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ordinary shares were redeemed by the Company during the quarter ended March 31, 2026.</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On February 18, 2025, the Company's Board of Directors authorized an additional share repurchase program under which the Company may repurchase up to $750.0 million of the outstanding ordinary shares of the Company by way of redemption. On July 22, 2025, the Company's Board of Directors authorized a further additional repurchase program under which the Company could repurchase up to $500.0 million of the outstanding ordinary shares of the Company by way of redemption.</w:t>
      </w:r>
    </w:p>
    <w:p>
      <w:pPr>
        <w:spacing w:after="0" w:line="2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March 31, 2026, the Company had remaining authorization (which includes unutilized amounts from previous authorizations) to repurchase up to $750.0 million of ordinary shares under the repurchase program.</w:t>
      </w:r>
    </w:p>
    <w:p>
      <w:pPr>
        <w:spacing w:after="0" w:line="19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During the year ended December 31, 2025, 4,504,330 ordinary shares were redeemed by the Company at an average price of $166.51 per share for a total consideration of $750.0 million.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Total number</w:t>
            </w:r>
          </w:p>
        </w:tc>
        <w:tc>
          <w:tcPr>
            <w:tcW w:w="1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Average price paid</w:t>
            </w:r>
          </w:p>
        </w:tc>
        <w:tc>
          <w:tcPr>
            <w:tcW w:w="2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 number</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Approximate dollar value of</w:t>
            </w:r>
          </w:p>
        </w:tc>
      </w:tr>
      <w:tr>
        <w:trPr>
          <w:trHeight w:val="162"/>
        </w:trPr>
        <w:tc>
          <w:tcPr>
            <w:tcW w:w="2960" w:type="dxa"/>
            <w:vAlign w:val="bottom"/>
            <w:shd w:val="clear" w:color="auto" w:fill="CCEEFF"/>
          </w:tcPr>
          <w:p>
            <w:pPr>
              <w:spacing w:after="0"/>
              <w:rPr>
                <w:sz w:val="14"/>
                <w:szCs w:val="14"/>
                <w:color w:val="auto"/>
              </w:rPr>
            </w:pPr>
          </w:p>
        </w:tc>
        <w:tc>
          <w:tcPr>
            <w:tcW w:w="222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purchased</w:t>
            </w:r>
          </w:p>
        </w:tc>
        <w:tc>
          <w:tcPr>
            <w:tcW w:w="1620" w:type="dxa"/>
            <w:vAlign w:val="bottom"/>
            <w:shd w:val="clear" w:color="auto" w:fill="CCEEFF"/>
          </w:tcPr>
          <w:p>
            <w:pPr>
              <w:jc w:val="center"/>
              <w:ind w:left="739"/>
              <w:spacing w:after="0" w:line="162" w:lineRule="exact"/>
              <w:rPr>
                <w:sz w:val="20"/>
                <w:szCs w:val="20"/>
                <w:color w:val="auto"/>
              </w:rPr>
            </w:pPr>
            <w:r>
              <w:rPr>
                <w:rFonts w:ascii="Arial" w:cs="Arial" w:eastAsia="Arial" w:hAnsi="Arial"/>
                <w:sz w:val="16"/>
                <w:szCs w:val="16"/>
                <w:b w:val="1"/>
                <w:bCs w:val="1"/>
                <w:color w:val="auto"/>
                <w:w w:val="99"/>
              </w:rPr>
              <w:t>per share</w:t>
            </w:r>
          </w:p>
        </w:tc>
        <w:tc>
          <w:tcPr>
            <w:tcW w:w="218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of shares purchased as</w:t>
            </w:r>
          </w:p>
        </w:tc>
        <w:tc>
          <w:tcPr>
            <w:tcW w:w="2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 that may yet be</w:t>
            </w:r>
          </w:p>
        </w:tc>
      </w:tr>
      <w:tr>
        <w:trPr>
          <w:trHeight w:val="162"/>
        </w:trPr>
        <w:tc>
          <w:tcPr>
            <w:tcW w:w="29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part of publicly announced</w:t>
            </w:r>
          </w:p>
        </w:tc>
        <w:tc>
          <w:tcPr>
            <w:tcW w:w="2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purchased under the</w:t>
            </w:r>
          </w:p>
        </w:tc>
      </w:tr>
      <w:tr>
        <w:trPr>
          <w:trHeight w:val="162"/>
        </w:trPr>
        <w:tc>
          <w:tcPr>
            <w:tcW w:w="29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program</w:t>
            </w:r>
          </w:p>
        </w:tc>
        <w:tc>
          <w:tcPr>
            <w:tcW w:w="2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program</w:t>
            </w:r>
          </w:p>
        </w:tc>
      </w:tr>
      <w:tr>
        <w:trPr>
          <w:trHeight w:val="216"/>
        </w:trPr>
        <w:tc>
          <w:tcPr>
            <w:tcW w:w="296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millions)</w:t>
            </w: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March 3/12/2025 - 3/19/2025</w:t>
            </w:r>
          </w:p>
        </w:tc>
        <w:tc>
          <w:tcPr>
            <w:tcW w:w="2220" w:type="dxa"/>
            <w:vAlign w:val="bottom"/>
          </w:tcPr>
          <w:p>
            <w:pPr>
              <w:jc w:val="right"/>
              <w:ind w:right="119"/>
              <w:spacing w:after="0"/>
              <w:rPr>
                <w:sz w:val="20"/>
                <w:szCs w:val="20"/>
                <w:color w:val="auto"/>
              </w:rPr>
            </w:pPr>
            <w:r>
              <w:rPr>
                <w:rFonts w:ascii="Arial" w:cs="Arial" w:eastAsia="Arial" w:hAnsi="Arial"/>
                <w:sz w:val="16"/>
                <w:szCs w:val="16"/>
                <w:color w:val="auto"/>
              </w:rPr>
              <w:t>1,360,537</w:t>
            </w:r>
          </w:p>
        </w:tc>
        <w:tc>
          <w:tcPr>
            <w:tcW w:w="1620" w:type="dxa"/>
            <w:vAlign w:val="bottom"/>
          </w:tcPr>
          <w:p>
            <w:pPr>
              <w:jc w:val="center"/>
              <w:ind w:left="779"/>
              <w:spacing w:after="0"/>
              <w:rPr>
                <w:sz w:val="20"/>
                <w:szCs w:val="20"/>
                <w:color w:val="auto"/>
              </w:rPr>
            </w:pPr>
            <w:r>
              <w:rPr>
                <w:rFonts w:ascii="Arial" w:cs="Arial" w:eastAsia="Arial" w:hAnsi="Arial"/>
                <w:sz w:val="16"/>
                <w:szCs w:val="16"/>
                <w:color w:val="auto"/>
              </w:rPr>
              <w:t>$183.75</w:t>
            </w:r>
          </w:p>
        </w:tc>
        <w:tc>
          <w:tcPr>
            <w:tcW w:w="2180" w:type="dxa"/>
            <w:vAlign w:val="bottom"/>
          </w:tcPr>
          <w:p>
            <w:pPr>
              <w:jc w:val="right"/>
              <w:ind w:right="59"/>
              <w:spacing w:after="0"/>
              <w:rPr>
                <w:sz w:val="20"/>
                <w:szCs w:val="20"/>
                <w:color w:val="auto"/>
              </w:rPr>
            </w:pPr>
            <w:r>
              <w:rPr>
                <w:rFonts w:ascii="Arial" w:cs="Arial" w:eastAsia="Arial" w:hAnsi="Arial"/>
                <w:sz w:val="16"/>
                <w:szCs w:val="16"/>
                <w:color w:val="auto"/>
              </w:rPr>
              <w:t>1,360,537</w:t>
            </w:r>
          </w:p>
        </w:tc>
        <w:tc>
          <w:tcPr>
            <w:tcW w:w="226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17"/>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6/13/2025 - 6/23/2025</w:t>
            </w:r>
          </w:p>
        </w:tc>
        <w:tc>
          <w:tcPr>
            <w:tcW w:w="2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1,717,181</w:t>
            </w:r>
          </w:p>
        </w:tc>
        <w:tc>
          <w:tcPr>
            <w:tcW w:w="16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$145.59</w:t>
            </w:r>
          </w:p>
        </w:tc>
        <w:tc>
          <w:tcPr>
            <w:tcW w:w="2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1,717,181</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August 8/15/2025 - 8/20/2025</w:t>
            </w:r>
          </w:p>
        </w:tc>
        <w:tc>
          <w:tcPr>
            <w:tcW w:w="2220" w:type="dxa"/>
            <w:vAlign w:val="bottom"/>
          </w:tcPr>
          <w:p>
            <w:pPr>
              <w:jc w:val="right"/>
              <w:ind w:right="119"/>
              <w:spacing w:after="0"/>
              <w:rPr>
                <w:sz w:val="20"/>
                <w:szCs w:val="20"/>
                <w:color w:val="auto"/>
              </w:rPr>
            </w:pPr>
            <w:r>
              <w:rPr>
                <w:rFonts w:ascii="Arial" w:cs="Arial" w:eastAsia="Arial" w:hAnsi="Arial"/>
                <w:sz w:val="16"/>
                <w:szCs w:val="16"/>
                <w:color w:val="auto"/>
              </w:rPr>
              <w:t>560,100</w:t>
            </w:r>
          </w:p>
        </w:tc>
        <w:tc>
          <w:tcPr>
            <w:tcW w:w="1620" w:type="dxa"/>
            <w:vAlign w:val="bottom"/>
          </w:tcPr>
          <w:p>
            <w:pPr>
              <w:jc w:val="center"/>
              <w:ind w:left="779"/>
              <w:spacing w:after="0"/>
              <w:rPr>
                <w:sz w:val="20"/>
                <w:szCs w:val="20"/>
                <w:color w:val="auto"/>
              </w:rPr>
            </w:pPr>
            <w:r>
              <w:rPr>
                <w:rFonts w:ascii="Arial" w:cs="Arial" w:eastAsia="Arial" w:hAnsi="Arial"/>
                <w:sz w:val="16"/>
                <w:szCs w:val="16"/>
                <w:color w:val="auto"/>
              </w:rPr>
              <w:t>$178.20</w:t>
            </w:r>
          </w:p>
        </w:tc>
        <w:tc>
          <w:tcPr>
            <w:tcW w:w="2180" w:type="dxa"/>
            <w:vAlign w:val="bottom"/>
          </w:tcPr>
          <w:p>
            <w:pPr>
              <w:jc w:val="right"/>
              <w:ind w:right="59"/>
              <w:spacing w:after="0"/>
              <w:rPr>
                <w:sz w:val="20"/>
                <w:szCs w:val="20"/>
                <w:color w:val="auto"/>
              </w:rPr>
            </w:pPr>
            <w:r>
              <w:rPr>
                <w:rFonts w:ascii="Arial" w:cs="Arial" w:eastAsia="Arial" w:hAnsi="Arial"/>
                <w:sz w:val="16"/>
                <w:szCs w:val="16"/>
                <w:color w:val="auto"/>
              </w:rPr>
              <w:t>560,100</w:t>
            </w:r>
          </w:p>
        </w:tc>
        <w:tc>
          <w:tcPr>
            <w:tcW w:w="2260" w:type="dxa"/>
            <w:vAlign w:val="bottom"/>
          </w:tcPr>
          <w:p>
            <w:pPr>
              <w:jc w:val="right"/>
              <w:spacing w:after="0"/>
              <w:rPr>
                <w:sz w:val="20"/>
                <w:szCs w:val="20"/>
                <w:color w:val="auto"/>
              </w:rPr>
            </w:pPr>
            <w:r>
              <w:rPr>
                <w:rFonts w:ascii="Arial" w:cs="Arial" w:eastAsia="Arial" w:hAnsi="Arial"/>
                <w:sz w:val="16"/>
                <w:szCs w:val="16"/>
                <w:color w:val="auto"/>
              </w:rPr>
              <w:t>$900.2</w:t>
            </w:r>
          </w:p>
        </w:tc>
      </w:tr>
      <w:tr>
        <w:trPr>
          <w:trHeight w:val="216"/>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September 9/10/2025 - 9/19/2025</w:t>
            </w:r>
          </w:p>
        </w:tc>
        <w:tc>
          <w:tcPr>
            <w:tcW w:w="2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866,512</w:t>
            </w:r>
          </w:p>
        </w:tc>
        <w:tc>
          <w:tcPr>
            <w:tcW w:w="162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rPr>
              <w:t>$173.33</w:t>
            </w:r>
          </w:p>
        </w:tc>
        <w:tc>
          <w:tcPr>
            <w:tcW w:w="2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866,512</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09"/>
        </w:trPr>
        <w:tc>
          <w:tcPr>
            <w:tcW w:w="29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4,504,330</w:t>
            </w:r>
          </w:p>
        </w:tc>
        <w:tc>
          <w:tcPr>
            <w:tcW w:w="162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rPr>
              <w:t>$166.51</w:t>
            </w:r>
          </w:p>
        </w:tc>
        <w:tc>
          <w:tcPr>
            <w:tcW w:w="2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4,504,330</w:t>
            </w:r>
          </w:p>
        </w:tc>
        <w:tc>
          <w:tcPr>
            <w:tcW w:w="2260" w:type="dxa"/>
            <w:vAlign w:val="bottom"/>
            <w:tcBorders>
              <w:bottom w:val="single" w:sz="8" w:color="auto"/>
            </w:tcBorders>
          </w:tcPr>
          <w:p>
            <w:pPr>
              <w:spacing w:after="0"/>
              <w:rPr>
                <w:sz w:val="18"/>
                <w:szCs w:val="18"/>
                <w:color w:val="auto"/>
              </w:rPr>
            </w:pP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15. Business Segment and Geographical Information</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or “blended-service” solution. The Company has expanded through internal growth, together with a number of strategic acquisitions to enhance its expertise and capabilities in certain areas of the clinical development process.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Company operates as one reportable segment, which is the provision of outsourced development services on a global basis to the pharmaceutical, biotechnology and medical devices industries. During the three months ended March 31, 2026, the Company determined that the Chief Operating Decision Maker (“CODM”) was comprised of the Chief Executive Officer and the Chief Financial Officer. As the Company is managed on a consolidated basis, the CODM evaluates performance and allocates resources based on consolidated net income. The CODM uses consolidated net income, as reported on the Consolidated Statements of Operations, to evaluate income generated from segment assets and for decisions related to the deployment of operating and capital resources. The measure of segment assets is reported on the Consolidated Balance Sheets as total consolidated assets.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accounting policies of the reportable segment are the same as those described in ICON’s Annual Report on Form 20-F for the year ended</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 xml:space="preserve">December 31, 2025 (see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the context of considerations around significant segment expenses, as the expense information that is regularly provided to the CODM is aligned with the respective consolidated expenses for direct costs and selling, general, and</w:t>
      </w:r>
    </w:p>
    <w:p>
      <w:pPr>
        <w:jc w:val="both"/>
        <w:spacing w:after="0" w:line="238" w:lineRule="auto"/>
        <w:rPr>
          <w:sz w:val="20"/>
          <w:szCs w:val="20"/>
          <w:color w:val="auto"/>
        </w:rPr>
      </w:pPr>
      <w:r>
        <w:rPr>
          <w:rFonts w:ascii="Arial" w:cs="Arial" w:eastAsia="Arial" w:hAnsi="Arial"/>
          <w:sz w:val="16"/>
          <w:szCs w:val="16"/>
          <w:color w:val="auto"/>
        </w:rPr>
        <w:t>administrative expenses, as presented on the Condensed Consolidated Statement of Operations, such expense disclosures are not replicated here. Furthermore, as the Company consists of a single reportable segment, other quantitative disclosures, as required by Topic 280, are as presented on the Consolidated Statement of Operations.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Clinical Research Limited and Accellacare Limited (collectively “ICON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ICON Ireland remunerates other operating entities in the Group on the basis of an arm’s length return, in accordance with the 2022 OECD transfer pricing guidelines,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their respective functions performed, assets owned, and risks assumed in these intercompany transactions. The arm’s length return is reviewed annually to ensure that it is market appropriate.</w:t>
      </w:r>
    </w:p>
    <w:p>
      <w:pPr>
        <w:spacing w:after="0" w:line="22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changes to the overall basis of segmentation or the measurement basis for the segment results since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The geographical distribution of the Company’s segment measures for the three months ended March 31, 2026 and March 31, 2025 and as at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20"/>
                <w:szCs w:val="20"/>
                <w:color w:val="auto"/>
              </w:rPr>
            </w:pPr>
            <w:r>
              <w:rPr>
                <w:rFonts w:ascii="Arial" w:cs="Arial" w:eastAsia="Arial" w:hAnsi="Arial"/>
                <w:sz w:val="16"/>
                <w:szCs w:val="16"/>
                <w:color w:val="auto"/>
              </w:rPr>
              <w:t>March 31, 2026 and December 31, 2025 is as follows: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30"/>
        </w:trPr>
        <w:tc>
          <w:tcPr>
            <w:tcW w:w="822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0"/>
        </w:trPr>
        <w:tc>
          <w:tcPr>
            <w:tcW w:w="8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20" w:type="dxa"/>
            <w:vAlign w:val="bottom"/>
            <w:gridSpan w:val="3"/>
          </w:tcPr>
          <w:p>
            <w:pPr>
              <w:spacing w:after="0"/>
              <w:rPr>
                <w:sz w:val="9"/>
                <w:szCs w:val="9"/>
                <w:color w:val="auto"/>
              </w:rPr>
            </w:pPr>
          </w:p>
        </w:tc>
      </w:tr>
      <w:tr>
        <w:trPr>
          <w:trHeight w:val="216"/>
        </w:trPr>
        <w:tc>
          <w:tcPr>
            <w:tcW w:w="8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8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8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(in thousands)</w:t>
            </w:r>
          </w:p>
        </w:tc>
        <w:tc>
          <w:tcPr>
            <w:tcW w:w="880" w:type="dxa"/>
            <w:vAlign w:val="bottom"/>
            <w:shd w:val="clear" w:color="auto" w:fill="CCEEFF"/>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Ireland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761,360</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734,340</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390,847</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375,865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642,602</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672,424</w:t>
            </w:r>
          </w:p>
        </w:tc>
      </w:tr>
      <w:tr>
        <w:trPr>
          <w:trHeight w:val="21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239,190</w:t>
            </w:r>
          </w:p>
        </w:tc>
        <w:tc>
          <w:tcPr>
            <w:tcW w:w="6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232,691</w:t>
            </w:r>
          </w:p>
        </w:tc>
      </w:tr>
      <w:tr>
        <w:trPr>
          <w:trHeight w:val="20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2,033,999</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2,015,320</w:t>
            </w: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18"/>
        </w:trPr>
        <w:tc>
          <w:tcPr>
            <w:tcW w:w="8220" w:type="dxa"/>
            <w:vAlign w:val="bottom"/>
          </w:tcPr>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4"/>
        </w:trPr>
        <w:tc>
          <w:tcPr>
            <w:tcW w:w="8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20" w:type="dxa"/>
            <w:vAlign w:val="bottom"/>
            <w:gridSpan w:val="3"/>
          </w:tcPr>
          <w:p>
            <w:pPr>
              <w:spacing w:after="0"/>
              <w:rPr>
                <w:sz w:val="10"/>
                <w:szCs w:val="10"/>
                <w:color w:val="auto"/>
              </w:rPr>
            </w:pPr>
          </w:p>
        </w:tc>
      </w:tr>
      <w:tr>
        <w:trPr>
          <w:trHeight w:val="216"/>
        </w:trPr>
        <w:tc>
          <w:tcPr>
            <w:tcW w:w="8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center"/>
              <w:ind w:right="33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r>
      <w:tr>
        <w:trPr>
          <w:trHeight w:val="216"/>
        </w:trPr>
        <w:tc>
          <w:tcPr>
            <w:tcW w:w="8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8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(in thousands)</w:t>
            </w:r>
          </w:p>
        </w:tc>
        <w:tc>
          <w:tcPr>
            <w:tcW w:w="880" w:type="dxa"/>
            <w:vAlign w:val="bottom"/>
            <w:shd w:val="clear" w:color="auto" w:fill="CCEEFF"/>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Ireland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125,204</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163,378</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31,725</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49,698</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68,487</w:t>
            </w:r>
          </w:p>
        </w:tc>
      </w:tr>
      <w:tr>
        <w:trPr>
          <w:trHeight w:val="21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17,386</w:t>
            </w:r>
          </w:p>
        </w:tc>
        <w:tc>
          <w:tcPr>
            <w:tcW w:w="6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17,208</w:t>
            </w:r>
          </w:p>
        </w:tc>
      </w:tr>
      <w:tr>
        <w:trPr>
          <w:trHeight w:val="20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Sub-total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224,013</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285,916</w:t>
            </w:r>
          </w:p>
        </w:tc>
      </w:tr>
      <w:tr>
        <w:trPr>
          <w:trHeight w:val="21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(50,279)</w:t>
            </w:r>
          </w:p>
        </w:tc>
        <w:tc>
          <w:tcPr>
            <w:tcW w:w="6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(58,946)</w:t>
            </w:r>
          </w:p>
        </w:tc>
      </w:tr>
      <w:tr>
        <w:trPr>
          <w:trHeight w:val="210"/>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173,734</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226,970</w:t>
            </w: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March 31,</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6"/>
        </w:trPr>
        <w:tc>
          <w:tcPr>
            <w:tcW w:w="468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2026 December 31, 2025</w:t>
            </w:r>
          </w:p>
        </w:tc>
      </w:tr>
      <w:tr>
        <w:trPr>
          <w:trHeight w:val="210"/>
        </w:trPr>
        <w:tc>
          <w:tcPr>
            <w:tcW w:w="46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9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243,396</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250,566</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9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90,056</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94,920</w:t>
            </w:r>
          </w:p>
        </w:tc>
      </w:tr>
      <w:tr>
        <w:trPr>
          <w:trHeight w:val="217"/>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119,604</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122,896</w:t>
            </w:r>
          </w:p>
        </w:tc>
      </w:tr>
      <w:tr>
        <w:trPr>
          <w:trHeight w:val="21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55,300</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56,290</w:t>
            </w:r>
          </w:p>
        </w:tc>
      </w:tr>
      <w:tr>
        <w:trPr>
          <w:trHeight w:val="235"/>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508,356</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524,672</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39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its 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65" w:lineRule="auto"/>
        <w:rPr>
          <w:sz w:val="20"/>
          <w:szCs w:val="20"/>
          <w:color w:val="auto"/>
        </w:rPr>
      </w:pPr>
      <w:r>
        <w:rPr>
          <w:rFonts w:ascii="Arial" w:cs="Arial" w:eastAsia="Arial" w:hAnsi="Arial"/>
          <w:sz w:val="16"/>
          <w:szCs w:val="16"/>
          <w:color w:val="auto"/>
        </w:rPr>
        <w:t>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12, 2025, the defendants filed a motion to dismiss the amended complaint. Lead plaintiffs filed an opposition on January 13, 2026. On February 13, 2026, the parties filed a stipulation that the lead plaintiffs may file a further amended complaint within 30 days after the Company publicly reports full-year 2025 results. Given the preliminary stage of the litigation and inherent uncertainties in light of the forthcoming further amended complaint, we are unable at this time to form a view as to whether an adverse outcome is either probable or remote or to estimate the amount or range of potential loss in the event of an adverse outcome.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evaluated subsequent events from the Balance Sheet date through to the date at which the financial statements were available to be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Bridge Secured Credit Facility</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April 27, 2026, ICON Global Treasury Unlimited Company (the “Bridge Facility Borrower”) entered into a bridge facility credit agreement for an aggregate principal amount of $500 million (the "Bridge Secured Credit Facility"). The proceeds of the Bridge Secured Credit Facility may be used to discharge and repay in full $500 million aggregate principal amount of 2.875% Senior Secured Notes (the “2026 Notes”) issued by a subsidiary of the Group in July 2021. The Bridge Secured Credit Facility will mature on April 26, 2027.</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The Borrowings under the Bridge Secured Credit Facility do not amortize and are due at final maturity. The interest rate margin applicable to borrowings under the Bridge Secured Credit Facility is USD Term SOFR plus a fixed calendared applicable margin ranging from 1.00% to 2.25%. At June 23, 2026, the applicable margin was 1.00%.</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Bridge Facility Borrower’s obligations under the Bridge Secured Credit Facility are guaranteed by ICON and the subsidiary guarantors party thereto. The Bridge Secured Credit Facility is secured by a lien on substantially all of the assets (subject to certain exceptions) of ICON, the Bridge Facility Borrower and each of the subsidiary guarantors, and the Bridge Secured Credit Facility will have a first-priority lien on such assets which will rank pari passu with the lien securing ICON’s other first lien secured indebtedness and is subject to other permitted liens. The Company is permitted to make voluntary prepayments under the Bridge Secured Credit Facility without premium or penalty (subject to customary break funding payments).</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Bridge Secured Credit Facility contains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Bridge Secured Credit Facility provides that, upon the occurrence of certain events of default, the obligations under the credit agreement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i w:val="1"/>
          <w:iCs w:val="1"/>
          <w:color w:val="auto"/>
        </w:rPr>
        <w:t>Disposal of Symphony Health Solutions Corporation</w:t>
      </w:r>
    </w:p>
    <w:p>
      <w:pPr>
        <w:spacing w:after="0" w:line="2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May 8, 2026, ICON completed the disposition of Symphony Health Solutions Corporation ("Symphony") pursuant to a merger agreement, by and among HealthVerity, Inc. ("HealthVerity"), Symphony, Pharmaceutical Research Associates, Inc. and HealthVerity Merger Sub, Inc. ("HV Merger Sub"), a wholly owned subsidiary of HealthVerity. Pursuant to the merger agreement, HV Merger Sub merged with and into Symphony, with Symphony surviving the merger as a wholly owned subsidiary of HealthVerity. The consideration payable by HealthVerity in connection with the merger consisted of shares of stock in HealthVerity, subject to customary adjustments as set forth in the merger agreement. In connection with the merger, ICON also purchased additional shares of stock in HealthVerity for an aggregate purchase price of $37.5 million. As a result, ICON holds a minority equity interest in HealthVerity. As of May 8, 2026, the Company’s investment in HealthVerity has been recorded at a carrying value of $nil.</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Waivers to the debt agreements</w:t>
      </w:r>
    </w:p>
    <w:p>
      <w:pPr>
        <w:spacing w:after="0" w:line="2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April 27, 2026, the parties (limited to the borrowers and revolving lenders under the senior secured revolving loan facility only) to the Credit Agreement (as defined below) entered into a Consent to Credit Agreement pursuant to which such revolving lenders agreed to provide a limited and temporary waiver of the requirement to deliver certain financial statements under the senior secured revolving credit facility in connection with the borrowings thereunder. The waiver applied solely for the specified consent period ending May 31, 2026.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May 18, 2026, the Company launched a consent and waiver to the Credit Agreement (applicable to all facilities thereunder) in order to request that the requisite lenders thereunder agree to (i) waive the technical default caused by the Company’s late delivery of annual financial statements for the fiscal year ending December 31, 2025, (ii) provide an extension of</w:t>
      </w:r>
    </w:p>
    <w:p>
      <w:pPr>
        <w:spacing w:after="0" w:line="1" w:lineRule="exact"/>
        <w:rPr>
          <w:sz w:val="20"/>
          <w:szCs w:val="20"/>
          <w:color w:val="auto"/>
        </w:rPr>
      </w:pPr>
    </w:p>
    <w:p>
      <w:pPr>
        <w:jc w:val="both"/>
        <w:ind w:right="2060"/>
        <w:spacing w:after="0" w:line="264" w:lineRule="auto"/>
        <w:rPr>
          <w:sz w:val="20"/>
          <w:szCs w:val="20"/>
          <w:color w:val="auto"/>
        </w:rPr>
      </w:pPr>
      <w:r>
        <w:rPr>
          <w:rFonts w:ascii="Arial" w:cs="Arial" w:eastAsia="Arial" w:hAnsi="Arial"/>
          <w:sz w:val="16"/>
          <w:szCs w:val="16"/>
          <w:color w:val="auto"/>
        </w:rPr>
        <w:t>the delivery of the Company’s annual financial statements for the fiscal year ending December 31, 2025 to July 16, 2026 and (iii) provide an extension of the delivery of the Company’s quarterly financial statements for the fiscal quarter ending March 31, 2026 to July 31, 2026. Consent to the waiver was received on May 22, 2026.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filed its Annual Report on Form 20-F for the year ended December 31, 2025 on May 27, 2026.</w:t>
      </w:r>
    </w:p>
    <w:p>
      <w:pPr>
        <w:spacing w:after="0" w:line="2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May 29, 2026, the Annual Report on Form 20-F that was subject to the April 27, 2026 and May 18, 2026 waivers was delivered to the requisite parties under the Credit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determined that there are no other items to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year ended December 31, 2025.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We are a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w:t>
      </w:r>
    </w:p>
    <w:p>
      <w:pPr>
        <w:ind w:right="20" w:firstLine="8"/>
        <w:spacing w:after="0" w:line="270" w:lineRule="auto"/>
        <w:tabs>
          <w:tab w:leader="none" w:pos="122"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compound selection to Phase I-IV clinical studies. Our vision is to be the healthcare intelligence partner of choice by delivering industry leading solutions and best in class performance in clinical development.</w:t>
      </w:r>
    </w:p>
    <w:p>
      <w:pPr>
        <w:spacing w:after="0" w:line="19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or a “blended-service” solution. At March 31, 2026, we had approximately 40,350 employees in 97 locations in 55 countries. During the three months ended March 31, 2026 we derived 31.6%, 56.6% and 11.8% of our revenue in the United States, Europe and Rest of World respectively (during the three months ended March 31, 2025: 33.4%, 55.1% and 11.5% respectively).</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being studied,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March 31, 2026 we had unsatisfied performance obligations of approximately $15.0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Note 4 </w:t>
      </w:r>
      <w:r>
        <w:rPr>
          <w:rFonts w:ascii="Arial" w:cs="Arial" w:eastAsia="Arial" w:hAnsi="Arial"/>
          <w:sz w:val="16"/>
          <w:szCs w:val="16"/>
          <w:i w:val="1"/>
          <w:iCs w:val="1"/>
          <w:color w:val="auto"/>
        </w:rPr>
        <w:t>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0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5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2026</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2025 to 2026</w:t>
            </w:r>
          </w:p>
        </w:tc>
      </w:tr>
      <w:tr>
        <w:trPr>
          <w:trHeight w:val="156"/>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rPr>
              <w:t>Percentage of Revenue</w:t>
            </w:r>
          </w:p>
        </w:tc>
        <w:tc>
          <w:tcPr>
            <w:tcW w:w="10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Percentage</w:t>
            </w:r>
          </w:p>
        </w:tc>
      </w:tr>
      <w:tr>
        <w:trPr>
          <w:trHeight w:val="16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rPr>
              <w:t>(Decrease)</w:t>
            </w: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spacing w:after="0"/>
              <w:rPr>
                <w:sz w:val="20"/>
                <w:szCs w:val="20"/>
                <w:color w:val="auto"/>
              </w:rPr>
            </w:pPr>
            <w:r>
              <w:rPr>
                <w:rFonts w:ascii="Arial" w:cs="Arial" w:eastAsia="Arial" w:hAnsi="Arial"/>
                <w:sz w:val="16"/>
                <w:szCs w:val="16"/>
                <w:color w:val="auto"/>
              </w:rPr>
              <w:t>0.9 %</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Direct costs</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76.5 %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71.9 %</w:t>
            </w:r>
          </w:p>
        </w:tc>
        <w:tc>
          <w:tcPr>
            <w:tcW w:w="1200" w:type="dxa"/>
            <w:vAlign w:val="bottom"/>
          </w:tcPr>
          <w:p>
            <w:pPr>
              <w:jc w:val="right"/>
              <w:spacing w:after="0"/>
              <w:rPr>
                <w:sz w:val="20"/>
                <w:szCs w:val="20"/>
                <w:color w:val="auto"/>
              </w:rPr>
            </w:pPr>
            <w:r>
              <w:rPr>
                <w:rFonts w:ascii="Arial" w:cs="Arial" w:eastAsia="Arial" w:hAnsi="Arial"/>
                <w:sz w:val="16"/>
                <w:szCs w:val="16"/>
                <w:color w:val="auto"/>
              </w:rPr>
              <w:t>7.4 %</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9.8 %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1.8 %</w:t>
            </w:r>
          </w:p>
        </w:tc>
        <w:tc>
          <w:tcPr>
            <w:tcW w:w="1200" w:type="dxa"/>
            <w:vAlign w:val="bottom"/>
          </w:tcPr>
          <w:p>
            <w:pPr>
              <w:jc w:val="right"/>
              <w:spacing w:after="0"/>
              <w:rPr>
                <w:sz w:val="20"/>
                <w:szCs w:val="20"/>
                <w:color w:val="auto"/>
              </w:rPr>
            </w:pPr>
            <w:r>
              <w:rPr>
                <w:rFonts w:ascii="Arial" w:cs="Arial" w:eastAsia="Arial" w:hAnsi="Arial"/>
                <w:sz w:val="16"/>
                <w:szCs w:val="16"/>
                <w:color w:val="auto"/>
              </w:rPr>
              <w:t>8.2 %</w:t>
            </w:r>
          </w:p>
        </w:tc>
        <w:tc>
          <w:tcPr>
            <w:tcW w:w="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2.9 %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Transaction and integration related</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0.3 %</w:t>
            </w:r>
          </w:p>
        </w:tc>
        <w:tc>
          <w:tcPr>
            <w:tcW w:w="1200" w:type="dxa"/>
            <w:vAlign w:val="bottom"/>
          </w:tcPr>
          <w:p>
            <w:pPr>
              <w:jc w:val="right"/>
              <w:spacing w:after="0"/>
              <w:rPr>
                <w:sz w:val="20"/>
                <w:szCs w:val="20"/>
                <w:color w:val="auto"/>
              </w:rPr>
            </w:pPr>
            <w:r>
              <w:rPr>
                <w:rFonts w:ascii="Arial" w:cs="Arial" w:eastAsia="Arial" w:hAnsi="Arial"/>
                <w:sz w:val="16"/>
                <w:szCs w:val="16"/>
                <w:color w:val="auto"/>
              </w:rPr>
              <w:t>(41.0)%</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0.5 %</w:t>
            </w: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2.0 %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8.5 %</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11.3 %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783"/>
        </w:trPr>
        <w:tc>
          <w:tcPr>
            <w:tcW w:w="5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4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280"/>
              <w:spacing w:after="0" w:line="162" w:lineRule="exact"/>
              <w:rPr>
                <w:sz w:val="20"/>
                <w:szCs w:val="20"/>
                <w:color w:val="auto"/>
              </w:rPr>
            </w:pPr>
            <w:r>
              <w:rPr>
                <w:rFonts w:ascii="Arial" w:cs="Arial" w:eastAsia="Arial" w:hAnsi="Arial"/>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Change</w:t>
            </w: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2,033,999 $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2,015,320</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18,679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20" w:type="dxa"/>
            <w:vAlign w:val="bottom"/>
          </w:tcPr>
          <w:p>
            <w:pPr>
              <w:spacing w:after="0"/>
              <w:rPr>
                <w:sz w:val="18"/>
                <w:szCs w:val="18"/>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three months ended March 31, 2026 increased by $18.7 million, or 0.9%, to $2,034.0 million, compared to $2,015.3 million for the three months ended March 31, 2025. Revenue decreased by 1.9% in constant currency terms. Revenue growth for the three months ended March 31, 2026 has been impacted by business mix.</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During the three months ended March 31, 2026, we derived 31.6%, 56.6% and 11.8% of our revenue in the United States, Europe and Rest of World respectively. Revenues from our top five customers amounted to $508.0 million in the three months ended March 31, 2026, compared to $496.1 million for the three months ended March 31, 2025 or 25.0% and 24.6% of total revenue respectively. New customer accounts are continually added across the full portfolio of large pharma customers, mid-tier pharma customers and biotech customers.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ind w:firstLine="648"/>
        <w:spacing w:after="0" w:line="265" w:lineRule="auto"/>
        <w:rPr>
          <w:sz w:val="20"/>
          <w:szCs w:val="20"/>
          <w:color w:val="auto"/>
        </w:rPr>
      </w:pPr>
      <w:r>
        <w:rPr>
          <w:rFonts w:ascii="Arial" w:cs="Arial" w:eastAsia="Arial" w:hAnsi="Arial"/>
          <w:sz w:val="16"/>
          <w:szCs w:val="16"/>
          <w:color w:val="auto"/>
        </w:rPr>
        <w:t xml:space="preserve">Revenue in Ireland increased by $27.1 million for the three months ended March 31, 2026, to $761.4 million, compared to $734.3 million for the three months ended March 31, 2025. Revenue in Ireland during the period ended March 31, 2026 increased by 3.7% compared to an overall increase in Group revenue of 0.9%. Revenue in Ireland is principally a function of our global contracting model (see Note 15 </w:t>
      </w:r>
      <w:r>
        <w:rPr>
          <w:rFonts w:ascii="Arial" w:cs="Arial" w:eastAsia="Arial" w:hAnsi="Arial"/>
          <w:sz w:val="16"/>
          <w:szCs w:val="16"/>
          <w:i w:val="1"/>
          <w:iCs w:val="1"/>
          <w:color w:val="auto"/>
        </w:rPr>
        <w:t>Business Segment and Geographical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Revenue in our Rest of Europe region increased by $14.9 million or 4.0%, to $390.8 million, compared to $375.9 million for the three months ended March 31, 2025. Revenue in the U.S. region decreased by $29.8 million or 4.4%, to $642.6 million, compared to $672.4 million for the three months ended March 31, 2025. Revenue in the Rest of World ('Other') region increased by $6.5 million or 2.8%, to $239.2 million, compared to $232.7 million for the three months ended March 31, 2025.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1,556,073</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1,449,258</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106,815</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76.5 %</w:t>
            </w:r>
          </w:p>
        </w:tc>
        <w:tc>
          <w:tcPr>
            <w:tcW w:w="9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71.9 %</w:t>
            </w: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7.4 %</w:t>
            </w:r>
          </w:p>
        </w:tc>
      </w:tr>
    </w:tbl>
    <w:p>
      <w:pPr>
        <w:spacing w:after="0" w:line="31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Direct costs for the three months ended March 31, 2026 increased by $106.8 million, or 7.4%, to $1,556.1 million compared to $1,449.3 million for the three months ended March 31, 2025.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third party investigator/other reimbursable costs, and laboratories, partially offset by decreases in travel and other direct project driven costs. As a percentage of revenue, direct costs have increased to 76.5% of revenue during the three months ended March 31, 2026 compared to 71.9% of revenue for the three months ended March 31,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16"/>
        </w:trPr>
        <w:tc>
          <w:tcPr>
            <w:tcW w:w="49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r>
      <w:tr>
        <w:trPr>
          <w:trHeight w:val="21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200,598</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198,384</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2,214</w:t>
            </w: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9.8 %</w:t>
            </w:r>
          </w:p>
        </w:tc>
        <w:tc>
          <w:tcPr>
            <w:tcW w:w="1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9.8 %</w:t>
            </w:r>
          </w:p>
        </w:tc>
        <w:tc>
          <w:tcPr>
            <w:tcW w:w="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1.1 %</w:t>
            </w:r>
          </w:p>
        </w:tc>
      </w:tr>
    </w:tbl>
    <w:p>
      <w:pPr>
        <w:spacing w:after="0" w:line="2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Selling, general and administrative expenses for the three months ended March 31, 2026 increased by $2.2 million, or 1.1%, to $200.6 million, compared to $198.4 million for the three months ended March 31, 2025. Selling, general and administrative expenses comprise primarily of compensation, related fringe benefits and routine share based compensation expense for non-project-related employees, recruitment expenditure, professional service costs, advertising costs and costs related to facilities and information systems. The increase in selling, general and administrative expenses primarily relates to increases in professional fees of $29.4 million offset by positive foreign exchange movements of $26.5 million during the three months ended March 31, 2026. As a percentage of revenue, selling, general and administrative expenses remained at 9.8% during the three months ended March 31, 2026, compared to 9.8% of revenue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47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6"/>
        </w:trPr>
        <w:tc>
          <w:tcPr>
            <w:tcW w:w="47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0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40,052</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37,012</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3,040</w:t>
            </w: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2.0 %</w:t>
            </w:r>
          </w:p>
        </w:tc>
        <w:tc>
          <w:tcPr>
            <w:tcW w:w="1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1.8 %</w:t>
            </w:r>
          </w:p>
        </w:tc>
        <w:tc>
          <w:tcPr>
            <w:tcW w:w="8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50,279</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58,946</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(8,667)</w:t>
            </w: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2.5 %</w:t>
            </w:r>
          </w:p>
        </w:tc>
        <w:tc>
          <w:tcPr>
            <w:tcW w:w="1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2.9 %</w:t>
            </w:r>
          </w:p>
        </w:tc>
        <w:tc>
          <w:tcPr>
            <w:tcW w:w="8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w:t>
            </w:r>
          </w:p>
        </w:tc>
      </w:tr>
    </w:tbl>
    <w:p>
      <w:pPr>
        <w:spacing w:after="0" w:line="3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depreciation expense for the three months ended March 31, 2026 increased by $3.0 million, or 8.2%, to $40.1 million compared to $37.0 million for the three months ended March 31, 2025. The depreciation charge for the three months ended March 31, 2026 reflects the use of depreciating assets including facilities, information systems and equipment. As a percentage of revenue, the depreciation expense increased to 2.0% of revenue, for the three months ended March 31, 2026 compared to 1.8% for the three months ended March 31, 2025. The depreciation charge has increased mainly due to additional investment in technology assets.</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Amortization expense for the three months ended March 31, 2026 decreased by $8.7 million, or 14.7%, to $50.3 million compared to $58.9 million for the three months ended March 31, 2025. The amortization expense represents the amortization of intangible assets acquired in business combinations. As a percentage of revenue, the amortization expense decreased to 2.5% for the three months ended March 31, 2026, compared to 2.9% for the three months ended March 31, 2025. The decrease in amortization primarily reflects the impact of the impairment of the intangible assets related to the Data Solution reporting Unit in Quarter 3,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 related expenses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1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related</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3,187</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5,404</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(2,217)</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0.2 %</w:t>
            </w:r>
          </w:p>
        </w:tc>
        <w:tc>
          <w:tcPr>
            <w:tcW w:w="1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0.3 %</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10,076</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39,346</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(29,270)</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0.5 %</w:t>
            </w:r>
          </w:p>
        </w:tc>
        <w:tc>
          <w:tcPr>
            <w:tcW w:w="1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2.0 %</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(74.4)%</w:t>
            </w:r>
          </w:p>
        </w:tc>
      </w:tr>
    </w:tbl>
    <w:p>
      <w:pPr>
        <w:spacing w:after="0" w:line="3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three months ended March 31, 2026, the Company incurred $3.2 million for transaction and integration-related expenses. The charge includes costs associated with transactions and ongoing integration activities related to our acquisitions. Such costs include professional fees, legal costs and related integration costs.</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During the three months ended March 31, 2026 the Company undertook a restructuring program aimed at realigning its workforce. This program resulted in a restructuring charge of $10.1 million.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Three Months Ended</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6"/>
        </w:trPr>
        <w:tc>
          <w:tcPr>
            <w:tcW w:w="5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gridSpan w:val="2"/>
            <w:shd w:val="clear" w:color="auto" w:fill="CCEEFF"/>
          </w:tcPr>
          <w:p>
            <w:pPr>
              <w:jc w:val="center"/>
              <w:ind w:left="319"/>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r>
      <w:tr>
        <w:trPr>
          <w:trHeight w:val="21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0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173,734</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226,970</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(53,236)</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8.5 %</w:t>
            </w:r>
          </w:p>
        </w:tc>
        <w:tc>
          <w:tcPr>
            <w:tcW w:w="10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11.3 %</w:t>
            </w:r>
          </w:p>
        </w:tc>
        <w:tc>
          <w:tcPr>
            <w:tcW w:w="7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(23.5)%</w:t>
            </w:r>
          </w:p>
        </w:tc>
      </w:tr>
    </w:tbl>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decreased by $53.2 million or 23.5% to $173.7 million for the three months ended March 31, 2026 compared to $227.0 million for the three months ended March 31, 2025. As a percentage of revenue, income from operations decreased to 8.5% for the three months ended March 31, 2026 compared to 11.3% of revenue for the three months ended March 31, 2025.</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Excluding amortization of intangible assets, income from operations in Ireland decreased to $125.2 million for the three months ended March 31, 2026 compared to $163.4 million for three months ended March 31, 2025. As a percentage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6"/>
          <w:szCs w:val="16"/>
          <w:color w:val="auto"/>
        </w:rPr>
        <w:t>revenue, excluding amortization of intangible assets, income from operations in Ireland decreased to 16.4% for the three months ended March 31, 2026 compared to 22.2% for the three months ended March 31, 2025.</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the Rest of Europe region, excluding amortization of intangible assets, income from operations decreased to $31.7 million for the three months ended March 31, 2026 compared to $36.8 million for the three months ended March 31, 2025. As a percentage of revenue, excluding amortization of intangible assets, income from operations in the Rest of Europe region decreased to 8.1% for the three months ended March 31, 2026 compared to 9.8% for the three months ended March 31, 2025.</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the U.S. region, income from operations, excluding amortization of intangible assets, decreased to $49.7 million for the three months ended March 31, 2026 compared to $68.5 million for the three months ended March 31, 2025. As a percentage of revenue, excluding amortization of intangible assets, income from operations in the U.S. region decreased to 7.7% for the three months ended March 31, 2026 compared to 10.2% for the three months ended March 31, 2025.</w:t>
      </w:r>
    </w:p>
    <w:p>
      <w:pPr>
        <w:spacing w:after="0" w:line="19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other regions, income from operations, excluding amortization of intangible assets, increased to $17.4 million for the three months ended March 31, 2026 compared to $17.2 million for the three months ended March 31, 2025. As percentage of revenue, excluding amortization of intangible assets, income from operations in the other regions decreased to 7.3% for the three months ended March 31, 2026 compared to 7.4% for the three months ended March 31, 2025.</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Change</w:t>
            </w:r>
          </w:p>
        </w:tc>
        <w:tc>
          <w:tcPr>
            <w:tcW w:w="920" w:type="dxa"/>
            <w:vAlign w:val="bottom"/>
            <w:shd w:val="clear" w:color="auto" w:fill="CCEEFF"/>
          </w:tcPr>
          <w:p>
            <w:pPr>
              <w:spacing w:after="0"/>
              <w:rPr>
                <w:sz w:val="16"/>
                <w:szCs w:val="16"/>
                <w:color w:val="auto"/>
              </w:rPr>
            </w:pPr>
          </w:p>
        </w:tc>
      </w:tr>
      <w:tr>
        <w:trPr>
          <w:trHeight w:val="216"/>
        </w:trPr>
        <w:tc>
          <w:tcPr>
            <w:tcW w:w="4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6"/>
                <w:szCs w:val="16"/>
                <w:b w:val="1"/>
                <w:bCs w:val="1"/>
                <w:color w:val="auto"/>
              </w:rPr>
              <w:t>March 31,</w:t>
            </w:r>
          </w:p>
        </w:tc>
        <w:tc>
          <w:tcPr>
            <w:tcW w:w="7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2026</w:t>
            </w:r>
          </w:p>
        </w:tc>
        <w:tc>
          <w:tcPr>
            <w:tcW w:w="9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19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(47,997)</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(47,609)</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799"/>
              <w:spacing w:after="0"/>
              <w:rPr>
                <w:sz w:val="20"/>
                <w:szCs w:val="20"/>
                <w:color w:val="auto"/>
              </w:rPr>
            </w:pPr>
            <w:r>
              <w:rPr>
                <w:rFonts w:ascii="Arial" w:cs="Arial" w:eastAsia="Arial" w:hAnsi="Arial"/>
                <w:sz w:val="16"/>
                <w:szCs w:val="16"/>
                <w:color w:val="auto"/>
              </w:rPr>
              <w:t>(388)</w:t>
            </w:r>
          </w:p>
        </w:tc>
        <w:tc>
          <w:tcPr>
            <w:tcW w:w="920" w:type="dxa"/>
            <w:vAlign w:val="bottom"/>
          </w:tcPr>
          <w:p>
            <w:pPr>
              <w:jc w:val="right"/>
              <w:spacing w:after="0"/>
              <w:rPr>
                <w:sz w:val="20"/>
                <w:szCs w:val="20"/>
                <w:color w:val="auto"/>
              </w:rPr>
            </w:pPr>
            <w:r>
              <w:rPr>
                <w:rFonts w:ascii="Arial" w:cs="Arial" w:eastAsia="Arial" w:hAnsi="Arial"/>
                <w:sz w:val="16"/>
                <w:szCs w:val="16"/>
                <w:color w:val="auto"/>
              </w:rPr>
              <w:t>0.8 %</w:t>
            </w:r>
          </w:p>
        </w:tc>
      </w:tr>
    </w:tbl>
    <w:p>
      <w:pPr>
        <w:spacing w:after="0" w:line="3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Interest expense for the three months ended March 31, 2026 increased to $48.0 million, compared to $47.6 million for the three months ended March 31, 2025. Interest income for the three months ended March 31, 2026 was $1.8 million compared to $1.8 million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6"/>
        </w:trPr>
        <w:tc>
          <w:tcPr>
            <w:tcW w:w="65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22,807</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20,351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2,456</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17.9 %</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11.2 %</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12.1 %</w:t>
            </w:r>
          </w:p>
        </w:tc>
      </w:tr>
    </w:tbl>
    <w:p>
      <w:pPr>
        <w:spacing w:after="0" w:line="3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Income tax expense increased to a $22.8 million charge for the three months ended March 31, 2026 compared to a $20.4 million charge for the three months ended March 31, 2025. The Company’s effective tax rate for the three months ended March 31, 2026 was 17.9% compared with 11.2% for the three months ended March 31, 2025 primarily due to changes in the level of deferred tax benefit associated with the amortization of intangible assets and other discrete period expenses.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 the exception of the foregoing,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 and transactions pertaining to its ordinary shares.</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Company’s principal sources of cash are its existing cash and cash equivalents as well as cash generated from operations. In addition, the Company may from time to time supplement its liquidity through additional issuances of debt, the refinancing of existing indebtedness, borrowings under its revolving credit facility, or proceeds from the sale of assets or short-term investments, subject to prevailing market conditions.</w:t>
      </w:r>
    </w:p>
    <w:p>
      <w:pPr>
        <w:spacing w:after="0" w:line="19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Company’s material cash requirements in the next 12 months include the repayment of $500 million in aggregate principal amount of 2026 Notes, which will mature on July 15, 2026 and the repayment of $750 million in aggregate principal amount of 2027 Notes, which will mature on May 8, 2027. On April 27, 2026, ICON Global Treasury Unlimited Company entered into the Bridge Secured Credit Facility for an aggregate principal amount of $500.0 million. The proceeds of the Bridge Secured Credit Facility may be used to discharge and repay in full the 2026 Notes. However, the Company may determine to repay the 2026 Notes through cash on hand or an alternative refinancing arrangement.</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down payment at the time the contract is entered into, with the balance paid in installments over the contract duration, in some cases on the achievement of certain milestones. Therefore, cash receipts do not correspond to costs incurred and revenue recognized on contracts. In the Company's opinion, working capital, together with the Company's available financing arrangements, including the Bridge Secured Credit Facility, is sufficient to meet the Company's present requirements, including the repayment of the 2026 Notes and 2027 Notes at maturity.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Net repaid</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Net cash</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 non-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Effect of</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 March</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inflow</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cash</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exchange</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31, 2026</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rates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647,295</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121,210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765,164</w:t>
            </w: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Arial" w:cs="Arial" w:eastAsia="Arial" w:hAnsi="Arial"/>
                <w:sz w:val="16"/>
                <w:szCs w:val="16"/>
                <w:color w:val="auto"/>
              </w:rPr>
              <w:t>Senior Secured Credit Facilities, New</w:t>
            </w:r>
          </w:p>
        </w:tc>
        <w:tc>
          <w:tcPr>
            <w:tcW w:w="4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(3,402,378)</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7,440</w:t>
            </w: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(1,519)</w:t>
            </w:r>
          </w:p>
        </w:tc>
        <w:tc>
          <w:tcPr>
            <w:tcW w:w="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(3,396,457)</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Notes &amp; 2026 Notes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Net cash and cash equivalents and</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(2,755,083)</w:t>
            </w: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7,440</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121,210</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(2,631,293)</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and cash equivalents and borrowings is a useful measure that assists understanding of the Company’s liquidity and capital resources, which is relevant to the Company’s strategy. The Company’s cash and cash equivalents at March 31, 2026 amounted to $765.2 million compared with $647.3 million at December 31, 2025.</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for details on the Company's outstanding debt. Refer to Note 9 </w:t>
      </w:r>
      <w:r>
        <w:rPr>
          <w:rFonts w:ascii="Arial" w:cs="Arial" w:eastAsia="Arial" w:hAnsi="Arial"/>
          <w:sz w:val="16"/>
          <w:szCs w:val="16"/>
          <w:i w:val="1"/>
          <w:iCs w:val="1"/>
          <w:color w:val="auto"/>
        </w:rPr>
        <w:t>Operating Leases</w:t>
      </w:r>
      <w:r>
        <w:rPr>
          <w:rFonts w:ascii="Arial" w:cs="Arial" w:eastAsia="Arial" w:hAnsi="Arial"/>
          <w:sz w:val="16"/>
          <w:szCs w:val="16"/>
          <w:color w:val="auto"/>
        </w:rPr>
        <w:t xml:space="preserve"> for further details on the Company's contractual liabilities for lease arrangements.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Net cash provided by operating activities decreased by $101.2 million to $167.0 million for the three months ended March 31, 2026 as compared to net cash provided by operating activities of $268.2 million for the three months ended March 31, 2025. The decrease in net cash provided by operating activities of $101.2 million is primarily due to a change of mix in revenue, pricing pressures and underlying cost increases.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jc w:val="both"/>
        <w:ind w:firstLine="648"/>
        <w:spacing w:after="0"/>
        <w:rPr>
          <w:sz w:val="20"/>
          <w:szCs w:val="20"/>
          <w:color w:val="auto"/>
        </w:rPr>
      </w:pPr>
      <w:r>
        <w:rPr>
          <w:rFonts w:ascii="Arial" w:cs="Arial" w:eastAsia="Arial" w:hAnsi="Arial"/>
          <w:sz w:val="16"/>
          <w:szCs w:val="16"/>
          <w:color w:val="auto"/>
        </w:rPr>
        <w:t>The change in working capital is primarily attributable to a decrease in accounts receivable related cashflows of $3.7 million, a decrease in unearned revenue related cashflows of $25.4 million (as unearned revenue balances decreased during the three months ended March 31, 2026, compared to an increase during the three months ended March 31, 2025), a decrease in other net assets related cashflows of $61.4 million offset by an increase in unbilled revenue related cashflows of $73.1 million (as unbilled revenue balances decreased during the three months ended March 31, 2026, compared to an increase during the three months ended March 31, 2025). These changes result from differences in timing of revenue recognition, cash collection, upfront receipts and billing on clinical trials.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Cash generated from working capital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and movement in exchange rates also impact cash inflows and days' revenue outstanding.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Net cash used in investing activities was $39.4 million for the three months ended March 31, 2026 compared to net cash used in investing activities of $37.3 million for the three months ended March 31, 2025. Net cash used in investing activities during the three months ended March 31, 2026 was primarily related to cash outflows of $30.8 million for capital expenditures made mainly relating to investment in facilities and IT infrastructure and $8.7 million in relation to investments in equity. Net cash used in investing activities during the three months ended March 31, 2025 was primarily related to cash outflows of $28.9 million for capital expenditures made mainly relating to investment in facilities and IT infrastructure and $5.8 million in relation to investments in equity.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Net cash used in financing activities during the three months ended March 31, 2026 amounted to $6.4 million compared to net cash used in financing activities of $252.8 million for the three months ended March 31, 2025. During the three months ended March 31, 2026, the Company made a net repayment of $7.4 million on external financing (See the C</w:t>
      </w:r>
      <w:r>
        <w:rPr>
          <w:rFonts w:ascii="Arial" w:cs="Arial" w:eastAsia="Arial" w:hAnsi="Arial"/>
          <w:sz w:val="16"/>
          <w:szCs w:val="16"/>
          <w:i w:val="1"/>
          <w:iCs w:val="1"/>
          <w:color w:val="auto"/>
        </w:rPr>
        <w:t>ondensed Consolidated Statements of Cash Flows</w:t>
      </w:r>
      <w:r>
        <w:rPr>
          <w:rFonts w:ascii="Arial" w:cs="Arial" w:eastAsia="Arial" w:hAnsi="Arial"/>
          <w:sz w:val="16"/>
          <w:szCs w:val="16"/>
          <w:color w:val="auto"/>
        </w:rPr>
        <w:t xml:space="preserve"> for further details). This outflow was offset by $1.1 million received by the Company from the exercise of equity compensation. During the three months ended March 31, 2025, the Company made a net repayment of $7.4 million on external financing (See the C</w:t>
      </w:r>
      <w:r>
        <w:rPr>
          <w:rFonts w:ascii="Arial" w:cs="Arial" w:eastAsia="Arial" w:hAnsi="Arial"/>
          <w:sz w:val="16"/>
          <w:szCs w:val="16"/>
          <w:i w:val="1"/>
          <w:iCs w:val="1"/>
          <w:color w:val="auto"/>
        </w:rPr>
        <w:t>ondensed Consolidated Statements of Cash Flows</w:t>
      </w:r>
      <w:r>
        <w:rPr>
          <w:rFonts w:ascii="Arial" w:cs="Arial" w:eastAsia="Arial" w:hAnsi="Arial"/>
          <w:sz w:val="16"/>
          <w:szCs w:val="16"/>
          <w:color w:val="auto"/>
        </w:rPr>
        <w:t xml:space="preserve"> for further details). Further, the Company repurchased 1,360,537 ordinary shares for a total consideration of $250.0 million. These outflows were offset by $4.8 million received by the Company from the exercise of equity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3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As a result of these cash flows, cash and cash equivalents increased by $117.9 million for the three months ended March 31, 2026 compared to a decrease of $12.1 million for the three months ended March 31, 2025.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Summarized financial information of issuers and guarantors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Any Guarantor will be automatically and unconditionally released from all obligations under its note guarantee, and such note guarantee shall thereupon terminate and be discharged and of no further force and effect:</w:t>
      </w:r>
    </w:p>
    <w:p>
      <w:pPr>
        <w:spacing w:after="0" w:line="197" w:lineRule="exact"/>
        <w:rPr>
          <w:sz w:val="20"/>
          <w:szCs w:val="20"/>
          <w:color w:val="auto"/>
        </w:rPr>
      </w:pPr>
    </w:p>
    <w:p>
      <w:pPr>
        <w:jc w:val="both"/>
        <w:ind w:left="660" w:right="20" w:hanging="328"/>
        <w:spacing w:after="0" w:line="24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to all Guarantors (other than ICON), at the time of any collateral release event;</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legal defeasance, covenant defeasance or satisfaction and discharge of the indenture governing the New Notes;</w:t>
      </w:r>
    </w:p>
    <w:p>
      <w:pPr>
        <w:spacing w:after="0" w:line="5"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merger, amalgamation or consolidation of any Guarantor into ICON, the Issuer or another Guarantor or upon the liquidation, dissolution or winding up of such Guarantor;</w:t>
      </w:r>
    </w:p>
    <w:p>
      <w:pPr>
        <w:spacing w:after="0" w:line="1"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release of such Guarantor from its guarantee under the Senior Secured Credit Facilities (except in the case of a release from the repayment in full of the Senior Secured Credit Facilities); or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such Guarantor becoming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Summarized Combined Financial Information</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Summarized financial information (the "SFI"), as defined under Rule 1-02 (bb) of Regulation S-X, is provided below for the Issuer and Guarantor entities, collectively, the "Obligor Group" as of March 31, 2026 and December 31, 2025, and for the three months ended March 31, 2026 and the year ended December 31, 2025. The SFI is presented on a combined basis with intercompany transactions and balances among the entities included in the Obligor Group eliminated. The Obligor Group SFI excludes investments in non-guarantor entities.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55"/>
        </w:trPr>
        <w:tc>
          <w:tcPr>
            <w:tcW w:w="8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Three Months</w:t>
            </w:r>
          </w:p>
        </w:tc>
        <w:tc>
          <w:tcPr>
            <w:tcW w:w="3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Ended</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1,847,707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7,458,182</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costs and expenses (a)</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1,726,758</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6,904,067</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 (a)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120,949</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554,115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 (b)</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60,680</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697,416</w:t>
            </w:r>
          </w:p>
        </w:tc>
        <w:tc>
          <w:tcPr>
            <w:tcW w:w="0" w:type="dxa"/>
            <w:vAlign w:val="bottom"/>
          </w:tcPr>
          <w:p>
            <w:pPr>
              <w:spacing w:after="0"/>
              <w:rPr>
                <w:sz w:val="1"/>
                <w:szCs w:val="1"/>
                <w:color w:val="auto"/>
              </w:rPr>
            </w:pPr>
          </w:p>
        </w:tc>
      </w:tr>
      <w:tr>
        <w:trPr>
          <w:trHeight w:val="21"/>
        </w:trPr>
        <w:tc>
          <w:tcPr>
            <w:tcW w:w="8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20" w:hanging="8"/>
        <w:spacing w:after="0" w:line="256" w:lineRule="auto"/>
        <w:tabs>
          <w:tab w:leader="none" w:pos="61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amortization of intangible assets of $48.7 million for the three months ended March 31, 2026 and $218.9 million for the year ended December 31, 2025; and Impairment of non-financial assets of $101.0 million for the year ended December 31, 2025.</w:t>
      </w:r>
    </w:p>
    <w:p>
      <w:pPr>
        <w:spacing w:after="0" w:line="1" w:lineRule="exact"/>
        <w:rPr>
          <w:rFonts w:ascii="Arial" w:cs="Arial" w:eastAsia="Arial" w:hAnsi="Arial"/>
          <w:sz w:val="16"/>
          <w:szCs w:val="16"/>
          <w:color w:val="auto"/>
        </w:rPr>
      </w:pPr>
    </w:p>
    <w:p>
      <w:pPr>
        <w:ind w:left="340" w:hanging="8"/>
        <w:spacing w:after="0" w:line="283" w:lineRule="auto"/>
        <w:tabs>
          <w:tab w:leader="none" w:pos="61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intercompany interest expense of $6.2 million for the three months ended March 31, 2026 and $40.0 million for the year ended December 31, 2025.</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(Unaudited)</w:t>
            </w:r>
          </w:p>
        </w:tc>
      </w:tr>
      <w:tr>
        <w:trPr>
          <w:trHeight w:val="155"/>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3,145,712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2,747,172</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 (c)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60,696,371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60,744,796</w:t>
            </w:r>
          </w:p>
        </w:tc>
      </w:tr>
      <w:tr>
        <w:trPr>
          <w:trHeight w:val="215"/>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Intercompany receivables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1,313,825</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1,373,556</w:t>
            </w:r>
          </w:p>
        </w:tc>
      </w:tr>
      <w:tr>
        <w:trPr>
          <w:trHeight w:val="235"/>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65,155,908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64,865,524</w:t>
            </w: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2,868,238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2,609,722</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3,660,085</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3,682,199</w:t>
            </w:r>
          </w:p>
        </w:tc>
      </w:tr>
      <w:tr>
        <w:trPr>
          <w:trHeight w:val="216"/>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Intercompany payables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2,983,847</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2,972,684</w:t>
            </w:r>
          </w:p>
        </w:tc>
      </w:tr>
      <w:tr>
        <w:trPr>
          <w:trHeight w:val="21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9,512,170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9,264,605</w:t>
            </w: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 Non-current assets include each Guarantor's investment in obligor subsidiaries, on a combined aggregated basis.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Other than as described below, 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and one or more unfavorable outcomes could adversely affect us for the period in which they are resolved. In addition, regardless of their merits or their ultimate outcomes, lawsuits and legal proceedings are costly, divert management attention, and may adversely affect our reputation, even if they are resolved in our favor.</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its former Chief Executive Officer, and its former Chief Financial Officer were named as defendants in two class action lawsuits involving similar claims, filed in the United States District Court for the Eastern District of New York on February 10, 2025 (Shing v. ICON plc, et al.) and April 2, 2025 (Police and Fire Retirement System of the City of Detroit v. ICON plc), respectively, alleging that defendants made misleading statements regarding the Company’s financial performance and future business prospects in violation of Sections 10(b) and 20(a) of the Securities Exchange Act of 1934. The two cases have been consolidated and are proceeding under the caption In re ICON plc Securities Litigation, No. 2:25-cv-00763 (the "Putative Class Action"). Lead plaintiffs and lead counsel for the putative class were appointed on June 10, 2025. On September 12, 2025, the lead plaintiffs filed an amended complaint that names the Company’s current Chief Executive Officer in addition to the original defendants.</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November 12, 2025, the defendants filed a motion to dismiss the amended complaint. Lead plaintiffs filed an opposition on January 13, 2026. On February 13, 2026, the parties filed a stipulation that the lead plaintiffs may file a further amended complaint within 30 days after the Company publicly reports full-year 2025 results. Given the preliminary stage of the litigation and inherent uncertainties in light of the forthcoming further amended complaint, we are unable at this time to form a view as to whether an adverse outcome is either probable or remote or to estimate the amount or range of potential loss in the event of an adverse outcome.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Exhibit</w:t>
            </w:r>
          </w:p>
        </w:tc>
        <w:tc>
          <w:tcPr>
            <w:tcW w:w="9920" w:type="dxa"/>
            <w:vAlign w:val="bottom"/>
            <w:vMerge w:val="restart"/>
            <w:shd w:val="clear" w:color="auto" w:fill="CCEEFF"/>
          </w:tcPr>
          <w:p>
            <w:pPr>
              <w:ind w:left="64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9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0000FF"/>
              </w:rPr>
              <w:t>17.</w:t>
            </w:r>
            <w:r>
              <w:rPr>
                <w:rFonts w:ascii="Arial" w:cs="Arial" w:eastAsia="Arial" w:hAnsi="Arial"/>
                <w:sz w:val="14"/>
                <w:szCs w:val="14"/>
                <w:u w:val="single" w:color="auto"/>
                <w:color w:val="0000FF"/>
              </w:rPr>
              <w:t>1*</w:t>
            </w:r>
          </w:p>
        </w:tc>
        <w:tc>
          <w:tcPr>
            <w:tcW w:w="99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List of Subsidiary Guarantors and Issuer of Guaranteed Debt Securities and Affiliates Whose Securities Collateralize Securities of ICON</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0000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99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Investments Six Designated Activity Company as at June 23, 2026.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101.1*</w:t>
            </w:r>
          </w:p>
        </w:tc>
        <w:tc>
          <w:tcPr>
            <w:tcW w:w="99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Interactive Data Files (Inline XBRL – Related Documents).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104</w:t>
            </w:r>
          </w:p>
        </w:tc>
        <w:tc>
          <w:tcPr>
            <w:tcW w:w="940" w:type="dxa"/>
            <w:vAlign w:val="bottom"/>
            <w:shd w:val="clear" w:color="auto" w:fill="CCEEFF"/>
          </w:tcPr>
          <w:p>
            <w:pPr>
              <w:spacing w:after="0"/>
              <w:rPr>
                <w:sz w:val="17"/>
                <w:szCs w:val="17"/>
                <w:color w:val="auto"/>
              </w:rPr>
            </w:pPr>
          </w:p>
        </w:tc>
        <w:tc>
          <w:tcPr>
            <w:tcW w:w="99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Cover Page Interactive Data File (embedded within the Inline XBRL document and included in Exhibit 101).</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SIGNATURE</w:t>
      </w:r>
    </w:p>
    <w:p>
      <w:pPr>
        <w:spacing w:after="0" w:line="248" w:lineRule="exact"/>
        <w:rPr>
          <w:sz w:val="20"/>
          <w:szCs w:val="20"/>
          <w:color w:val="auto"/>
        </w:rPr>
      </w:pPr>
    </w:p>
    <w:p>
      <w:pPr>
        <w:ind w:firstLine="286"/>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3600" w:type="dxa"/>
            <w:vAlign w:val="bottom"/>
          </w:tcPr>
          <w:p>
            <w:pPr>
              <w:ind w:left="1680"/>
              <w:spacing w:after="0"/>
              <w:rPr>
                <w:sz w:val="20"/>
                <w:szCs w:val="20"/>
                <w:color w:val="auto"/>
              </w:rPr>
            </w:pPr>
            <w:r>
              <w:rPr>
                <w:rFonts w:ascii="Arial" w:cs="Arial" w:eastAsia="Arial" w:hAnsi="Arial"/>
                <w:sz w:val="16"/>
                <w:szCs w:val="16"/>
                <w:b w:val="1"/>
                <w:bCs w:val="1"/>
                <w:color w:val="auto"/>
              </w:rPr>
              <w:t>ICON plc</w:t>
            </w:r>
          </w:p>
        </w:tc>
        <w:tc>
          <w:tcPr>
            <w:tcW w:w="4260" w:type="dxa"/>
            <w:vAlign w:val="bottom"/>
          </w:tcPr>
          <w:p>
            <w:pPr>
              <w:spacing w:after="0"/>
              <w:rPr>
                <w:sz w:val="19"/>
                <w:szCs w:val="19"/>
                <w:color w:val="auto"/>
              </w:rPr>
            </w:pPr>
          </w:p>
        </w:tc>
      </w:tr>
      <w:tr>
        <w:trPr>
          <w:trHeight w:val="464"/>
        </w:trPr>
        <w:tc>
          <w:tcPr>
            <w:tcW w:w="3360" w:type="dxa"/>
            <w:vAlign w:val="bottom"/>
          </w:tcPr>
          <w:p>
            <w:pPr>
              <w:spacing w:after="0"/>
              <w:rPr>
                <w:sz w:val="20"/>
                <w:szCs w:val="20"/>
                <w:color w:val="auto"/>
              </w:rPr>
            </w:pPr>
            <w:r>
              <w:rPr>
                <w:rFonts w:ascii="Arial" w:cs="Arial" w:eastAsia="Arial" w:hAnsi="Arial"/>
                <w:sz w:val="16"/>
                <w:szCs w:val="16"/>
                <w:color w:val="auto"/>
              </w:rPr>
              <w:t>Date:   June 23, 2026</w:t>
            </w:r>
          </w:p>
        </w:tc>
        <w:tc>
          <w:tcPr>
            <w:tcW w:w="3600" w:type="dxa"/>
            <w:vAlign w:val="bottom"/>
          </w:tcPr>
          <w:p>
            <w:pPr>
              <w:ind w:left="1680"/>
              <w:spacing w:after="0"/>
              <w:rPr>
                <w:sz w:val="20"/>
                <w:szCs w:val="20"/>
                <w:color w:val="auto"/>
              </w:rPr>
            </w:pPr>
            <w:r>
              <w:rPr>
                <w:rFonts w:ascii="Arial" w:cs="Arial" w:eastAsia="Arial" w:hAnsi="Arial"/>
                <w:sz w:val="16"/>
                <w:szCs w:val="16"/>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210"/>
        </w:trPr>
        <w:tc>
          <w:tcPr>
            <w:tcW w:w="3360" w:type="dxa"/>
            <w:vAlign w:val="bottom"/>
          </w:tcPr>
          <w:p>
            <w:pPr>
              <w:spacing w:after="0"/>
              <w:rPr>
                <w:sz w:val="18"/>
                <w:szCs w:val="18"/>
                <w:color w:val="auto"/>
              </w:rPr>
            </w:pPr>
          </w:p>
        </w:tc>
        <w:tc>
          <w:tcPr>
            <w:tcW w:w="3600" w:type="dxa"/>
            <w:vAlign w:val="bottom"/>
          </w:tcPr>
          <w:p>
            <w:pPr>
              <w:ind w:left="1680"/>
              <w:spacing w:after="0"/>
              <w:rPr>
                <w:sz w:val="20"/>
                <w:szCs w:val="20"/>
                <w:color w:val="auto"/>
              </w:rPr>
            </w:pPr>
            <w:r>
              <w:rPr>
                <w:rFonts w:ascii="Arial" w:cs="Arial" w:eastAsia="Arial" w:hAnsi="Arial"/>
                <w:sz w:val="16"/>
                <w:szCs w:val="16"/>
                <w:color w:val="auto"/>
              </w:rPr>
              <w:t>Name:</w:t>
            </w:r>
          </w:p>
        </w:tc>
        <w:tc>
          <w:tcPr>
            <w:tcW w:w="426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3360" w:type="dxa"/>
            <w:vAlign w:val="bottom"/>
          </w:tcPr>
          <w:p>
            <w:pPr>
              <w:spacing w:after="0"/>
              <w:rPr>
                <w:sz w:val="18"/>
                <w:szCs w:val="18"/>
                <w:color w:val="auto"/>
              </w:rPr>
            </w:pPr>
          </w:p>
        </w:tc>
        <w:tc>
          <w:tcPr>
            <w:tcW w:w="3600" w:type="dxa"/>
            <w:vAlign w:val="bottom"/>
          </w:tcPr>
          <w:p>
            <w:pPr>
              <w:ind w:left="1680"/>
              <w:spacing w:after="0"/>
              <w:rPr>
                <w:sz w:val="20"/>
                <w:szCs w:val="20"/>
                <w:color w:val="auto"/>
              </w:rPr>
            </w:pPr>
            <w:r>
              <w:rPr>
                <w:rFonts w:ascii="Arial" w:cs="Arial" w:eastAsia="Arial" w:hAnsi="Arial"/>
                <w:sz w:val="16"/>
                <w:szCs w:val="16"/>
                <w:color w:val="auto"/>
              </w:rPr>
              <w:t>Title:</w:t>
            </w:r>
          </w:p>
        </w:tc>
        <w:tc>
          <w:tcPr>
            <w:tcW w:w="42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864"/>
        </w:trPr>
        <w:tc>
          <w:tcPr>
            <w:tcW w:w="3360" w:type="dxa"/>
            <w:vAlign w:val="bottom"/>
          </w:tcPr>
          <w:p>
            <w:pPr>
              <w:spacing w:after="0"/>
              <w:rPr>
                <w:sz w:val="24"/>
                <w:szCs w:val="24"/>
                <w:color w:val="auto"/>
              </w:rPr>
            </w:pPr>
          </w:p>
        </w:tc>
        <w:tc>
          <w:tcPr>
            <w:tcW w:w="3600" w:type="dxa"/>
            <w:vAlign w:val="bottom"/>
          </w:tcPr>
          <w:p>
            <w:pPr>
              <w:ind w:left="2160"/>
              <w:spacing w:after="0"/>
              <w:rPr>
                <w:sz w:val="20"/>
                <w:szCs w:val="20"/>
                <w:color w:val="auto"/>
              </w:rPr>
            </w:pPr>
            <w:r>
              <w:rPr>
                <w:rFonts w:ascii="Arial" w:cs="Arial" w:eastAsia="Arial" w:hAnsi="Arial"/>
                <w:sz w:val="16"/>
                <w:szCs w:val="16"/>
                <w:color w:val="auto"/>
              </w:rPr>
              <w:t>38</w:t>
            </w:r>
          </w:p>
        </w:tc>
        <w:tc>
          <w:tcPr>
            <w:tcW w:w="4260" w:type="dxa"/>
            <w:vAlign w:val="bottom"/>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 OF GUARANTEED SECURITIES AND AFFILIATES WHOSE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COLLATERALIZE SECURITIES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ICON plc, (the “Company”) are guarantors of ICON Investments Six Designated Activity Company’s (the “Issuer”) 5.809%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 5.849% Senior Secured Notes due 2029 and 6.000% Senior Secured Notes due 2034</w:t>
      </w:r>
      <w:r>
        <w:rPr>
          <w:rFonts w:ascii="Times New Roman" w:cs="Times New Roman" w:eastAsia="Times New Roman" w:hAnsi="Times New Roman"/>
          <w:sz w:val="19"/>
          <w:szCs w:val="19"/>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0" w:type="dxa"/>
            <w:vAlign w:val="bottom"/>
          </w:tcPr>
          <w:p>
            <w:pPr>
              <w:spacing w:after="0"/>
              <w:rPr>
                <w:sz w:val="1"/>
                <w:szCs w:val="1"/>
                <w:color w:val="auto"/>
              </w:rPr>
            </w:pPr>
          </w:p>
        </w:tc>
      </w:tr>
      <w:tr>
        <w:trPr>
          <w:trHeight w:val="175"/>
        </w:trPr>
        <w:tc>
          <w:tcPr>
            <w:tcW w:w="8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INCORPORATION OR</w:t>
            </w:r>
          </w:p>
        </w:tc>
        <w:tc>
          <w:tcPr>
            <w:tcW w:w="0" w:type="dxa"/>
            <w:vAlign w:val="bottom"/>
          </w:tcPr>
          <w:p>
            <w:pPr>
              <w:spacing w:after="0"/>
              <w:rPr>
                <w:sz w:val="1"/>
                <w:szCs w:val="1"/>
                <w:color w:val="auto"/>
              </w:rPr>
            </w:pPr>
          </w:p>
        </w:tc>
      </w:tr>
      <w:tr>
        <w:trPr>
          <w:trHeight w:val="243"/>
        </w:trPr>
        <w:tc>
          <w:tcPr>
            <w:tcW w:w="8260" w:type="dxa"/>
            <w:vAlign w:val="bottom"/>
            <w:gridSpan w:val="2"/>
            <w:vMerge w:val="continue"/>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18"/>
        </w:trPr>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w:t>
            </w:r>
          </w:p>
        </w:tc>
        <w:tc>
          <w:tcPr>
            <w:tcW w:w="132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Holdings (Ireland)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Beacon Bioscience,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MolecularMD Corp.</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PriceSpective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Global,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US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 Carolina</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Health Sciences,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International,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Global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Parent Holding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Roy RPS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All issued and outstanding equity securities of the following subsidiaries of the Company, subject to the limitations set forth below, collateralize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5.809% Senior Secured Notes due 2027, 5.849% Senior Secured Notes due 2029 and 6.000% Senior Secured Notes due 2034: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(STATE OR OTHER JURISDICTION OF</w:t>
            </w:r>
          </w:p>
        </w:tc>
        <w:tc>
          <w:tcPr>
            <w:tcW w:w="478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80" w:type="dxa"/>
            <w:vAlign w:val="bottom"/>
            <w:gridSpan w:val="2"/>
            <w:vMerge w:val="continue"/>
          </w:tcPr>
          <w:p>
            <w:pPr>
              <w:spacing w:after="0"/>
              <w:rPr>
                <w:sz w:val="21"/>
                <w:szCs w:val="21"/>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0" w:type="dxa"/>
            <w:vAlign w:val="bottom"/>
          </w:tcPr>
          <w:p>
            <w:pPr>
              <w:spacing w:after="0"/>
              <w:rPr>
                <w:sz w:val="1"/>
                <w:szCs w:val="1"/>
                <w:color w:val="auto"/>
              </w:rPr>
            </w:pPr>
          </w:p>
        </w:tc>
      </w:tr>
      <w:tr>
        <w:trPr>
          <w:trHeight w:val="169"/>
        </w:trPr>
        <w:tc>
          <w:tcPr>
            <w:tcW w:w="44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ICON Investments Six Designated Activity Company</w:t>
            </w:r>
          </w:p>
        </w:tc>
        <w:tc>
          <w:tcPr>
            <w:tcW w:w="480" w:type="dxa"/>
            <w:vAlign w:val="bottom"/>
          </w:tcPr>
          <w:p>
            <w:pPr>
              <w:spacing w:after="0"/>
              <w:rPr>
                <w:sz w:val="14"/>
                <w:szCs w:val="14"/>
                <w:color w:val="auto"/>
              </w:rPr>
            </w:pPr>
          </w:p>
        </w:tc>
        <w:tc>
          <w:tcPr>
            <w:tcW w:w="44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ICON plc</w:t>
            </w:r>
          </w:p>
        </w:tc>
        <w:tc>
          <w:tcPr>
            <w:tcW w:w="3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8"/>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3"/>
        </w:trPr>
        <w:tc>
          <w:tcPr>
            <w:tcW w:w="49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47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96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ICON Clinical Research Property Holdings (Ireland)</w:t>
            </w:r>
          </w:p>
        </w:tc>
        <w:tc>
          <w:tcPr>
            <w:tcW w:w="47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Limited (Ireland)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(LR)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Early Phase Services, LLC (f/k/a Healthcare</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Discoveries, LLC) (Texas)</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Beacon Bioscience,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US Holdings Inc.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Laboratories, Inc.) (Delaware)</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96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MolecularMD Corp. (Delaware)</w:t>
            </w:r>
          </w:p>
        </w:tc>
        <w:tc>
          <w:tcPr>
            <w:tcW w:w="47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Laboratories,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PriceSpective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8"/>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Investments,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Clinical Resource Network, LLC (d/b/a Symphony Clinical</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(Illinois)</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Global, Inc. (New Jersey)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US Inc. (North Carolina)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Bermuda, Ltd. (Bermuda)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Services de Recherche Pharmaceutique Srl (Canada)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Health Sciences Colombia Ltda. (Colombia)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Hungary Research and</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Ltd. (Hungary)</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Italy S.r.l. (Italy)</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Mexico S. de R.L. de</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 V. (Mexico)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Mexico S. de R.L. de</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PRA International, LLC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 V. (Mexico)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ReSearch Pharmaceutical Services Netherlands B.V.</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RPS Perú S.A.C. (Peru)</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Research Pharmaceutical Services Puerto Rico, Inc. (Puerto</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Romania S.R.L.</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España, S.A.U. (Spain)</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Sweden AB (Sweden)</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Research (Thailand) Co., Ltd. (Thailand)</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Sterling Synergy Systems Limited (United Kingdom)</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ClinStar LLC (California)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Nextrials, Inc. (California)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Care Innovations,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CRI NewCo,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International Medical Technical Consultants, LLC</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Parallel 6,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PRA Early Development Research, Inc. (f/k/a Pharma Bio-</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USA, Inc.) (Delaware)</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US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Health Sciences,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Receivables,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Roy RPS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Sunset Hills,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 (Virginia)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International,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RPS Parent Holding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RPS Global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ICON Government and Public Health Solutions, Inc.</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ICON US Holdings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Bristol, LLC (Tennessee)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Charleston, LLC (South Carolina)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Charlotte, LLC (North Carolina)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Christie Clinic, LLC (Illinois)</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400" w:top="1431" w:right="879" w:bottom="1440" w:gutter="0" w:footer="0" w:header="0"/>
        </w:sectPr>
      </w:pPr>
    </w:p>
    <w:bookmarkStart w:id="42" w:name="page43"/>
    <w:bookmarkEnd w:id="4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Hickory, LLC (North Carolina)</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Raleigh, LLC (North Carolina)</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Rocky Mount, LLC (North Carolina)</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Salisbury, LLC (North Carolina)</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Wilmington, LLC (North Carolina)</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Winston-Salem, LLC (North Carolina)</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Averion Europe GmbH (Germany)</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CHC Group, LLC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PubsHub LLC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Global Pharmaceutical Strategies Group, LLC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MMMM Group, LLC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Tennessee, LLC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ADDPLAN, Inc.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Tennessee,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2"/>
        </w:trPr>
        <w:tc>
          <w:tcPr>
            <w:tcW w:w="4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CRN North America, LLC (d/b/a Symphony Clinical</w:t>
            </w:r>
          </w:p>
        </w:tc>
        <w:tc>
          <w:tcPr>
            <w:tcW w:w="482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CRN Holdings, LLC</w:t>
            </w:r>
          </w:p>
        </w:tc>
        <w:tc>
          <w:tcPr>
            <w:tcW w:w="1240" w:type="dxa"/>
            <w:vAlign w:val="bottom"/>
          </w:tcPr>
          <w:p>
            <w:pPr>
              <w:jc w:val="center"/>
              <w:ind w:left="730"/>
              <w:spacing w:after="0" w:line="202"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Staffing) (Delaware)</w:t>
            </w: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Symphony Clinical Research Sp. Z O O. (Poland)</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CRN Holdings, LLC</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ICON Clinical Research Holdings (U.K.) Limited (United</w:t>
            </w:r>
          </w:p>
        </w:tc>
        <w:tc>
          <w:tcPr>
            <w:tcW w:w="482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240" w:type="dxa"/>
            <w:vAlign w:val="bottom"/>
          </w:tcPr>
          <w:p>
            <w:pPr>
              <w:jc w:val="center"/>
              <w:ind w:left="7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Oncacare Limited (Ireland)</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DOCS International B.V.</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Holdings (U.K.) Limited</w:t>
            </w:r>
          </w:p>
        </w:tc>
        <w:tc>
          <w:tcPr>
            <w:tcW w:w="12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620"/>
      </w:cols>
      <w:pgMar w:left="400" w:top="144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2026-06-23T16:39:59Z</dcterms:created>
  <dcterms:modified xsi:type="dcterms:W3CDTF">2026-06-23T16:39:59Z</dcterms:modified>
</cp:coreProperties>
</file>