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5"/>
          <w:szCs w:val="15"/>
          <w:b w:val="1"/>
          <w:bCs w:val="1"/>
          <w:color w:val="auto"/>
        </w:rPr>
        <w:t>UNITED STATES</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SECURITIES AND EXCHANGE COMMISSION</w:t>
      </w:r>
    </w:p>
    <w:p>
      <w:pPr>
        <w:spacing w:after="0" w:line="239"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Washington, D.C. 20549</w:t>
      </w:r>
    </w:p>
    <w:p>
      <w:pPr>
        <w:spacing w:after="0" w:line="238" w:lineRule="exact"/>
        <w:rPr>
          <w:sz w:val="24"/>
          <w:szCs w:val="24"/>
          <w:color w:val="auto"/>
        </w:rPr>
      </w:pPr>
    </w:p>
    <w:p>
      <w:pPr>
        <w:ind w:left="5240"/>
        <w:spacing w:after="0"/>
        <w:rPr>
          <w:sz w:val="20"/>
          <w:szCs w:val="20"/>
          <w:color w:val="auto"/>
        </w:rPr>
      </w:pPr>
      <w:r>
        <w:rPr>
          <w:rFonts w:ascii="Arial" w:cs="Arial" w:eastAsia="Arial" w:hAnsi="Arial"/>
          <w:sz w:val="15"/>
          <w:szCs w:val="15"/>
          <w:b w:val="1"/>
          <w:bCs w:val="1"/>
          <w:color w:val="auto"/>
        </w:rPr>
        <w:t>FORM 6-K</w:t>
      </w:r>
    </w:p>
    <w:p>
      <w:pPr>
        <w:spacing w:after="0" w:line="253"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Report of Foreign Private Issuer</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Pursuant to Rule 13a-16 or 15d-16 under</w:t>
      </w:r>
    </w:p>
    <w:p>
      <w:pPr>
        <w:spacing w:after="0" w:line="8"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For the month of</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July 2025</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333-08704</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(Commission file number)</w:t>
      </w:r>
    </w:p>
    <w:p>
      <w:pPr>
        <w:spacing w:after="0" w:line="200" w:lineRule="exact"/>
        <w:rPr>
          <w:sz w:val="24"/>
          <w:szCs w:val="24"/>
          <w:color w:val="auto"/>
        </w:rPr>
      </w:pPr>
    </w:p>
    <w:p>
      <w:pPr>
        <w:spacing w:after="0" w:line="256"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(Translation of registrant's name into English)</w:t>
      </w:r>
    </w:p>
    <w:p>
      <w:pPr>
        <w:spacing w:after="0" w:line="200" w:lineRule="exact"/>
        <w:rPr>
          <w:sz w:val="24"/>
          <w:szCs w:val="24"/>
          <w:color w:val="auto"/>
        </w:rPr>
      </w:pPr>
    </w:p>
    <w:p>
      <w:pPr>
        <w:spacing w:after="0" w:line="258"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South County Business Park, Leopardstown, Dublin 18, D18 X5R3, Ireland</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(Address of principal executive offices)</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32"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5"/>
          <w:szCs w:val="15"/>
          <w:color w:val="auto"/>
        </w:rPr>
        <w:t>Form 20-F___</w:t>
      </w:r>
      <w:r>
        <w:rPr>
          <w:rFonts w:ascii="Arial" w:cs="Arial" w:eastAsia="Arial" w:hAnsi="Arial"/>
          <w:sz w:val="15"/>
          <w:szCs w:val="15"/>
          <w:b w:val="1"/>
          <w:bCs w:val="1"/>
          <w:color w:val="auto"/>
        </w:rPr>
        <w:t>X</w:t>
      </w:r>
      <w:r>
        <w:rPr>
          <w:rFonts w:ascii="Arial" w:cs="Arial" w:eastAsia="Arial" w:hAnsi="Arial"/>
          <w:sz w:val="15"/>
          <w:szCs w:val="15"/>
          <w:color w:val="auto"/>
        </w:rPr>
        <w:t>___</w:t>
      </w:r>
      <w:r>
        <w:rPr>
          <w:sz w:val="20"/>
          <w:szCs w:val="20"/>
          <w:color w:val="auto"/>
        </w:rPr>
        <w:tab/>
      </w:r>
      <w:r>
        <w:rPr>
          <w:rFonts w:ascii="Arial" w:cs="Arial" w:eastAsia="Arial" w:hAnsi="Arial"/>
          <w:sz w:val="15"/>
          <w:szCs w:val="15"/>
          <w:color w:val="auto"/>
        </w:rPr>
        <w:t>Form 40-F______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754380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1195"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ICON plc</w:t>
      </w:r>
    </w:p>
    <w:p>
      <w:pPr>
        <w:spacing w:after="0" w:line="1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GENERAL</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18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June 30, 2025 we had approximately 39,900 employees in 95 locations in 55 countries. During the six months ended June 30, 2025 we derived 31.0%, 58.1% and 10.9% of our revenue in the United States, Europe and other regions ("Rest of World") respectively (during the six months ended June 30, 2024: 38.0%,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50.6% and 11.4% respectively).</w:t>
      </w:r>
    </w:p>
    <w:p>
      <w:pPr>
        <w:spacing w:after="0" w:line="2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22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February 18, 2025, the Company's Board of Directors authorized an additional share repurchase program under which the Company could repurchase up to $750.0 million of the outstanding ordinary shares of the Company by way of redemption. Along with unutilized amounts under previous authorizations, this permitted the Company as of February 18, 2025 to repurchase up to $1.0 billion worth of ordinary shares.</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March 2025, 1,360,537 shares were redeemed by the Company under our repurchase program for a total consideration of $250.0 million. During June 2025, a further 1,717,181 shares were redeemed by the Company under our repurchase program for a total consideration of $250.0 million.</w:t>
      </w:r>
    </w:p>
    <w:p>
      <w:pPr>
        <w:spacing w:after="0" w:line="17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July 22, 2025, the Company's Board of Directors authorized a further additional share repurchase program under which the Company could repurchase up to $500.0 million of the outstanding ordinary shares of the Company by way of redemption. As of July 24, 2025, the Company has remaining authorization to repurchase up to $1.0 billion of ordinary shares under the repurchase program.</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All ordinary shares redeemed under the repurchase program were canceled in accordance with the constitution of the Company and the nominal value of these shares transferred to other undenominated capital as required by Irish Company law.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Update on Vaccine Study</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March 3, 2025, the Company announced that the large-scale next generation COVID vaccine study, which was highlighted on our earnings call on February 20, 2025 as actively screening and moving forward as planned, was delayed by the sponsor. In May 2025, we communicated that we had recently received a positive update. Subsequently, the large-scale next generation COVID vaccine study, has been restarted and is now underway.</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Please also refer to the section entitled "Risk Factors" of our Form 20-F filed on February 21, 2025 for a discussion of some of the principal risks that could adversely affect our business, operations and financial results including the termination or delay of a large contract, or of multiple contracts which could have a material adverse effect on our revenue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Tariffs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April 2, 2025, the United States ("U.S.") government announced additional tariffs on certain goods imported to the United States of America. On April 9, 2025, the U.S. government announced reduced tariffs for a 90 day period. In May 2025, the U.S. government clarified that the 90 day period would extend to August 1, 2025. We continue to consider the impact of these developments on our business and our industry, and the actions we can take to minimize their impact.</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These developments create economic uncertainty, and further escalation of economic uncertainty, could lead to a global recession and could have a material adverse effect on our revenue, operations and profitability.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i w:val="1"/>
          <w:iCs w:val="1"/>
          <w:color w:val="auto"/>
        </w:rPr>
        <w:t>Budget Reconciliation Bill</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July 4, 2025 the U.S. President signed into law the Budget Reconciliation Bill, which extends various expiring tax provisions from the 2017 Tax Cuts and Jobs Act and introduces a variety of other law changes. We are currently evaluating the impact of this new legislation; our initial assessment is that it is not expected to have a material impact on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exchange translation</w:t>
      </w:r>
    </w:p>
    <w:p>
      <w:pPr>
        <w:spacing w:after="0" w:line="15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prepares its financial statements in U.S. dollar while the local results of a certain number of our subsidiaries are prepared in currencies other than U.S. dollars,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our global operations are based. Accordingly, changes in exchange rates between the U.S. dollar and those other currencies can impact the Company’s financial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 w:name="page5"/>
    <w:bookmarkEnd w:id="4"/>
    <w:p>
      <w:pPr>
        <w:ind w:left="562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AS AT JUNE 30,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(Audited)</w:t>
            </w:r>
          </w:p>
        </w:tc>
      </w:tr>
      <w:tr>
        <w:trPr>
          <w:trHeight w:val="148"/>
        </w:trPr>
        <w:tc>
          <w:tcPr>
            <w:tcW w:w="6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54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6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Current assets: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390,396</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1,367,255</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1,401,989</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Unbilled revenue</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1,244,560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1,286,274</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80,637</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79,487</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Prepayments and other current assets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143,263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140,435</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taxes receivable</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83,292</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83,523</w:t>
            </w:r>
          </w:p>
        </w:tc>
      </w:tr>
      <w:tr>
        <w:trPr>
          <w:trHeight w:val="20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3,309,403</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3,530,493</w:t>
            </w:r>
          </w:p>
        </w:tc>
      </w:tr>
      <w:tr>
        <w:trPr>
          <w:trHeight w:val="155"/>
        </w:trPr>
        <w:tc>
          <w:tcPr>
            <w:tcW w:w="6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Property, plant and equipment, net</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377,979</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382,879</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Goodwill</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9,092,410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9,051,410</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Intangible assets, net</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3,443,096</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3,559,792</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right-of-use assets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140,352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147,602</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85,032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72,796</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asset</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86,275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74,758</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Investments in equity</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67,743</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57,948</w:t>
            </w:r>
          </w:p>
        </w:tc>
      </w:tr>
      <w:tr>
        <w:trPr>
          <w:trHeight w:val="224"/>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16,602,290</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16,877,678</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Current liabilities: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94,503</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173,025</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Unearned revenue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1,514,442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1,614,758</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liabilities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898,909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923,603</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Income taxes payable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19,347</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55,258</w:t>
            </w:r>
          </w:p>
        </w:tc>
      </w:tr>
      <w:tr>
        <w:trPr>
          <w:trHeight w:val="206"/>
        </w:trPr>
        <w:tc>
          <w:tcPr>
            <w:tcW w:w="6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Current bank credit lines, loan facilities and notes</w:t>
            </w:r>
          </w:p>
        </w:tc>
        <w:tc>
          <w:tcPr>
            <w:tcW w:w="1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29,762</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r>
      <w:tr>
        <w:trPr>
          <w:trHeight w:val="199"/>
        </w:trPr>
        <w:tc>
          <w:tcPr>
            <w:tcW w:w="696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2,556,963</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2,796,406</w:t>
            </w:r>
          </w:p>
        </w:tc>
      </w:tr>
      <w:tr>
        <w:trPr>
          <w:trHeight w:val="207"/>
        </w:trPr>
        <w:tc>
          <w:tcPr>
            <w:tcW w:w="6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Non-current liabilities: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bank credit lines, loan facilities and notes, net</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3,384,488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3,396,398</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Lease liabilities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132,713</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140,085</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other liabilities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97,057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83,470</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Non-current income taxes payable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100,916</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125,834</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liability</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775,066</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812,486</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Commitments and contingencies</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7,047,203</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7,354,679</w:t>
            </w:r>
          </w:p>
        </w:tc>
      </w:tr>
      <w:tr>
        <w:trPr>
          <w:trHeight w:val="187"/>
        </w:trPr>
        <w:tc>
          <w:tcPr>
            <w:tcW w:w="6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Ordinary shares, par value 6 euro cents per share; 100,000,000 shares authorized,</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77,772,130 shares issued and outstanding at June 30, 2025 and</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80,756,860 shares issued and outstanding at December 31, 2024</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6,390</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6,586</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7,054,324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7,020,231</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undenominated capital</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1,506</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1,304</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(68,763)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Retained earnings</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2,561,630</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2,724,807</w:t>
            </w:r>
          </w:p>
        </w:tc>
      </w:tr>
      <w:tr>
        <w:trPr>
          <w:trHeight w:val="199"/>
        </w:trPr>
        <w:tc>
          <w:tcPr>
            <w:tcW w:w="6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Total Shareholders' Equity</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9,555,087</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9,522,999</w:t>
            </w:r>
          </w:p>
        </w:tc>
      </w:tr>
      <w:tr>
        <w:trPr>
          <w:trHeight w:val="199"/>
        </w:trPr>
        <w:tc>
          <w:tcPr>
            <w:tcW w:w="6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Liabilities and Shareholders' Equity</w:t>
            </w:r>
          </w:p>
        </w:tc>
        <w:tc>
          <w:tcPr>
            <w:tcW w:w="13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16,602,290</w:t>
            </w: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16,877,678</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420" w:top="448"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SIX MONTHS ENDED JUNE 30, 2025 AND JUNE 30, 2024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3"/>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3"/>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Six Months Ended</w:t>
            </w:r>
          </w:p>
        </w:tc>
      </w:tr>
      <w:tr>
        <w:trPr>
          <w:trHeight w:val="148"/>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3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34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40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4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360" w:type="dxa"/>
            <w:vAlign w:val="bottom"/>
            <w:gridSpan w:val="6"/>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(in thousands except share and per share data)</w:t>
            </w:r>
          </w:p>
        </w:tc>
        <w:tc>
          <w:tcPr>
            <w:tcW w:w="980" w:type="dxa"/>
            <w:vAlign w:val="bottom"/>
            <w:shd w:val="clear" w:color="auto" w:fill="CCEEFF"/>
          </w:tcPr>
          <w:p>
            <w:pPr>
              <w:spacing w:after="0"/>
              <w:rPr>
                <w:sz w:val="17"/>
                <w:szCs w:val="17"/>
                <w:color w:val="auto"/>
              </w:rPr>
            </w:pPr>
          </w:p>
        </w:tc>
      </w:tr>
      <w:tr>
        <w:trPr>
          <w:trHeight w:val="258"/>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2,017,357</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2,120,159</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4,018,689</w:t>
            </w:r>
          </w:p>
        </w:tc>
        <w:tc>
          <w:tcPr>
            <w:tcW w:w="40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4,210,545</w:t>
            </w:r>
          </w:p>
        </w:tc>
      </w:tr>
      <w:tr>
        <w:trPr>
          <w:trHeight w:val="258"/>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5"/>
        </w:trPr>
        <w:tc>
          <w:tcPr>
            <w:tcW w:w="482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108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1,455,758</w:t>
            </w:r>
          </w:p>
        </w:tc>
        <w:tc>
          <w:tcPr>
            <w:tcW w:w="34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1,493,600</w:t>
            </w:r>
          </w:p>
        </w:tc>
        <w:tc>
          <w:tcPr>
            <w:tcW w:w="34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2,898,437</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2,964,967</w:t>
            </w:r>
          </w:p>
        </w:tc>
      </w:tr>
      <w:tr>
        <w:trPr>
          <w:trHeight w:val="207"/>
        </w:trPr>
        <w:tc>
          <w:tcPr>
            <w:tcW w:w="4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205,006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194,458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403,390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371,808</w:t>
            </w:r>
          </w:p>
        </w:tc>
      </w:tr>
      <w:tr>
        <w:trPr>
          <w:trHeight w:val="205"/>
        </w:trPr>
        <w:tc>
          <w:tcPr>
            <w:tcW w:w="48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08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97,718</w:t>
            </w:r>
          </w:p>
        </w:tc>
        <w:tc>
          <w:tcPr>
            <w:tcW w:w="34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149,635</w:t>
            </w:r>
          </w:p>
        </w:tc>
        <w:tc>
          <w:tcPr>
            <w:tcW w:w="34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193,676</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298,816</w:t>
            </w:r>
          </w:p>
        </w:tc>
      </w:tr>
      <w:tr>
        <w:trPr>
          <w:trHeight w:val="207"/>
        </w:trPr>
        <w:tc>
          <w:tcPr>
            <w:tcW w:w="4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and integration related</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6,717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6,820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12,121</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13,811</w:t>
            </w:r>
          </w:p>
        </w:tc>
      </w:tr>
      <w:tr>
        <w:trPr>
          <w:trHeight w:val="205"/>
        </w:trPr>
        <w:tc>
          <w:tcPr>
            <w:tcW w:w="48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Restructuring</w:t>
            </w: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42,950</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45,789</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82,296</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45,789</w:t>
            </w:r>
          </w:p>
        </w:tc>
      </w:tr>
      <w:tr>
        <w:trPr>
          <w:trHeight w:val="199"/>
        </w:trPr>
        <w:tc>
          <w:tcPr>
            <w:tcW w:w="4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Total costs and expenses</w:t>
            </w:r>
          </w:p>
        </w:tc>
        <w:tc>
          <w:tcPr>
            <w:tcW w:w="10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1,808,149</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1,890,302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3,589,920</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3,695,191</w:t>
            </w:r>
          </w:p>
        </w:tc>
      </w:tr>
      <w:tr>
        <w:trPr>
          <w:trHeight w:val="239"/>
        </w:trPr>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209,208</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229,857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428,769</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515,354</w:t>
            </w:r>
          </w:p>
        </w:tc>
      </w:tr>
      <w:tr>
        <w:trPr>
          <w:trHeight w:val="205"/>
        </w:trPr>
        <w:tc>
          <w:tcPr>
            <w:tcW w:w="482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108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2,054</w:t>
            </w:r>
          </w:p>
        </w:tc>
        <w:tc>
          <w:tcPr>
            <w:tcW w:w="34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1,237</w:t>
            </w:r>
          </w:p>
        </w:tc>
        <w:tc>
          <w:tcPr>
            <w:tcW w:w="34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3,856</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3,167</w:t>
            </w:r>
          </w:p>
        </w:tc>
      </w:tr>
      <w:tr>
        <w:trPr>
          <w:trHeight w:val="206"/>
        </w:trPr>
        <w:tc>
          <w:tcPr>
            <w:tcW w:w="4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10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(50,151)</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(60,840)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(97,760)</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(132,505)</w:t>
            </w:r>
          </w:p>
        </w:tc>
      </w:tr>
      <w:tr>
        <w:trPr>
          <w:trHeight w:val="239"/>
        </w:trPr>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 benefit / (expense)</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161,111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170,254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334,865</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386,016</w:t>
            </w:r>
          </w:p>
        </w:tc>
      </w:tr>
      <w:tr>
        <w:trPr>
          <w:trHeight w:val="205"/>
        </w:trPr>
        <w:tc>
          <w:tcPr>
            <w:tcW w:w="48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 benefit / (expense)</w:t>
            </w: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21,861</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(23,344)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2,258</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(51,668)</w:t>
            </w:r>
          </w:p>
        </w:tc>
      </w:tr>
      <w:tr>
        <w:trPr>
          <w:trHeight w:val="224"/>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182,972</w:t>
            </w:r>
          </w:p>
        </w:tc>
        <w:tc>
          <w:tcPr>
            <w:tcW w:w="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146,910</w:t>
            </w:r>
          </w:p>
        </w:tc>
        <w:tc>
          <w:tcPr>
            <w:tcW w:w="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337,123</w:t>
            </w:r>
          </w:p>
        </w:tc>
        <w:tc>
          <w:tcPr>
            <w:tcW w:w="4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334,348</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58"/>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6"/>
        </w:trPr>
        <w:tc>
          <w:tcPr>
            <w:tcW w:w="4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2.31</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4.22</w:t>
            </w:r>
          </w:p>
        </w:tc>
        <w:tc>
          <w:tcPr>
            <w:tcW w:w="40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r>
      <w:tr>
        <w:trPr>
          <w:trHeight w:val="205"/>
        </w:trPr>
        <w:tc>
          <w:tcPr>
            <w:tcW w:w="48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Diluted</w:t>
            </w: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2.30</w:t>
            </w:r>
          </w:p>
        </w:tc>
        <w:tc>
          <w:tcPr>
            <w:tcW w:w="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w:t>
            </w:r>
          </w:p>
        </w:tc>
        <w:tc>
          <w:tcPr>
            <w:tcW w:w="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4.20</w:t>
            </w:r>
          </w:p>
        </w:tc>
        <w:tc>
          <w:tcPr>
            <w:tcW w:w="4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9"/>
        </w:trPr>
        <w:tc>
          <w:tcPr>
            <w:tcW w:w="48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05"/>
        </w:trPr>
        <w:tc>
          <w:tcPr>
            <w:tcW w:w="4820" w:type="dxa"/>
            <w:vAlign w:val="bottom"/>
          </w:tcPr>
          <w:p>
            <w:pPr>
              <w:ind w:left="320"/>
              <w:spacing w:after="0"/>
              <w:rPr>
                <w:sz w:val="20"/>
                <w:szCs w:val="20"/>
                <w:color w:val="auto"/>
              </w:rPr>
            </w:pPr>
            <w:r>
              <w:rPr>
                <w:rFonts w:ascii="Arial" w:cs="Arial" w:eastAsia="Arial" w:hAnsi="Arial"/>
                <w:sz w:val="15"/>
                <w:szCs w:val="15"/>
                <w:color w:val="auto"/>
              </w:rPr>
              <w:t>Basic</w:t>
            </w:r>
          </w:p>
        </w:tc>
        <w:tc>
          <w:tcPr>
            <w:tcW w:w="108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79,245,448</w:t>
            </w:r>
          </w:p>
        </w:tc>
        <w:tc>
          <w:tcPr>
            <w:tcW w:w="34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82,738,765</w:t>
            </w:r>
          </w:p>
        </w:tc>
        <w:tc>
          <w:tcPr>
            <w:tcW w:w="34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79,899,091</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82,658,984</w:t>
            </w:r>
          </w:p>
        </w:tc>
      </w:tr>
      <w:tr>
        <w:trPr>
          <w:trHeight w:val="231"/>
        </w:trPr>
        <w:tc>
          <w:tcPr>
            <w:tcW w:w="4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10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79,547,444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83,360,841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80,235,900</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83,260,144</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line="277" w:lineRule="auto"/>
        <w:rPr>
          <w:sz w:val="20"/>
          <w:szCs w:val="20"/>
          <w:color w:val="auto"/>
        </w:rPr>
      </w:pPr>
      <w:r>
        <w:rPr>
          <w:rFonts w:ascii="Arial" w:cs="Arial" w:eastAsia="Arial" w:hAnsi="Arial"/>
          <w:sz w:val="15"/>
          <w:szCs w:val="15"/>
          <w:b w:val="1"/>
          <w:bCs w:val="1"/>
          <w:color w:val="auto"/>
        </w:rPr>
        <w:t>CONDENSED CONSOLIDATED STATEMENTS OF COMPREHENSIVE INCOME FOR THE THREE AND SIX MONTHS ENDED JUNE 30, 2025 AND JUNE 30, 2024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gridSpan w:val="3"/>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Six Months Ended</w:t>
            </w:r>
          </w:p>
        </w:tc>
        <w:tc>
          <w:tcPr>
            <w:tcW w:w="680" w:type="dxa"/>
            <w:vAlign w:val="bottom"/>
            <w:tcBorders>
              <w:bottom w:val="single" w:sz="8" w:color="auto"/>
            </w:tcBorders>
            <w:shd w:val="clear" w:color="auto" w:fill="CCEEFF"/>
          </w:tcPr>
          <w:p>
            <w:pPr>
              <w:spacing w:after="0"/>
              <w:rPr>
                <w:sz w:val="17"/>
                <w:szCs w:val="17"/>
                <w:color w:val="auto"/>
              </w:rPr>
            </w:pPr>
          </w:p>
        </w:tc>
      </w:tr>
      <w:tr>
        <w:trPr>
          <w:trHeight w:val="148"/>
        </w:trPr>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44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660" w:type="dxa"/>
            <w:vAlign w:val="bottom"/>
          </w:tcPr>
          <w:p>
            <w:pPr>
              <w:spacing w:after="0"/>
              <w:rPr>
                <w:sz w:val="12"/>
                <w:szCs w:val="12"/>
                <w:color w:val="auto"/>
              </w:rPr>
            </w:pPr>
          </w:p>
        </w:tc>
        <w:tc>
          <w:tcPr>
            <w:tcW w:w="780" w:type="dxa"/>
            <w:vAlign w:val="bottom"/>
          </w:tcPr>
          <w:p>
            <w:pPr>
              <w:ind w:left="100"/>
              <w:spacing w:after="0" w:line="148" w:lineRule="exact"/>
              <w:rPr>
                <w:sz w:val="20"/>
                <w:szCs w:val="20"/>
                <w:color w:val="auto"/>
              </w:rPr>
            </w:pPr>
            <w:r>
              <w:rPr>
                <w:rFonts w:ascii="Arial" w:cs="Arial" w:eastAsia="Arial" w:hAnsi="Arial"/>
                <w:sz w:val="15"/>
                <w:szCs w:val="15"/>
                <w:b w:val="1"/>
                <w:bCs w:val="1"/>
                <w:color w:val="auto"/>
              </w:rPr>
              <w:t>June 30,</w:t>
            </w:r>
          </w:p>
        </w:tc>
        <w:tc>
          <w:tcPr>
            <w:tcW w:w="7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4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(in thousands)</w:t>
            </w: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7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182,972</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146,910</w:t>
            </w:r>
          </w:p>
        </w:tc>
        <w:tc>
          <w:tcPr>
            <w:tcW w:w="66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337,123</w:t>
            </w:r>
          </w:p>
        </w:tc>
        <w:tc>
          <w:tcPr>
            <w:tcW w:w="70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334,348</w:t>
            </w: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422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104,428</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(8,985)</w:t>
            </w:r>
          </w:p>
        </w:tc>
        <w:tc>
          <w:tcPr>
            <w:tcW w:w="6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163,586</w:t>
            </w:r>
          </w:p>
        </w:tc>
        <w:tc>
          <w:tcPr>
            <w:tcW w:w="7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(41,025)</w:t>
            </w:r>
          </w:p>
        </w:tc>
      </w:tr>
      <w:tr>
        <w:trPr>
          <w:trHeight w:val="206"/>
        </w:trPr>
        <w:tc>
          <w:tcPr>
            <w:tcW w:w="4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(Gain) / loss on cash flow hedge</w:t>
            </w:r>
          </w:p>
        </w:tc>
        <w:tc>
          <w:tcPr>
            <w:tcW w:w="17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6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4,972</w:t>
            </w:r>
          </w:p>
        </w:tc>
      </w:tr>
      <w:tr>
        <w:trPr>
          <w:trHeight w:val="20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7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287,400</w:t>
            </w:r>
          </w:p>
        </w:tc>
        <w:tc>
          <w:tcPr>
            <w:tcW w:w="4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133,813</w:t>
            </w:r>
          </w:p>
        </w:tc>
        <w:tc>
          <w:tcPr>
            <w:tcW w:w="6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498,289</w:t>
            </w:r>
          </w:p>
        </w:tc>
        <w:tc>
          <w:tcPr>
            <w:tcW w:w="7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298,295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SHAREHOLDERS'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80,756,860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6,586</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7,020,231</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(229,929)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2,724,807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9,522,999</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154,151</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59,158</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59,158</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210,889</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4,762</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27,046</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(1,360,537)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79,464,252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6,505</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7,037,344</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(173,191)</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2,628,808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9,500,855</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182,972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182,972</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104,428</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104,428</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287,400</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17,901</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7,158</w:t>
            </w: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tcPr>
          <w:p>
            <w:pPr>
              <w:jc w:val="right"/>
              <w:spacing w:after="0"/>
              <w:rPr>
                <w:sz w:val="20"/>
                <w:szCs w:val="20"/>
                <w:color w:val="auto"/>
              </w:rPr>
            </w:pPr>
            <w:r>
              <w:rPr>
                <w:rFonts w:ascii="Arial" w:cs="Arial" w:eastAsia="Arial" w:hAnsi="Arial"/>
                <w:sz w:val="15"/>
                <w:szCs w:val="15"/>
                <w:color w:val="auto"/>
              </w:rPr>
              <w:t>(1,717,181)</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(117)</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June 30,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77,772,130</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6,390</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7,054,324</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(68,763)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2,561,630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9,555,087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73660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9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SHAREHOLDERS'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82,495,086</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6,699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6,942,669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(143,506)</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2,433,719</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9,240,743</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187,438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187,438</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(32,040)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(32,040)</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9,084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164,482</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156,527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16,293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16,303</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32,192</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82,683,805</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6,711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6,970,079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(166,462)</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2,621,157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9,432,647</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146,910</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(8,985)</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(8,985)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133,813</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45,127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5,331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5,334</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87,668</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13,336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13,336</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82,816,600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6,720</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6,988,736</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(179,559)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2,768,067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9,585,126</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65405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92"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SIX MONTHS ENDED JUNE 30, 2025 AND JUNE 30, 2024</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44" w:lineRule="exact"/>
        <w:rPr>
          <w:sz w:val="20"/>
          <w:szCs w:val="20"/>
          <w:color w:val="auto"/>
        </w:rPr>
      </w:pPr>
    </w:p>
    <w:p>
      <w:pPr>
        <w:ind w:left="8800"/>
        <w:spacing w:after="0"/>
        <w:rPr>
          <w:sz w:val="20"/>
          <w:szCs w:val="20"/>
          <w:color w:val="auto"/>
        </w:rPr>
      </w:pPr>
      <w:r>
        <w:rPr>
          <w:rFonts w:ascii="Arial" w:cs="Arial" w:eastAsia="Arial" w:hAnsi="Arial"/>
          <w:sz w:val="15"/>
          <w:szCs w:val="15"/>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999605" cy="130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13081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0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7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7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(in thousands)</w:t>
            </w:r>
          </w:p>
        </w:tc>
        <w:tc>
          <w:tcPr>
            <w:tcW w:w="920" w:type="dxa"/>
            <w:vAlign w:val="bottom"/>
            <w:shd w:val="clear" w:color="auto" w:fill="CCEEFF"/>
          </w:tcPr>
          <w:p>
            <w:pPr>
              <w:spacing w:after="0"/>
              <w:rPr>
                <w:sz w:val="17"/>
                <w:szCs w:val="17"/>
                <w:color w:val="auto"/>
              </w:rPr>
            </w:pPr>
          </w:p>
        </w:tc>
      </w:tr>
      <w:tr>
        <w:trPr>
          <w:trHeight w:val="206"/>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provided by operating activities:</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4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337,123</w:t>
            </w:r>
          </w:p>
        </w:tc>
        <w:tc>
          <w:tcPr>
            <w:tcW w:w="64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334,348</w:t>
            </w:r>
          </w:p>
        </w:tc>
      </w:tr>
      <w:tr>
        <w:trPr>
          <w:trHeight w:val="245"/>
        </w:trPr>
        <w:tc>
          <w:tcPr>
            <w:tcW w:w="7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6"/>
        </w:trPr>
        <w:tc>
          <w:tcPr>
            <w:tcW w:w="70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Depreciation and amortization expense</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193,676</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298,816</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12,559</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Reduction in carrying value of operating right-of-use assets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18,977</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19,367</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financing costs and debt discount</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20,604</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Stock compensation expense</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27,610</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28,145</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tax benefit</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(46,095)</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(61,239)</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Unrealized foreign exchange movements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34,777</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13,761</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non-cash items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15,266</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12,463</w:t>
            </w:r>
          </w:p>
        </w:tc>
      </w:tr>
      <w:tr>
        <w:trPr>
          <w:trHeight w:val="205"/>
        </w:trPr>
        <w:tc>
          <w:tcPr>
            <w:tcW w:w="7000" w:type="dxa"/>
            <w:vAlign w:val="bottom"/>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24,374</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198,749</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Unbilled revenue</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36,040</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(287,183)</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Unearned revenue</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(122,306)</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(52,081)</w:t>
            </w:r>
          </w:p>
        </w:tc>
      </w:tr>
      <w:tr>
        <w:trPr>
          <w:trHeight w:val="205"/>
        </w:trPr>
        <w:tc>
          <w:tcPr>
            <w:tcW w:w="70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Other net assets and liabilities</w:t>
            </w: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(113,545)</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7,356</w:t>
            </w:r>
          </w:p>
        </w:tc>
      </w:tr>
      <w:tr>
        <w:trPr>
          <w:trHeight w:val="200"/>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provided by operating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414,441</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545,665</w:t>
            </w:r>
          </w:p>
        </w:tc>
      </w:tr>
      <w:tr>
        <w:trPr>
          <w:trHeight w:val="245"/>
        </w:trPr>
        <w:tc>
          <w:tcPr>
            <w:tcW w:w="7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6"/>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Cash flows used in investing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Purchase of property, plant and equipment</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(61,185)</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(63,440)</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 of subsidiary undertakings (net of cash acquired)</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(2,537)</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(7,831)</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Movement of available for sale investments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1,954</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investments in equity</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1,373</w:t>
            </w:r>
          </w:p>
        </w:tc>
      </w:tr>
      <w:tr>
        <w:trPr>
          <w:trHeight w:val="205"/>
        </w:trPr>
        <w:tc>
          <w:tcPr>
            <w:tcW w:w="70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Purchase of investments in equity</w:t>
            </w: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(12,330)</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(5,621)</w:t>
            </w:r>
          </w:p>
        </w:tc>
      </w:tr>
      <w:tr>
        <w:trPr>
          <w:trHeight w:val="200"/>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used in investing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(75,491)</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(73,565)</w:t>
            </w:r>
          </w:p>
        </w:tc>
      </w:tr>
      <w:tr>
        <w:trPr>
          <w:trHeight w:val="245"/>
        </w:trPr>
        <w:tc>
          <w:tcPr>
            <w:tcW w:w="7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6"/>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Cash flows used in financing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New Notes issue costs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(11,679)</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Drawdown of credit lines and loan facilities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2,192,480</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Repayment of credit lines and loan facilities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(64,881)</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(2,537,882)</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exercise of equity compensation</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21,645</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Share issue costs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Repurchase of ordinary shares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70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Share repurchase costs</w:t>
            </w: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0"/>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used in financing activities</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(508,692)</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(335,450)</w:t>
            </w:r>
          </w:p>
        </w:tc>
      </w:tr>
      <w:tr>
        <w:trPr>
          <w:trHeight w:val="245"/>
        </w:trPr>
        <w:tc>
          <w:tcPr>
            <w:tcW w:w="7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5"/>
        </w:trPr>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movements on cash</w:t>
            </w:r>
          </w:p>
        </w:tc>
        <w:tc>
          <w:tcPr>
            <w:tcW w:w="1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21,353</w:t>
            </w:r>
          </w:p>
        </w:tc>
        <w:tc>
          <w:tcPr>
            <w:tcW w:w="6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(8,199)</w:t>
            </w:r>
          </w:p>
        </w:tc>
      </w:tr>
      <w:tr>
        <w:trPr>
          <w:trHeight w:val="200"/>
        </w:trPr>
        <w:tc>
          <w:tcPr>
            <w:tcW w:w="7000" w:type="dxa"/>
            <w:vAlign w:val="bottom"/>
          </w:tcPr>
          <w:p>
            <w:pPr>
              <w:spacing w:after="0"/>
              <w:rPr>
                <w:sz w:val="20"/>
                <w:szCs w:val="20"/>
                <w:color w:val="auto"/>
              </w:rPr>
            </w:pPr>
            <w:r>
              <w:rPr>
                <w:rFonts w:ascii="Arial" w:cs="Arial" w:eastAsia="Arial" w:hAnsi="Arial"/>
                <w:sz w:val="15"/>
                <w:szCs w:val="15"/>
                <w:b w:val="1"/>
                <w:bCs w:val="1"/>
                <w:color w:val="auto"/>
              </w:rPr>
              <w:t>Net (decrease) / increase in cash and cash equivalents</w:t>
            </w: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(148,389)</w:t>
            </w:r>
          </w:p>
        </w:tc>
        <w:tc>
          <w:tcPr>
            <w:tcW w:w="6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128,451</w:t>
            </w:r>
          </w:p>
        </w:tc>
      </w:tr>
      <w:tr>
        <w:trPr>
          <w:trHeight w:val="205"/>
        </w:trPr>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1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6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378,102</w:t>
            </w:r>
          </w:p>
        </w:tc>
      </w:tr>
      <w:tr>
        <w:trPr>
          <w:trHeight w:val="200"/>
        </w:trPr>
        <w:tc>
          <w:tcPr>
            <w:tcW w:w="7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4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390,396</w:t>
            </w:r>
          </w:p>
        </w:tc>
        <w:tc>
          <w:tcPr>
            <w:tcW w:w="6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506,553</w:t>
            </w: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73660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667"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(UNAUDITED)</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June 30, 2025</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 Basis of presentation</w:t>
      </w:r>
    </w:p>
    <w:p>
      <w:pPr>
        <w:spacing w:after="0" w:line="24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8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condensed consolidated financial statements should be read in conjunction with the accounting policies and notes to the consolidated financial statements included in ICON’s Form 20-F for the year ended December 31, 2024 (see note 2 - Summary of significant accounting policies). Operating results for the six months ended June 30, 2025 are not necessarily indicative of the results that may be expected for the fiscal period ending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5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Clinical trial service revenue</w:t>
      </w:r>
    </w:p>
    <w:p>
      <w:pPr>
        <w:spacing w:after="0" w:line="24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Laboratory services revenue</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i w:val="1"/>
          <w:iCs w:val="1"/>
          <w:color w:val="auto"/>
        </w:rPr>
        <w:t>Contracting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Consulting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Data services revenue</w:t>
      </w:r>
    </w:p>
    <w:p>
      <w:pPr>
        <w:spacing w:after="0" w:line="25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9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18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indefinite-lived intangible assets. The Company evaluates its intangible assets for impairment when indicators of impairment exist.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0" w:type="dxa"/>
            <w:vAlign w:val="bottom"/>
            <w:shd w:val="clear" w:color="auto" w:fill="CCEEFF"/>
          </w:tcPr>
          <w:p>
            <w:pPr>
              <w:spacing w:after="0"/>
              <w:rPr>
                <w:sz w:val="17"/>
                <w:szCs w:val="17"/>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82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207"/>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2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205"/>
        </w:trPr>
        <w:tc>
          <w:tcPr>
            <w:tcW w:w="8400" w:type="dxa"/>
            <w:vAlign w:val="bottom"/>
          </w:tcPr>
          <w:p>
            <w:pPr>
              <w:ind w:left="20"/>
              <w:spacing w:after="0"/>
              <w:rPr>
                <w:sz w:val="20"/>
                <w:szCs w:val="20"/>
                <w:color w:val="auto"/>
              </w:rPr>
            </w:pPr>
            <w:r>
              <w:rPr>
                <w:rFonts w:ascii="Arial" w:cs="Arial" w:eastAsia="Arial" w:hAnsi="Arial"/>
                <w:sz w:val="15"/>
                <w:szCs w:val="15"/>
                <w:color w:val="auto"/>
              </w:rPr>
              <w:t>Patient database</w:t>
            </w:r>
          </w:p>
        </w:tc>
        <w:tc>
          <w:tcPr>
            <w:tcW w:w="2820" w:type="dxa"/>
            <w:vAlign w:val="bottom"/>
          </w:tcPr>
          <w:p>
            <w:pPr>
              <w:jc w:val="right"/>
              <w:spacing w:after="0"/>
              <w:rPr>
                <w:sz w:val="20"/>
                <w:szCs w:val="20"/>
                <w:color w:val="auto"/>
              </w:rPr>
            </w:pPr>
            <w:r>
              <w:rPr>
                <w:rFonts w:ascii="Arial" w:cs="Arial" w:eastAsia="Arial" w:hAnsi="Arial"/>
                <w:sz w:val="15"/>
                <w:szCs w:val="15"/>
                <w:color w:val="auto"/>
              </w:rPr>
              <w:t>7 years</w:t>
            </w:r>
          </w:p>
        </w:tc>
      </w:tr>
      <w:tr>
        <w:trPr>
          <w:trHeight w:val="20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Technology assets</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 years</w:t>
            </w: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what was established at acquisition continues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Revenue</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disaggregated by customer concentration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80" w:type="dxa"/>
            <w:vAlign w:val="bottom"/>
            <w:gridSpan w:val="4"/>
            <w:shd w:val="clear" w:color="auto" w:fill="CCEEFF"/>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6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800" w:type="dxa"/>
            <w:vAlign w:val="bottom"/>
            <w:shd w:val="clear" w:color="auto" w:fill="CCEEFF"/>
          </w:tcPr>
          <w:p>
            <w:pPr>
              <w:spacing w:after="0"/>
              <w:rPr>
                <w:sz w:val="17"/>
                <w:szCs w:val="17"/>
                <w:color w:val="auto"/>
              </w:rPr>
            </w:pPr>
          </w:p>
        </w:tc>
      </w:tr>
      <w:tr>
        <w:trPr>
          <w:trHeight w:val="148"/>
        </w:trPr>
        <w:tc>
          <w:tcPr>
            <w:tcW w:w="5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(in thousands)</w:t>
            </w: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Clients 1-5</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503,557</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523,535</w:t>
            </w:r>
          </w:p>
        </w:tc>
        <w:tc>
          <w:tcPr>
            <w:tcW w:w="80" w:type="dxa"/>
            <w:vAlign w:val="bottom"/>
          </w:tcPr>
          <w:p>
            <w:pPr>
              <w:spacing w:after="0"/>
              <w:rPr>
                <w:sz w:val="17"/>
                <w:szCs w:val="17"/>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1,002,041</w:t>
            </w:r>
          </w:p>
        </w:tc>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1,067,495</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6-10</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298,015</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308,689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600,544</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628,424</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Clients 11-25</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522,181</w:t>
            </w:r>
          </w:p>
        </w:tc>
        <w:tc>
          <w:tcPr>
            <w:tcW w:w="4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458,119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994,749</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886,149</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693,604</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829,816</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1,421,355</w:t>
            </w:r>
          </w:p>
        </w:tc>
        <w:tc>
          <w:tcPr>
            <w:tcW w:w="7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1,628,477</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2,017,357</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2,120,159</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4,018,689</w:t>
            </w: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4,210,545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receivables and unbilled revenue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June 30,</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5720" w:type="dxa"/>
            <w:vAlign w:val="bottom"/>
            <w:tcBorders>
              <w:bottom w:val="single" w:sz="8" w:color="auto"/>
            </w:tcBorders>
            <w:shd w:val="clear" w:color="auto" w:fill="CCEEFF"/>
          </w:tcPr>
          <w:p>
            <w:pPr>
              <w:spacing w:after="0"/>
              <w:rPr>
                <w:sz w:val="17"/>
                <w:szCs w:val="17"/>
                <w:color w:val="auto"/>
              </w:rPr>
            </w:pPr>
          </w:p>
        </w:tc>
        <w:tc>
          <w:tcPr>
            <w:tcW w:w="29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58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Billed services (accounts receivable)</w:t>
            </w:r>
          </w:p>
        </w:tc>
        <w:tc>
          <w:tcPr>
            <w:tcW w:w="29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1,411,329</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1,437,653</w:t>
            </w:r>
          </w:p>
        </w:tc>
      </w:tr>
      <w:tr>
        <w:trPr>
          <w:trHeight w:val="20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Allowance for credit losses</w:t>
            </w:r>
          </w:p>
        </w:tc>
        <w:tc>
          <w:tcPr>
            <w:tcW w:w="2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(44,074)</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(35,664)</w:t>
            </w:r>
          </w:p>
        </w:tc>
      </w:tr>
      <w:tr>
        <w:trPr>
          <w:trHeight w:val="200"/>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29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1,367,255</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1,401,989</w:t>
            </w:r>
          </w:p>
        </w:tc>
      </w:tr>
      <w:tr>
        <w:trPr>
          <w:trHeight w:val="20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Unbilled services (unbilled revenue)</w:t>
            </w:r>
          </w:p>
        </w:tc>
        <w:tc>
          <w:tcPr>
            <w:tcW w:w="2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1,244,560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1,286,274</w:t>
            </w:r>
          </w:p>
        </w:tc>
      </w:tr>
      <w:tr>
        <w:trPr>
          <w:trHeight w:val="224"/>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29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2,611,815</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2,688,263</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auto"/>
        </w:rPr>
        <w:t>Unbilled services and unearned revenue or payments on account (contract assets and liabilities)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June 30,</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 Change</w:t>
            </w:r>
          </w:p>
        </w:tc>
        <w:tc>
          <w:tcPr>
            <w:tcW w:w="140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3"/>
          </w:tcPr>
          <w:p>
            <w:pPr>
              <w:jc w:val="center"/>
              <w:ind w:right="183"/>
              <w:spacing w:after="0"/>
              <w:rPr>
                <w:sz w:val="20"/>
                <w:szCs w:val="20"/>
                <w:color w:val="auto"/>
              </w:rPr>
            </w:pPr>
            <w:r>
              <w:rPr>
                <w:rFonts w:ascii="Arial" w:cs="Arial" w:eastAsia="Arial" w:hAnsi="Arial"/>
                <w:sz w:val="15"/>
                <w:szCs w:val="15"/>
                <w:b w:val="1"/>
                <w:bCs w:val="1"/>
                <w:color w:val="auto"/>
              </w:rPr>
              <w:t>(in thousands, except percentages)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services (unbilled revenue)</w:t>
            </w:r>
          </w:p>
        </w:tc>
        <w:tc>
          <w:tcPr>
            <w:tcW w:w="15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1,244,560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1,286,274</w:t>
            </w:r>
          </w:p>
        </w:tc>
        <w:tc>
          <w:tcPr>
            <w:tcW w:w="240" w:type="dxa"/>
            <w:vAlign w:val="bottom"/>
            <w:shd w:val="clear" w:color="auto" w:fill="CCEEFF"/>
          </w:tcPr>
          <w:p>
            <w:pPr>
              <w:jc w:val="center"/>
              <w:ind w:right="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(41,714)</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w:t>
            </w:r>
          </w:p>
        </w:tc>
        <w:tc>
          <w:tcPr>
            <w:tcW w:w="1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(1,514,442)</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(1,614,758)</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100,316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Net balance</w:t>
            </w:r>
          </w:p>
        </w:tc>
        <w:tc>
          <w:tcPr>
            <w:tcW w:w="15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(269,882)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(328,484)</w:t>
            </w:r>
          </w:p>
        </w:tc>
        <w:tc>
          <w:tcPr>
            <w:tcW w:w="240" w:type="dxa"/>
            <w:vAlign w:val="bottom"/>
            <w:tcBorders>
              <w:bottom w:val="single" w:sz="8" w:color="auto"/>
            </w:tcBorders>
            <w:shd w:val="clear" w:color="auto" w:fill="CCEEFF"/>
          </w:tcPr>
          <w:p>
            <w:pPr>
              <w:jc w:val="center"/>
              <w:ind w:right="6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58,602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w:t>
      </w:r>
    </w:p>
    <w:p>
      <w:pPr>
        <w:spacing w:after="0" w:line="18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Unbilled services as at June 30, 2025 decreased by $41.7 million compared to December 31, 2024. Unearned revenue decreased by $100.3 million over the same period resulting in a decrease of $58.6 million in the net balance of unbilled services and unearned revenue or payments on account between December 31, 2024 and June 30,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of June 30, 2025, approximately $14.4 billion (December 31, 2024: $15.9 billion) of revenue is expected to be recognized in the future in respect of unsatisfied performance obligations. The Company expects to recognize revenue on approximately 50% of the unsatisfied performance obligations over the next 12 months (December 31, 2024: 47%),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5. Goodwill</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 in the carrying amount of goodwill between December 31, 2024 and June 30, 2025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30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Opening balance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9,051,410</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9,022,075</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period acquisitions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46,126</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Foreign exchange movement</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41,000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(16,791)</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9,092,410</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9,051,410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impairment charges for the six months ended June 30, 2025 or the year ended December 31, 2024.</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KCR S.A. Group Acquisition</w:t>
      </w:r>
    </w:p>
    <w:p>
      <w:pPr>
        <w:spacing w:after="0" w:line="1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August 19, 2024, the Company acquired the KCR S.A. Group ("KCR"), a CRO offering full service and functional services partnership ("FSP") clinical trial services, in exchange for consideration of $92.5 million. The acquisition of KCR has been accounted for as a business combination in accordance with ASC 805 'Business Combinations' ('ASC 805').</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$1.3 million was paid during the six months ended June 30, 2025.</w:t>
      </w:r>
    </w:p>
    <w:p>
      <w:pPr>
        <w:spacing w:after="0" w:line="9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purchase price allocation resulted in the recognition of goodwill of $43.4 million and intangible assets of $45.1 million, comprising customer relationships of $41.4 million and order backlog of $3.7 million. Goodwill arising in connection with the acquisition is primarily attributable to the assembled workforce of KCR and the expected synergies of the acquisition. The goodwill recognized is not deductible for income tax purposes.</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HumanFirst Inc.</w:t>
      </w:r>
    </w:p>
    <w:p>
      <w:pPr>
        <w:spacing w:after="0" w:line="1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January 9, 2024, the Company acquired HumanFirst Inc. ("HumanFirst"), a life sciences technology company in exchange for consideration of $13.3 million. The acquisition of HumanFirst has been accounted for as a business combination in accordance with ASC 805.</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$1.2 million was paid during the six months ended June 30, 2025.</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recognized is not deductible for income tax purposes.</w:t>
      </w:r>
    </w:p>
    <w:p>
      <w:pPr>
        <w:spacing w:after="0" w:line="4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Please refer to the section entitled "Risk Factors" of our Form 20-F filed on February 21, 2025 for a discussion of some of the principal risks that could adversely affect our business, operations and financial results including 'impairment of goodwill and intangible assets may adversely impact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6. Intangible assets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carrying amount of Intangible Assets as of June 30, 2025 and December 31,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June 30,</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5020" w:type="dxa"/>
            <w:vAlign w:val="bottom"/>
            <w:tcBorders>
              <w:bottom w:val="single" w:sz="8" w:color="auto"/>
            </w:tcBorders>
            <w:shd w:val="clear" w:color="auto" w:fill="CCEEFF"/>
          </w:tcPr>
          <w:p>
            <w:pPr>
              <w:spacing w:after="0"/>
              <w:rPr>
                <w:sz w:val="17"/>
                <w:szCs w:val="17"/>
                <w:color w:val="auto"/>
              </w:rPr>
            </w:pPr>
          </w:p>
        </w:tc>
        <w:tc>
          <w:tcPr>
            <w:tcW w:w="36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2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w:t>
            </w:r>
          </w:p>
        </w:tc>
        <w:tc>
          <w:tcPr>
            <w:tcW w:w="3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36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4,134,482</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4,129,501</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545,993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543,933</w:t>
            </w: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Trade names &amp; brands</w:t>
            </w:r>
          </w:p>
        </w:tc>
        <w:tc>
          <w:tcPr>
            <w:tcW w:w="36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204,717</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204,588</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170,563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170,324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3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151,718</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150,658</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cost</w:t>
            </w:r>
          </w:p>
        </w:tc>
        <w:tc>
          <w:tcPr>
            <w:tcW w:w="3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5,207,473</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5,199,004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Accumulated amortization</w:t>
            </w:r>
          </w:p>
        </w:tc>
        <w:tc>
          <w:tcPr>
            <w:tcW w:w="3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(1,764,377)</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(1,639,212)</w:t>
            </w:r>
          </w:p>
        </w:tc>
      </w:tr>
      <w:tr>
        <w:trPr>
          <w:trHeight w:val="224"/>
        </w:trPr>
        <w:tc>
          <w:tcPr>
            <w:tcW w:w="50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Net book value</w:t>
            </w:r>
          </w:p>
        </w:tc>
        <w:tc>
          <w:tcPr>
            <w:tcW w:w="36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3,443,096</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3,559,792</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the three months ended June 30, 2025, the amortization expense recognized by the Company was $59.1 million (three months ended June 30, 2024:</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$116.5 million).</w:t>
      </w:r>
    </w:p>
    <w:p>
      <w:pPr>
        <w:spacing w:after="0" w:line="22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six months ended June 30, 2025, the amortization expense recognized by the Company was $118.0 million (six months ended June 30, 2024: $233.0 million and year ended December 31, 2024: $350.3 million). The decrease in amortization is due to the order backlog and trade name intangible assets recognized in connection with the merger of Indigo Merger Sub, Inc., a Delaware corporation and subsidiary of ICON, with and into PRA Health Sciences, Inc., the parent of PRA Health Sciences on July 1, 2021 ("PRA Merger") amounting to $500.0 million and $202.0 million respectively as of the date of acquisition, becoming fully amortized on July 1, 2024.</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additions to intangible assets during the six months ended June 30, 2025.</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Fair value measurements</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22" w:lineRule="exact"/>
        <w:rPr>
          <w:rFonts w:ascii="Arial" w:cs="Arial" w:eastAsia="Arial" w:hAnsi="Arial"/>
          <w:sz w:val="15"/>
          <w:szCs w:val="15"/>
          <w:color w:val="auto"/>
        </w:rPr>
      </w:pPr>
    </w:p>
    <w:p>
      <w:pPr>
        <w:jc w:val="both"/>
        <w:ind w:left="620" w:hanging="307"/>
        <w:spacing w:after="0" w:line="274"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60" w:lineRule="exact"/>
        <w:rPr>
          <w:rFonts w:ascii="Arial" w:cs="Arial" w:eastAsia="Arial" w:hAnsi="Arial"/>
          <w:sz w:val="15"/>
          <w:szCs w:val="15"/>
          <w:color w:val="auto"/>
        </w:rPr>
      </w:pPr>
    </w:p>
    <w:p>
      <w:pPr>
        <w:ind w:left="620" w:hanging="307"/>
        <w:spacing w:after="0" w:line="275"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7"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carrying amounts of financial instruments, including cash and cash equivalents, accounts receivable and accounts payable approximate fair value due to the short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5"/>
          <w:szCs w:val="15"/>
          <w:color w:val="auto"/>
        </w:rPr>
        <w:t>As of June 30, 2025, the fair value of the major classes of the Company's assets and liabilities measured at fair value on a recurring basis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Investments</w:t>
            </w: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Level 1</w:t>
            </w:r>
          </w:p>
        </w:tc>
        <w:tc>
          <w:tcPr>
            <w:tcW w:w="1020" w:type="dxa"/>
            <w:vAlign w:val="bottom"/>
            <w:vMerge w:val="restart"/>
            <w:shd w:val="clear" w:color="auto" w:fill="CCEEFF"/>
          </w:tcPr>
          <w:p>
            <w:pPr>
              <w:ind w:left="360"/>
              <w:spacing w:after="0"/>
              <w:rPr>
                <w:sz w:val="20"/>
                <w:szCs w:val="20"/>
                <w:color w:val="auto"/>
              </w:rPr>
            </w:pPr>
            <w:r>
              <w:rPr>
                <w:rFonts w:ascii="Arial" w:cs="Arial" w:eastAsia="Arial" w:hAnsi="Arial"/>
                <w:sz w:val="15"/>
                <w:szCs w:val="15"/>
                <w:b w:val="1"/>
                <w:bCs w:val="1"/>
                <w:color w:val="auto"/>
              </w:rPr>
              <w:t>Level 2</w:t>
            </w:r>
          </w:p>
        </w:tc>
        <w:tc>
          <w:tcPr>
            <w:tcW w:w="1320" w:type="dxa"/>
            <w:vAlign w:val="bottom"/>
            <w:vMerge w:val="restart"/>
            <w:shd w:val="clear" w:color="auto" w:fill="CCEEFF"/>
          </w:tcPr>
          <w:p>
            <w:pPr>
              <w:ind w:left="660"/>
              <w:spacing w:after="0"/>
              <w:rPr>
                <w:sz w:val="20"/>
                <w:szCs w:val="20"/>
                <w:color w:val="auto"/>
              </w:rPr>
            </w:pPr>
            <w:r>
              <w:rPr>
                <w:rFonts w:ascii="Arial" w:cs="Arial" w:eastAsia="Arial" w:hAnsi="Arial"/>
                <w:sz w:val="15"/>
                <w:szCs w:val="15"/>
                <w:b w:val="1"/>
                <w:bCs w:val="1"/>
                <w:color w:val="auto"/>
              </w:rPr>
              <w:t>Level 3</w:t>
            </w:r>
          </w:p>
        </w:tc>
        <w:tc>
          <w:tcPr>
            <w:tcW w:w="1640" w:type="dxa"/>
            <w:vAlign w:val="bottom"/>
            <w:gridSpan w:val="2"/>
            <w:shd w:val="clear" w:color="auto" w:fill="CCEEFF"/>
          </w:tcPr>
          <w:p>
            <w:pPr>
              <w:jc w:val="right"/>
              <w:ind w:right="363"/>
              <w:spacing w:after="0" w:line="155" w:lineRule="exact"/>
              <w:rPr>
                <w:sz w:val="20"/>
                <w:szCs w:val="20"/>
                <w:color w:val="auto"/>
              </w:rPr>
            </w:pPr>
            <w:r>
              <w:rPr>
                <w:rFonts w:ascii="Arial" w:cs="Arial" w:eastAsia="Arial" w:hAnsi="Arial"/>
                <w:sz w:val="15"/>
                <w:szCs w:val="15"/>
                <w:b w:val="1"/>
                <w:bCs w:val="1"/>
                <w:color w:val="auto"/>
              </w:rPr>
              <w:t>Measured at Net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640" w:type="dxa"/>
            <w:vAlign w:val="bottom"/>
            <w:tcBorders>
              <w:bottom w:val="single" w:sz="8" w:color="auto"/>
            </w:tcBorders>
            <w:gridSpan w:val="2"/>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Asset Value</w:t>
            </w:r>
          </w:p>
        </w:tc>
        <w:tc>
          <w:tcPr>
            <w:tcW w:w="9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b w:val="1"/>
                <w:bCs w:val="1"/>
                <w:color w:val="auto"/>
              </w:rPr>
              <w:t>(in thousands)</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64,243</w:t>
            </w:r>
          </w:p>
        </w:tc>
        <w:tc>
          <w:tcPr>
            <w:tcW w:w="4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64,243</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64,243</w:t>
            </w:r>
          </w:p>
        </w:tc>
        <w:tc>
          <w:tcPr>
            <w:tcW w:w="4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64,243</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0" w:type="dxa"/>
            <w:vAlign w:val="bottom"/>
            <w:tcBorders>
              <w:top w:val="single" w:sz="8" w:color="CCEEFF"/>
              <w:bottom w:val="single" w:sz="8" w:color="auto"/>
            </w:tcBorders>
            <w:gridSpan w:val="8"/>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1240" w:type="dxa"/>
            <w:vAlign w:val="bottom"/>
            <w:gridSpan w:val="9"/>
          </w:tcPr>
          <w:p>
            <w:pPr>
              <w:jc w:val="right"/>
              <w:spacing w:after="0"/>
              <w:rPr>
                <w:sz w:val="20"/>
                <w:szCs w:val="20"/>
                <w:color w:val="auto"/>
              </w:rPr>
            </w:pPr>
            <w:r>
              <w:rPr>
                <w:rFonts w:ascii="Arial" w:cs="Arial" w:eastAsia="Arial" w:hAnsi="Arial"/>
                <w:sz w:val="15"/>
                <w:szCs w:val="15"/>
                <w:color w:val="auto"/>
              </w:rPr>
              <w:t>As of December 31, 2024, the fair value of the major classes of the Company's assets and liabilities measured at fair value on a recurring basis were as</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5"/>
                <w:szCs w:val="15"/>
                <w:color w:val="auto"/>
              </w:rPr>
              <w:t>follows:</w:t>
            </w: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Investments</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ind w:left="320"/>
              <w:spacing w:after="0"/>
              <w:rPr>
                <w:sz w:val="20"/>
                <w:szCs w:val="20"/>
                <w:color w:val="auto"/>
              </w:rPr>
            </w:pPr>
            <w:r>
              <w:rPr>
                <w:rFonts w:ascii="Arial" w:cs="Arial" w:eastAsia="Arial" w:hAnsi="Arial"/>
                <w:sz w:val="15"/>
                <w:szCs w:val="15"/>
                <w:b w:val="1"/>
                <w:bCs w:val="1"/>
                <w:color w:val="auto"/>
              </w:rPr>
              <w:t>Level 1</w:t>
            </w:r>
          </w:p>
        </w:tc>
        <w:tc>
          <w:tcPr>
            <w:tcW w:w="10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Level 2</w:t>
            </w:r>
          </w:p>
        </w:tc>
        <w:tc>
          <w:tcPr>
            <w:tcW w:w="24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Measured at Net</w:t>
            </w:r>
          </w:p>
        </w:tc>
        <w:tc>
          <w:tcPr>
            <w:tcW w:w="4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b w:val="1"/>
                <w:bCs w:val="1"/>
                <w:color w:val="auto"/>
              </w:rPr>
              <w:t>Level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Asset Value</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40" w:type="dxa"/>
            <w:vAlign w:val="bottom"/>
            <w:gridSpan w:val="2"/>
          </w:tcPr>
          <w:p>
            <w:pPr>
              <w:ind w:left="980"/>
              <w:spacing w:after="0"/>
              <w:rPr>
                <w:sz w:val="20"/>
                <w:szCs w:val="20"/>
                <w:color w:val="auto"/>
              </w:rPr>
            </w:pPr>
            <w:r>
              <w:rPr>
                <w:rFonts w:ascii="Arial" w:cs="Arial" w:eastAsia="Arial" w:hAnsi="Arial"/>
                <w:sz w:val="15"/>
                <w:szCs w:val="15"/>
                <w:b w:val="1"/>
                <w:bCs w:val="1"/>
                <w:color w:val="auto"/>
              </w:rPr>
              <w:t>(in thousands)</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54,448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'Fair value measurement'. Any increases or decreases in fair value are recognized in net income in the period. Investments in equity excludes investments in equity securities recorded at cost of $3.5 million </w:t>
      </w:r>
      <w:r>
        <w:rPr>
          <w:rFonts w:ascii="Times New Roman" w:cs="Times New Roman" w:eastAsia="Times New Roman" w:hAnsi="Times New Roman"/>
          <w:sz w:val="17"/>
          <w:szCs w:val="17"/>
          <w:color w:val="auto"/>
        </w:rPr>
        <w:t>(</w:t>
      </w:r>
      <w:r>
        <w:rPr>
          <w:rFonts w:ascii="Arial" w:cs="Arial" w:eastAsia="Arial" w:hAnsi="Arial"/>
          <w:sz w:val="15"/>
          <w:szCs w:val="15"/>
          <w:color w:val="auto"/>
        </w:rPr>
        <w:t>December 31, 2024: $3.5 million) which do not qualify for the NAV practical expedient.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June 30, 2025, assets carried on the Condensed Consolidated Balance Sheet which are not re-measured to fair value on a recurring basis totaled $12,539.0 million (December 31, 2024: $12,614.7 million) and are identified as Level 3 assets. These assets are comprised of goodwill of $9,092.4 million (December 31, 2024: $9,051.4 million), intangible assets of $3,443.1 million (December 31, 2024: $3,559.8 million) and investments in equity recorded at cost of $3.5 million (December 31, 2024: $3.5 million).</w:t>
      </w:r>
    </w:p>
    <w:p>
      <w:pPr>
        <w:spacing w:after="0" w:line="20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estimated fair value of the Company’s debt was $3,480.4 million at June 30, 2025 (December 31, 2024: $3,469.2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8. Restructuring</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the six months ended June 30, 2025, a restructuring charge of $82.3 million (June 30, 2024: $45.8 million) was recorded in the Condensed Consolidated Statement of Operations.</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restructuring plan reflected a workforce reduction of $75.6 million (June 30, 2024: $31.7 million) and an office consolidation program to optimize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Company's office footprint of $6.7 million (June 30, 2024: $14.1 million), being the impairment of operating right-off-use assets and related property plant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equipment of $5.6 million (June 30, 2024: $12.6 million) and onerous contract costs of $1.1 million (June 30, 2024: $1.5 million).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tcBorders>
              <w:bottom w:val="single" w:sz="8" w:color="auto"/>
            </w:tcBorders>
            <w:shd w:val="clear" w:color="auto" w:fill="CCEEFF"/>
          </w:tcPr>
          <w:p>
            <w:pPr>
              <w:spacing w:after="0"/>
              <w:rPr>
                <w:sz w:val="17"/>
                <w:szCs w:val="17"/>
                <w:color w:val="auto"/>
              </w:rPr>
            </w:pPr>
          </w:p>
        </w:tc>
      </w:tr>
      <w:tr>
        <w:trPr>
          <w:trHeight w:val="148"/>
        </w:trPr>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center"/>
              <w:ind w:left="343"/>
              <w:spacing w:after="0" w:line="148" w:lineRule="exact"/>
              <w:rPr>
                <w:sz w:val="20"/>
                <w:szCs w:val="20"/>
                <w:color w:val="auto"/>
              </w:rPr>
            </w:pPr>
            <w:r>
              <w:rPr>
                <w:rFonts w:ascii="Arial" w:cs="Arial" w:eastAsia="Arial" w:hAnsi="Arial"/>
                <w:sz w:val="15"/>
                <w:szCs w:val="15"/>
                <w:b w:val="1"/>
                <w:bCs w:val="1"/>
                <w:color w:val="auto"/>
              </w:rPr>
              <w:t>June 30,</w:t>
            </w:r>
          </w:p>
        </w:tc>
        <w:tc>
          <w:tcPr>
            <w:tcW w:w="8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103"/>
              <w:spacing w:after="0" w:line="148" w:lineRule="exact"/>
              <w:rPr>
                <w:sz w:val="20"/>
                <w:szCs w:val="20"/>
                <w:color w:val="auto"/>
              </w:rPr>
            </w:pPr>
            <w:r>
              <w:rPr>
                <w:rFonts w:ascii="Arial" w:cs="Arial" w:eastAsia="Arial" w:hAnsi="Arial"/>
                <w:sz w:val="15"/>
                <w:szCs w:val="15"/>
                <w:b w:val="1"/>
                <w:bCs w:val="1"/>
                <w:color w:val="auto"/>
              </w:rPr>
              <w:t>June 30,</w:t>
            </w:r>
          </w:p>
        </w:tc>
        <w:tc>
          <w:tcPr>
            <w:tcW w:w="76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(in thousands)</w:t>
            </w: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Restructuring charges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center"/>
              <w:ind w:left="383"/>
              <w:spacing w:after="0"/>
              <w:rPr>
                <w:sz w:val="20"/>
                <w:szCs w:val="20"/>
                <w:color w:val="auto"/>
              </w:rPr>
            </w:pPr>
            <w:r>
              <w:rPr>
                <w:rFonts w:ascii="Arial" w:cs="Arial" w:eastAsia="Arial" w:hAnsi="Arial"/>
                <w:sz w:val="15"/>
                <w:szCs w:val="15"/>
                <w:color w:val="auto"/>
              </w:rPr>
              <w:t>42,950</w:t>
            </w:r>
          </w:p>
        </w:tc>
        <w:tc>
          <w:tcPr>
            <w:tcW w:w="80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color w:val="auto"/>
              </w:rPr>
              <w:t>45,789</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rPr>
              <w:t>82,296</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rPr>
              <w:t>45,789</w:t>
            </w:r>
          </w:p>
        </w:tc>
      </w:tr>
      <w:tr>
        <w:trPr>
          <w:trHeight w:val="224"/>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center"/>
              <w:ind w:left="383"/>
              <w:spacing w:after="0"/>
              <w:rPr>
                <w:sz w:val="20"/>
                <w:szCs w:val="20"/>
                <w:color w:val="auto"/>
              </w:rPr>
            </w:pPr>
            <w:r>
              <w:rPr>
                <w:rFonts w:ascii="Arial" w:cs="Arial" w:eastAsia="Arial" w:hAnsi="Arial"/>
                <w:sz w:val="15"/>
                <w:szCs w:val="15"/>
                <w:color w:val="auto"/>
              </w:rPr>
              <w:t>42,950</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center"/>
              <w:ind w:left="3"/>
              <w:spacing w:after="0"/>
              <w:rPr>
                <w:sz w:val="20"/>
                <w:szCs w:val="20"/>
                <w:color w:val="auto"/>
              </w:rPr>
            </w:pPr>
            <w:r>
              <w:rPr>
                <w:rFonts w:ascii="Arial" w:cs="Arial" w:eastAsia="Arial" w:hAnsi="Arial"/>
                <w:sz w:val="15"/>
                <w:szCs w:val="15"/>
                <w:color w:val="auto"/>
              </w:rPr>
              <w:t>45,789</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center"/>
              <w:ind w:left="163"/>
              <w:spacing w:after="0"/>
              <w:rPr>
                <w:sz w:val="20"/>
                <w:szCs w:val="20"/>
                <w:color w:val="auto"/>
              </w:rPr>
            </w:pPr>
            <w:r>
              <w:rPr>
                <w:rFonts w:ascii="Arial" w:cs="Arial" w:eastAsia="Arial" w:hAnsi="Arial"/>
                <w:sz w:val="15"/>
                <w:szCs w:val="15"/>
                <w:color w:val="auto"/>
              </w:rPr>
              <w:t>82,296</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center"/>
              <w:ind w:left="43"/>
              <w:spacing w:after="0"/>
              <w:rPr>
                <w:sz w:val="20"/>
                <w:szCs w:val="20"/>
                <w:color w:val="auto"/>
              </w:rPr>
            </w:pPr>
            <w:r>
              <w:rPr>
                <w:rFonts w:ascii="Arial" w:cs="Arial" w:eastAsia="Arial" w:hAnsi="Arial"/>
                <w:sz w:val="15"/>
                <w:szCs w:val="15"/>
                <w:color w:val="auto"/>
              </w:rPr>
              <w:t>45,789</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At June 30, 2025, a total liability of $44.5 million (December 31, 2024: $31.5 million) was recorded on the Condensed Consolidated Balance Sheet relating to restructuring activities.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left="643"/>
              <w:spacing w:after="0" w:line="148" w:lineRule="exact"/>
              <w:rPr>
                <w:sz w:val="20"/>
                <w:szCs w:val="20"/>
                <w:color w:val="auto"/>
              </w:rPr>
            </w:pPr>
            <w:r>
              <w:rPr>
                <w:rFonts w:ascii="Arial" w:cs="Arial" w:eastAsia="Arial" w:hAnsi="Arial"/>
                <w:sz w:val="15"/>
                <w:szCs w:val="15"/>
                <w:b w:val="1"/>
                <w:bCs w:val="1"/>
                <w:color w:val="auto"/>
              </w:rPr>
              <w:t>June 30,</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(in thousands)</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center"/>
              <w:ind w:left="683"/>
              <w:spacing w:after="0"/>
              <w:rPr>
                <w:sz w:val="20"/>
                <w:szCs w:val="20"/>
                <w:color w:val="auto"/>
              </w:rPr>
            </w:pPr>
            <w:r>
              <w:rPr>
                <w:rFonts w:ascii="Arial" w:cs="Arial" w:eastAsia="Arial" w:hAnsi="Arial"/>
                <w:sz w:val="15"/>
                <w:szCs w:val="15"/>
                <w:color w:val="auto"/>
              </w:rPr>
              <w:t>31,474</w:t>
            </w: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6,999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period*</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683"/>
              <w:spacing w:after="0"/>
              <w:rPr>
                <w:sz w:val="20"/>
                <w:szCs w:val="20"/>
                <w:color w:val="auto"/>
              </w:rPr>
            </w:pPr>
            <w:r>
              <w:rPr>
                <w:rFonts w:ascii="Arial" w:cs="Arial" w:eastAsia="Arial" w:hAnsi="Arial"/>
                <w:sz w:val="15"/>
                <w:szCs w:val="15"/>
                <w:color w:val="auto"/>
              </w:rPr>
              <w:t>76,723</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76,392</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left="683"/>
              <w:spacing w:after="0"/>
              <w:rPr>
                <w:sz w:val="20"/>
                <w:szCs w:val="20"/>
                <w:color w:val="auto"/>
              </w:rPr>
            </w:pPr>
            <w:r>
              <w:rPr>
                <w:rFonts w:ascii="Arial" w:cs="Arial" w:eastAsia="Arial" w:hAnsi="Arial"/>
                <w:sz w:val="15"/>
                <w:szCs w:val="15"/>
                <w:color w:val="auto"/>
              </w:rPr>
              <w:t>(63,731)</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(51,917)</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center"/>
              <w:ind w:left="683"/>
              <w:spacing w:after="0"/>
              <w:rPr>
                <w:sz w:val="20"/>
                <w:szCs w:val="20"/>
                <w:color w:val="auto"/>
              </w:rPr>
            </w:pPr>
            <w:r>
              <w:rPr>
                <w:rFonts w:ascii="Arial" w:cs="Arial" w:eastAsia="Arial" w:hAnsi="Arial"/>
                <w:sz w:val="15"/>
                <w:szCs w:val="15"/>
                <w:color w:val="auto"/>
              </w:rPr>
              <w:t>44,466</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31,474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charge for the six months ended June 30, 2025 reflects the workforce reduction of $75.6 million (year ended December 31, 2024: $74.5 million)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onerous contract costs of $1.1 million (year ended December 31, 2024: $1.9 million).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closing provision of $44.5 million (December 31, 2024: $31.5 million) reflects:</w:t>
      </w:r>
    </w:p>
    <w:p>
      <w:pPr>
        <w:spacing w:after="0" w:line="98" w:lineRule="exact"/>
        <w:rPr>
          <w:sz w:val="20"/>
          <w:szCs w:val="20"/>
          <w:color w:val="auto"/>
        </w:rPr>
      </w:pPr>
    </w:p>
    <w:p>
      <w:pPr>
        <w:ind w:firstLine="622"/>
        <w:spacing w:after="0" w:line="312" w:lineRule="auto"/>
        <w:tabs>
          <w:tab w:leader="none" w:pos="851" w:val="left"/>
        </w:tabs>
        <w:numPr>
          <w:ilvl w:val="0"/>
          <w:numId w:val="2"/>
        </w:numPr>
        <w:rPr>
          <w:rFonts w:ascii="Arial" w:cs="Arial" w:eastAsia="Arial" w:hAnsi="Arial"/>
          <w:sz w:val="15"/>
          <w:szCs w:val="15"/>
          <w:color w:val="auto"/>
        </w:rPr>
      </w:pPr>
      <w:r>
        <w:rPr>
          <w:rFonts w:ascii="Arial" w:cs="Arial" w:eastAsia="Arial" w:hAnsi="Arial"/>
          <w:sz w:val="15"/>
          <w:szCs w:val="15"/>
          <w:color w:val="auto"/>
        </w:rPr>
        <w:t>$40.1 million (December 31, 2024: $27.7 million) of personnel related liabilities as a result of the workforce reduction; all of which have been classified as current within Other Liabilities, and</w:t>
      </w:r>
    </w:p>
    <w:p>
      <w:pPr>
        <w:spacing w:after="0" w:line="28" w:lineRule="exact"/>
        <w:rPr>
          <w:rFonts w:ascii="Arial" w:cs="Arial" w:eastAsia="Arial" w:hAnsi="Arial"/>
          <w:sz w:val="15"/>
          <w:szCs w:val="15"/>
          <w:color w:val="auto"/>
        </w:rPr>
      </w:pPr>
    </w:p>
    <w:p>
      <w:pPr>
        <w:ind w:firstLine="622"/>
        <w:spacing w:after="0" w:line="330" w:lineRule="auto"/>
        <w:tabs>
          <w:tab w:leader="none" w:pos="864" w:val="left"/>
        </w:tabs>
        <w:numPr>
          <w:ilvl w:val="0"/>
          <w:numId w:val="2"/>
        </w:numPr>
        <w:rPr>
          <w:rFonts w:ascii="Arial" w:cs="Arial" w:eastAsia="Arial" w:hAnsi="Arial"/>
          <w:sz w:val="15"/>
          <w:szCs w:val="15"/>
          <w:color w:val="auto"/>
        </w:rPr>
      </w:pPr>
      <w:r>
        <w:rPr>
          <w:rFonts w:ascii="Arial" w:cs="Arial" w:eastAsia="Arial" w:hAnsi="Arial"/>
          <w:sz w:val="15"/>
          <w:szCs w:val="15"/>
          <w:color w:val="auto"/>
        </w:rPr>
        <w:t>$4.4 million (December 31, 2024: $3.8 million) of facilities related liabilities of which $1.6 million (December 31, 2024: $1.4 million) is included within Other Liabilities and $2.8 million (December 31, 2024: $2.4 million) is included within Non-Current Other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9. Operating leases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40" w:type="dxa"/>
            <w:vAlign w:val="bottom"/>
            <w:gridSpan w:val="7"/>
          </w:tcPr>
          <w:p>
            <w:pPr>
              <w:ind w:left="620"/>
              <w:spacing w:after="0"/>
              <w:rPr>
                <w:sz w:val="20"/>
                <w:szCs w:val="20"/>
                <w:color w:val="auto"/>
              </w:rPr>
            </w:pPr>
            <w:r>
              <w:rPr>
                <w:rFonts w:ascii="Arial" w:cs="Arial" w:eastAsia="Arial" w:hAnsi="Arial"/>
                <w:sz w:val="15"/>
                <w:szCs w:val="15"/>
                <w:color w:val="auto"/>
              </w:rPr>
              <w:t>Lease costs recorded under operating leases for three and six months ended June 30, 2025 and June 30, 2024 were as follows:</w:t>
            </w: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9"/>
        </w:trPr>
        <w:tc>
          <w:tcPr>
            <w:tcW w:w="5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r>
      <w:tr>
        <w:trPr>
          <w:trHeight w:val="206"/>
        </w:trPr>
        <w:tc>
          <w:tcPr>
            <w:tcW w:w="5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tcBorders>
              <w:bottom w:val="single" w:sz="8" w:color="auto"/>
            </w:tcBorders>
            <w:shd w:val="clear" w:color="auto" w:fill="CCEEFF"/>
          </w:tcPr>
          <w:p>
            <w:pPr>
              <w:spacing w:after="0"/>
              <w:rPr>
                <w:sz w:val="17"/>
                <w:szCs w:val="17"/>
                <w:color w:val="auto"/>
              </w:rPr>
            </w:pPr>
          </w:p>
        </w:tc>
      </w:tr>
      <w:tr>
        <w:trPr>
          <w:trHeight w:val="148"/>
        </w:trPr>
        <w:tc>
          <w:tcPr>
            <w:tcW w:w="5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8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20" w:type="dxa"/>
            <w:vAlign w:val="bottom"/>
          </w:tcPr>
          <w:p>
            <w:pPr>
              <w:spacing w:after="0"/>
              <w:rPr>
                <w:sz w:val="12"/>
                <w:szCs w:val="12"/>
                <w:color w:val="auto"/>
              </w:rPr>
            </w:pPr>
          </w:p>
        </w:tc>
        <w:tc>
          <w:tcPr>
            <w:tcW w:w="820" w:type="dxa"/>
            <w:vAlign w:val="bottom"/>
          </w:tcPr>
          <w:p>
            <w:pPr>
              <w:jc w:val="center"/>
              <w:ind w:left="123"/>
              <w:spacing w:after="0" w:line="148" w:lineRule="exact"/>
              <w:rPr>
                <w:sz w:val="20"/>
                <w:szCs w:val="20"/>
                <w:color w:val="auto"/>
              </w:rPr>
            </w:pPr>
            <w:r>
              <w:rPr>
                <w:rFonts w:ascii="Arial" w:cs="Arial" w:eastAsia="Arial" w:hAnsi="Arial"/>
                <w:sz w:val="15"/>
                <w:szCs w:val="15"/>
                <w:b w:val="1"/>
                <w:bCs w:val="1"/>
                <w:color w:val="auto"/>
              </w:rPr>
              <w:t>June 30,</w:t>
            </w:r>
          </w:p>
        </w:tc>
        <w:tc>
          <w:tcPr>
            <w:tcW w:w="7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518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11,469</w:t>
            </w:r>
          </w:p>
        </w:tc>
        <w:tc>
          <w:tcPr>
            <w:tcW w:w="820" w:type="dxa"/>
            <w:vAlign w:val="bottom"/>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9,287</w:t>
            </w:r>
          </w:p>
        </w:tc>
        <w:tc>
          <w:tcPr>
            <w:tcW w:w="72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820" w:type="dxa"/>
            <w:vAlign w:val="bottom"/>
          </w:tcPr>
          <w:p>
            <w:pPr>
              <w:jc w:val="center"/>
              <w:ind w:left="143"/>
              <w:spacing w:after="0"/>
              <w:rPr>
                <w:sz w:val="20"/>
                <w:szCs w:val="20"/>
                <w:color w:val="auto"/>
              </w:rPr>
            </w:pPr>
            <w:r>
              <w:rPr>
                <w:rFonts w:ascii="Arial" w:cs="Arial" w:eastAsia="Arial" w:hAnsi="Arial"/>
                <w:sz w:val="15"/>
                <w:szCs w:val="15"/>
                <w:color w:val="auto"/>
              </w:rPr>
              <w:t>22,668</w:t>
            </w:r>
          </w:p>
        </w:tc>
        <w:tc>
          <w:tcPr>
            <w:tcW w:w="780" w:type="dxa"/>
            <w:vAlign w:val="bottom"/>
          </w:tcPr>
          <w:p>
            <w:pPr>
              <w:jc w:val="right"/>
              <w:ind w:right="583"/>
              <w:spacing w:after="0"/>
              <w:rPr>
                <w:sz w:val="20"/>
                <w:szCs w:val="20"/>
                <w:color w:val="auto"/>
              </w:rPr>
            </w:pPr>
            <w:r>
              <w:rPr>
                <w:rFonts w:ascii="Arial" w:cs="Arial" w:eastAsia="Arial" w:hAnsi="Arial"/>
                <w:sz w:val="15"/>
                <w:szCs w:val="15"/>
                <w:color w:val="auto"/>
              </w:rPr>
              <w:t>$</w:t>
            </w:r>
          </w:p>
        </w:tc>
        <w:tc>
          <w:tcPr>
            <w:tcW w:w="720" w:type="dxa"/>
            <w:vAlign w:val="bottom"/>
          </w:tcPr>
          <w:p>
            <w:pPr>
              <w:jc w:val="center"/>
              <w:ind w:left="43"/>
              <w:spacing w:after="0"/>
              <w:rPr>
                <w:sz w:val="20"/>
                <w:szCs w:val="20"/>
                <w:color w:val="auto"/>
              </w:rPr>
            </w:pPr>
            <w:r>
              <w:rPr>
                <w:rFonts w:ascii="Arial" w:cs="Arial" w:eastAsia="Arial" w:hAnsi="Arial"/>
                <w:sz w:val="15"/>
                <w:szCs w:val="15"/>
                <w:color w:val="auto"/>
              </w:rPr>
              <w:t>22,450</w:t>
            </w:r>
          </w:p>
        </w:tc>
      </w:tr>
      <w:tr>
        <w:trPr>
          <w:trHeight w:val="20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8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7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(1,619)</w:t>
            </w:r>
          </w:p>
        </w:tc>
        <w:tc>
          <w:tcPr>
            <w:tcW w:w="7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r>
      <w:tr>
        <w:trPr>
          <w:trHeight w:val="19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10,618</w:t>
            </w:r>
          </w:p>
        </w:tc>
        <w:tc>
          <w:tcPr>
            <w:tcW w:w="82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8,986</w:t>
            </w:r>
          </w:p>
        </w:tc>
        <w:tc>
          <w:tcPr>
            <w:tcW w:w="7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center"/>
              <w:ind w:left="143"/>
              <w:spacing w:after="0"/>
              <w:rPr>
                <w:sz w:val="20"/>
                <w:szCs w:val="20"/>
                <w:color w:val="auto"/>
              </w:rPr>
            </w:pPr>
            <w:r>
              <w:rPr>
                <w:rFonts w:ascii="Arial" w:cs="Arial" w:eastAsia="Arial" w:hAnsi="Arial"/>
                <w:sz w:val="15"/>
                <w:szCs w:val="15"/>
                <w:color w:val="auto"/>
              </w:rPr>
              <w:t>21,049</w:t>
            </w:r>
          </w:p>
        </w:tc>
        <w:tc>
          <w:tcPr>
            <w:tcW w:w="78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rPr>
              <w:t>21,813</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$10.6 million incurred in the three months ended June 30, 2025 (June 30, 2024: $9.0 million), $9.2 million (June 30, 2024: $8.0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 recorded within selling, general and administration costs and $1.4 million (June 30, 2024: $1.0 million) is recorded within direct costs.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$21.0 million incurred in the six months ended June 30, 2025 (June 30, 2024: $21.8 million), $18.1 million (June 30, 2024: $18.0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 recorded within selling, general and administration costs and $2.9 million (June 30, 2024: $3.8 million) is recorded within direct costs.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three and six months ended June 30, 2025 and June 30, 2024, costs incurred by the ICON Group related to variable lease payments were de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minimis.</w:t>
      </w:r>
    </w:p>
    <w:p>
      <w:pPr>
        <w:spacing w:after="0" w:line="226"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Right-of-use assets obtained, in exchange for lease obligations during the three months ended June 30, 2025, totaled $2.8 million (June 30, 2024: $11.0 million). Right-of-use assets obtained, in exchange for lease obligations during the six months ended June 30, 2025, totaled $9.8 million (June 30, 2024: $46.6 million)</w:t>
      </w:r>
    </w:p>
    <w:p>
      <w:pPr>
        <w:spacing w:after="0" w:line="37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weighted average remaining lease term and weighted-average discount rate at June 30, 2025 were 6.02 years and 3.97%, respectively. The weighted average remaining lease term and weighted-average discount rate at December 31, 2024 were 6.56 years and 4.01%,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20" w:type="dxa"/>
            <w:vAlign w:val="bottom"/>
          </w:tcPr>
          <w:p>
            <w:pPr>
              <w:ind w:left="620"/>
              <w:spacing w:after="0"/>
              <w:rPr>
                <w:sz w:val="20"/>
                <w:szCs w:val="20"/>
                <w:color w:val="auto"/>
              </w:rPr>
            </w:pPr>
            <w:r>
              <w:rPr>
                <w:rFonts w:ascii="Arial" w:cs="Arial" w:eastAsia="Arial" w:hAnsi="Arial"/>
                <w:sz w:val="15"/>
                <w:szCs w:val="15"/>
                <w:color w:val="auto"/>
              </w:rPr>
              <w:t>Future minimum lease payments under non-cancelable leases as of June 30, 2025 were as follows: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05"/>
        </w:trPr>
        <w:tc>
          <w:tcPr>
            <w:tcW w:w="86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06"/>
        </w:trPr>
        <w:tc>
          <w:tcPr>
            <w:tcW w:w="86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8620" w:type="dxa"/>
            <w:vAlign w:val="bottom"/>
          </w:tcPr>
          <w:p>
            <w:pPr>
              <w:ind w:left="20"/>
              <w:spacing w:after="0"/>
              <w:rPr>
                <w:sz w:val="20"/>
                <w:szCs w:val="20"/>
                <w:color w:val="auto"/>
              </w:rPr>
            </w:pPr>
            <w:r>
              <w:rPr>
                <w:rFonts w:ascii="Arial" w:cs="Arial" w:eastAsia="Arial" w:hAnsi="Arial"/>
                <w:sz w:val="15"/>
                <w:szCs w:val="15"/>
                <w:color w:val="auto"/>
              </w:rPr>
              <w:t>Year 1</w:t>
            </w: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44,447</w:t>
            </w:r>
          </w:p>
        </w:tc>
      </w:tr>
      <w:tr>
        <w:trPr>
          <w:trHeight w:val="207"/>
        </w:trPr>
        <w:tc>
          <w:tcPr>
            <w:tcW w:w="8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2</w:t>
            </w: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38,228</w:t>
            </w:r>
          </w:p>
        </w:tc>
      </w:tr>
      <w:tr>
        <w:trPr>
          <w:trHeight w:val="205"/>
        </w:trPr>
        <w:tc>
          <w:tcPr>
            <w:tcW w:w="8620" w:type="dxa"/>
            <w:vAlign w:val="bottom"/>
          </w:tcPr>
          <w:p>
            <w:pPr>
              <w:ind w:left="20"/>
              <w:spacing w:after="0"/>
              <w:rPr>
                <w:sz w:val="20"/>
                <w:szCs w:val="20"/>
                <w:color w:val="auto"/>
              </w:rPr>
            </w:pPr>
            <w:r>
              <w:rPr>
                <w:rFonts w:ascii="Arial" w:cs="Arial" w:eastAsia="Arial" w:hAnsi="Arial"/>
                <w:sz w:val="15"/>
                <w:szCs w:val="15"/>
                <w:color w:val="auto"/>
              </w:rPr>
              <w:t>Year 3</w:t>
            </w:r>
          </w:p>
        </w:tc>
        <w:tc>
          <w:tcPr>
            <w:tcW w:w="1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31,257</w:t>
            </w:r>
          </w:p>
        </w:tc>
      </w:tr>
      <w:tr>
        <w:trPr>
          <w:trHeight w:val="207"/>
        </w:trPr>
        <w:tc>
          <w:tcPr>
            <w:tcW w:w="8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4</w:t>
            </w: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23,087</w:t>
            </w:r>
          </w:p>
        </w:tc>
      </w:tr>
      <w:tr>
        <w:trPr>
          <w:trHeight w:val="205"/>
        </w:trPr>
        <w:tc>
          <w:tcPr>
            <w:tcW w:w="8620" w:type="dxa"/>
            <w:vAlign w:val="bottom"/>
          </w:tcPr>
          <w:p>
            <w:pPr>
              <w:ind w:left="20"/>
              <w:spacing w:after="0"/>
              <w:rPr>
                <w:sz w:val="20"/>
                <w:szCs w:val="20"/>
                <w:color w:val="auto"/>
              </w:rPr>
            </w:pPr>
            <w:r>
              <w:rPr>
                <w:rFonts w:ascii="Arial" w:cs="Arial" w:eastAsia="Arial" w:hAnsi="Arial"/>
                <w:sz w:val="15"/>
                <w:szCs w:val="15"/>
                <w:color w:val="auto"/>
              </w:rPr>
              <w:t>Year 5</w:t>
            </w:r>
          </w:p>
        </w:tc>
        <w:tc>
          <w:tcPr>
            <w:tcW w:w="1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15,709</w:t>
            </w:r>
          </w:p>
        </w:tc>
      </w:tr>
      <w:tr>
        <w:trPr>
          <w:trHeight w:val="20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1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38,457</w:t>
            </w:r>
          </w:p>
        </w:tc>
      </w:tr>
      <w:tr>
        <w:trPr>
          <w:trHeight w:val="199"/>
        </w:trPr>
        <w:tc>
          <w:tcPr>
            <w:tcW w:w="8620" w:type="dxa"/>
            <w:vAlign w:val="bottom"/>
          </w:tcPr>
          <w:p>
            <w:pPr>
              <w:ind w:left="20"/>
              <w:spacing w:after="0"/>
              <w:rPr>
                <w:sz w:val="20"/>
                <w:szCs w:val="20"/>
                <w:color w:val="auto"/>
              </w:rPr>
            </w:pPr>
            <w:r>
              <w:rPr>
                <w:rFonts w:ascii="Arial" w:cs="Arial" w:eastAsia="Arial" w:hAnsi="Arial"/>
                <w:sz w:val="15"/>
                <w:szCs w:val="15"/>
                <w:color w:val="auto"/>
              </w:rPr>
              <w:t>Total future minimum lease payments</w:t>
            </w:r>
          </w:p>
        </w:tc>
        <w:tc>
          <w:tcPr>
            <w:tcW w:w="1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191,185</w:t>
            </w:r>
          </w:p>
        </w:tc>
      </w:tr>
      <w:tr>
        <w:trPr>
          <w:trHeight w:val="20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Lease imputed interest</w:t>
            </w:r>
          </w:p>
        </w:tc>
        <w:tc>
          <w:tcPr>
            <w:tcW w:w="1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(19,768)</w:t>
            </w:r>
          </w:p>
        </w:tc>
      </w:tr>
      <w:tr>
        <w:trPr>
          <w:trHeight w:val="19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171,417</w:t>
            </w: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Operating lease liabilities are presented as current and non-current. As at June 30, 2025, operating lease liabilities of $38.7 million have been included in Other liabilities (December 31, 2024: $36.8 million) and $132.7 million have been classified as Non-current Lease Liabilities (December 31, 2024: $140.1 million).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4"/>
        </w:trPr>
        <w:tc>
          <w:tcPr>
            <w:tcW w:w="3800" w:type="dxa"/>
            <w:vAlign w:val="bottom"/>
          </w:tcPr>
          <w:p>
            <w:pPr>
              <w:spacing w:after="0"/>
              <w:rPr>
                <w:sz w:val="20"/>
                <w:szCs w:val="20"/>
                <w:color w:val="auto"/>
              </w:rPr>
            </w:pPr>
            <w:r>
              <w:rPr>
                <w:rFonts w:ascii="Arial" w:cs="Arial" w:eastAsia="Arial" w:hAnsi="Arial"/>
                <w:sz w:val="15"/>
                <w:szCs w:val="15"/>
                <w:b w:val="1"/>
                <w:bCs w:val="1"/>
                <w:color w:val="auto"/>
              </w:rPr>
              <w:t>10. Bank credit lines, loan facilities and notes</w:t>
            </w:r>
          </w:p>
        </w:tc>
        <w:tc>
          <w:tcPr>
            <w:tcW w:w="1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200" w:type="dxa"/>
            <w:vAlign w:val="bottom"/>
            <w:gridSpan w:val="3"/>
          </w:tcPr>
          <w:p>
            <w:pPr>
              <w:ind w:left="620"/>
              <w:spacing w:after="0"/>
              <w:rPr>
                <w:sz w:val="20"/>
                <w:szCs w:val="20"/>
                <w:color w:val="auto"/>
              </w:rPr>
            </w:pPr>
            <w:r>
              <w:rPr>
                <w:rFonts w:ascii="Arial" w:cs="Arial" w:eastAsia="Arial" w:hAnsi="Arial"/>
                <w:sz w:val="15"/>
                <w:szCs w:val="15"/>
                <w:color w:val="auto"/>
              </w:rPr>
              <w:t>The Company had the following debt outstanding as of June 30, 2025 and December 31, 2024:</w:t>
            </w: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280" w:type="dxa"/>
            <w:vAlign w:val="bottom"/>
            <w:gridSpan w:val="2"/>
          </w:tcPr>
          <w:p>
            <w:pPr>
              <w:spacing w:after="0"/>
              <w:rPr>
                <w:sz w:val="22"/>
                <w:szCs w:val="22"/>
                <w:color w:val="auto"/>
              </w:rPr>
            </w:pPr>
          </w:p>
        </w:tc>
        <w:tc>
          <w:tcPr>
            <w:tcW w:w="25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328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5"/>
                <w:szCs w:val="15"/>
                <w:b w:val="1"/>
                <w:bCs w:val="1"/>
                <w:color w:val="auto"/>
              </w:rPr>
              <w:t>Interest rate as of</w:t>
            </w:r>
          </w:p>
        </w:tc>
        <w:tc>
          <w:tcPr>
            <w:tcW w:w="2520" w:type="dxa"/>
            <w:vAlign w:val="bottom"/>
            <w:tcBorders>
              <w:bottom w:val="single" w:sz="8" w:color="auto"/>
            </w:tcBorders>
            <w:gridSpan w:val="3"/>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Principal amount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Maturity Date</w:t>
            </w:r>
          </w:p>
        </w:tc>
        <w:tc>
          <w:tcPr>
            <w:tcW w:w="1760" w:type="dxa"/>
            <w:vAlign w:val="bottom"/>
          </w:tcPr>
          <w:p>
            <w:pPr>
              <w:ind w:left="640"/>
              <w:spacing w:after="0" w:line="148" w:lineRule="exact"/>
              <w:rPr>
                <w:sz w:val="20"/>
                <w:szCs w:val="20"/>
                <w:color w:val="auto"/>
              </w:rPr>
            </w:pPr>
            <w:r>
              <w:rPr>
                <w:rFonts w:ascii="Arial" w:cs="Arial" w:eastAsia="Arial" w:hAnsi="Arial"/>
                <w:sz w:val="15"/>
                <w:szCs w:val="15"/>
                <w:b w:val="1"/>
                <w:bCs w:val="1"/>
                <w:color w:val="auto"/>
              </w:rPr>
              <w:t>June 30,</w:t>
            </w:r>
          </w:p>
        </w:tc>
        <w:tc>
          <w:tcPr>
            <w:tcW w:w="1520" w:type="dxa"/>
            <w:vAlign w:val="bottom"/>
          </w:tcPr>
          <w:p>
            <w:pPr>
              <w:jc w:val="right"/>
              <w:ind w:right="363"/>
              <w:spacing w:after="0" w:line="148" w:lineRule="exact"/>
              <w:rPr>
                <w:sz w:val="20"/>
                <w:szCs w:val="20"/>
                <w:color w:val="auto"/>
              </w:rPr>
            </w:pPr>
            <w:r>
              <w:rPr>
                <w:rFonts w:ascii="Arial" w:cs="Arial" w:eastAsia="Arial" w:hAnsi="Arial"/>
                <w:sz w:val="15"/>
                <w:szCs w:val="15"/>
                <w:b w:val="1"/>
                <w:bCs w:val="1"/>
                <w:color w:val="auto"/>
              </w:rPr>
              <w:t>December 31,</w:t>
            </w:r>
          </w:p>
        </w:tc>
        <w:tc>
          <w:tcPr>
            <w:tcW w:w="10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2025</w:t>
            </w:r>
          </w:p>
        </w:tc>
        <w:tc>
          <w:tcPr>
            <w:tcW w:w="1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520" w:type="dxa"/>
            <w:vAlign w:val="bottom"/>
            <w:gridSpan w:val="3"/>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Term Loan</w:t>
            </w:r>
          </w:p>
        </w:tc>
        <w:tc>
          <w:tcPr>
            <w:tcW w:w="1640" w:type="dxa"/>
            <w:vAlign w:val="bottom"/>
          </w:tcPr>
          <w:p>
            <w:pPr>
              <w:ind w:left="20"/>
              <w:spacing w:after="0"/>
              <w:rPr>
                <w:sz w:val="20"/>
                <w:szCs w:val="20"/>
                <w:color w:val="auto"/>
              </w:rPr>
            </w:pPr>
            <w:r>
              <w:rPr>
                <w:rFonts w:ascii="Arial" w:cs="Arial" w:eastAsia="Arial" w:hAnsi="Arial"/>
                <w:sz w:val="15"/>
                <w:szCs w:val="15"/>
                <w:color w:val="auto"/>
              </w:rPr>
              <w:t>July 2028</w:t>
            </w:r>
          </w:p>
        </w:tc>
        <w:tc>
          <w:tcPr>
            <w:tcW w:w="1760" w:type="dxa"/>
            <w:vAlign w:val="bottom"/>
          </w:tcPr>
          <w:p>
            <w:pPr>
              <w:jc w:val="right"/>
              <w:ind w:right="423"/>
              <w:spacing w:after="0"/>
              <w:rPr>
                <w:sz w:val="20"/>
                <w:szCs w:val="20"/>
                <w:color w:val="auto"/>
              </w:rPr>
            </w:pPr>
            <w:r>
              <w:rPr>
                <w:rFonts w:ascii="Arial" w:cs="Arial" w:eastAsia="Arial" w:hAnsi="Arial"/>
                <w:sz w:val="15"/>
                <w:szCs w:val="15"/>
                <w:color w:val="auto"/>
              </w:rPr>
              <w:t>6.296 %</w:t>
            </w:r>
          </w:p>
        </w:tc>
        <w:tc>
          <w:tcPr>
            <w:tcW w:w="1520" w:type="dxa"/>
            <w:vAlign w:val="bottom"/>
          </w:tcPr>
          <w:p>
            <w:pPr>
              <w:jc w:val="right"/>
              <w:ind w:right="243"/>
              <w:spacing w:after="0"/>
              <w:rPr>
                <w:sz w:val="20"/>
                <w:szCs w:val="20"/>
                <w:color w:val="auto"/>
              </w:rPr>
            </w:pPr>
            <w:r>
              <w:rPr>
                <w:rFonts w:ascii="Arial" w:cs="Arial" w:eastAsia="Arial" w:hAnsi="Arial"/>
                <w:sz w:val="15"/>
                <w:szCs w:val="15"/>
                <w:color w:val="auto"/>
              </w:rPr>
              <w:t>6.329 % $</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931,569</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946,450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"2026 Notes")</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 2026</w:t>
            </w:r>
          </w:p>
        </w:tc>
        <w:tc>
          <w:tcPr>
            <w:tcW w:w="17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2.875 %</w:t>
            </w:r>
          </w:p>
        </w:tc>
        <w:tc>
          <w:tcPr>
            <w:tcW w:w="1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2.875 %</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Notes (the "2027 Notes")*</w:t>
            </w:r>
          </w:p>
        </w:tc>
        <w:tc>
          <w:tcPr>
            <w:tcW w:w="1640" w:type="dxa"/>
            <w:vAlign w:val="bottom"/>
          </w:tcPr>
          <w:p>
            <w:pPr>
              <w:ind w:left="20"/>
              <w:spacing w:after="0"/>
              <w:rPr>
                <w:sz w:val="20"/>
                <w:szCs w:val="20"/>
                <w:color w:val="auto"/>
              </w:rPr>
            </w:pPr>
            <w:r>
              <w:rPr>
                <w:rFonts w:ascii="Arial" w:cs="Arial" w:eastAsia="Arial" w:hAnsi="Arial"/>
                <w:sz w:val="15"/>
                <w:szCs w:val="15"/>
                <w:color w:val="auto"/>
              </w:rPr>
              <w:t>May 2027</w:t>
            </w:r>
          </w:p>
        </w:tc>
        <w:tc>
          <w:tcPr>
            <w:tcW w:w="1760" w:type="dxa"/>
            <w:vAlign w:val="bottom"/>
          </w:tcPr>
          <w:p>
            <w:pPr>
              <w:jc w:val="right"/>
              <w:ind w:right="423"/>
              <w:spacing w:after="0"/>
              <w:rPr>
                <w:sz w:val="20"/>
                <w:szCs w:val="20"/>
                <w:color w:val="auto"/>
              </w:rPr>
            </w:pPr>
            <w:r>
              <w:rPr>
                <w:rFonts w:ascii="Arial" w:cs="Arial" w:eastAsia="Arial" w:hAnsi="Arial"/>
                <w:sz w:val="15"/>
                <w:szCs w:val="15"/>
                <w:color w:val="auto"/>
              </w:rPr>
              <w:t>5.809 %</w:t>
            </w:r>
          </w:p>
        </w:tc>
        <w:tc>
          <w:tcPr>
            <w:tcW w:w="1520" w:type="dxa"/>
            <w:vAlign w:val="bottom"/>
          </w:tcPr>
          <w:p>
            <w:pPr>
              <w:jc w:val="right"/>
              <w:ind w:right="363"/>
              <w:spacing w:after="0"/>
              <w:rPr>
                <w:sz w:val="20"/>
                <w:szCs w:val="20"/>
                <w:color w:val="auto"/>
              </w:rPr>
            </w:pPr>
            <w:r>
              <w:rPr>
                <w:rFonts w:ascii="Arial" w:cs="Arial" w:eastAsia="Arial" w:hAnsi="Arial"/>
                <w:sz w:val="15"/>
                <w:szCs w:val="15"/>
                <w:color w:val="auto"/>
              </w:rPr>
              <w:t>5.809 %</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"2029 Notes")*</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 2029</w:t>
            </w:r>
          </w:p>
        </w:tc>
        <w:tc>
          <w:tcPr>
            <w:tcW w:w="17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5.849 %</w:t>
            </w:r>
          </w:p>
        </w:tc>
        <w:tc>
          <w:tcPr>
            <w:tcW w:w="1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5.849 %</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Senior Secured Notes (the "2034 Notes")*</w:t>
            </w: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May 2034</w:t>
            </w:r>
          </w:p>
        </w:tc>
        <w:tc>
          <w:tcPr>
            <w:tcW w:w="17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6.000 %</w:t>
            </w:r>
          </w:p>
        </w:tc>
        <w:tc>
          <w:tcPr>
            <w:tcW w:w="1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6.000 %</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16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3,431,569</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3,446,450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current portion of debt</w:t>
            </w:r>
          </w:p>
        </w:tc>
        <w:tc>
          <w:tcPr>
            <w:tcW w:w="1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16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3,401,807</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3,416,688</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1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net</w:t>
            </w:r>
          </w:p>
        </w:tc>
        <w:tc>
          <w:tcPr>
            <w:tcW w:w="16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3,384,488</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3,396,398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00" w:type="dxa"/>
            <w:vAlign w:val="bottom"/>
          </w:tcPr>
          <w:p>
            <w:pPr>
              <w:spacing w:after="0"/>
              <w:rPr>
                <w:sz w:val="20"/>
                <w:szCs w:val="20"/>
                <w:color w:val="auto"/>
              </w:rPr>
            </w:pPr>
            <w:r>
              <w:rPr>
                <w:rFonts w:ascii="Arial" w:cs="Arial" w:eastAsia="Arial" w:hAnsi="Arial"/>
                <w:sz w:val="15"/>
                <w:szCs w:val="15"/>
                <w:color w:val="auto"/>
              </w:rPr>
              <w:t>*Issued May 8, 2024</w:t>
            </w: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720" w:type="dxa"/>
            <w:vAlign w:val="bottom"/>
            <w:gridSpan w:val="4"/>
          </w:tcPr>
          <w:p>
            <w:pPr>
              <w:ind w:left="620"/>
              <w:spacing w:after="0"/>
              <w:rPr>
                <w:sz w:val="20"/>
                <w:szCs w:val="20"/>
                <w:color w:val="auto"/>
              </w:rPr>
            </w:pPr>
            <w:r>
              <w:rPr>
                <w:rFonts w:ascii="Arial" w:cs="Arial" w:eastAsia="Arial" w:hAnsi="Arial"/>
                <w:sz w:val="15"/>
                <w:szCs w:val="15"/>
                <w:color w:val="auto"/>
              </w:rPr>
              <w:t>As of June 30, 2025, the contractual maturities of the Company's debt obligations were as follows: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Contractual maturities of debt</w:t>
            </w:r>
          </w:p>
        </w:tc>
        <w:tc>
          <w:tcPr>
            <w:tcW w:w="16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rPr>
                <w:sz w:val="20"/>
                <w:szCs w:val="20"/>
                <w:color w:val="auto"/>
              </w:rPr>
            </w:pPr>
            <w:r>
              <w:rPr>
                <w:rFonts w:ascii="Arial" w:cs="Arial" w:eastAsia="Arial" w:hAnsi="Arial"/>
                <w:sz w:val="15"/>
                <w:szCs w:val="15"/>
                <w:color w:val="auto"/>
              </w:rPr>
              <w:t>2025 (remaining)</w:t>
            </w:r>
          </w:p>
        </w:tc>
        <w:tc>
          <w:tcPr>
            <w:tcW w:w="1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14,881</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6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529,762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2027</w:t>
            </w:r>
          </w:p>
        </w:tc>
        <w:tc>
          <w:tcPr>
            <w:tcW w:w="1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779,762</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16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857,164</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2029 and thereafter</w:t>
            </w:r>
          </w:p>
        </w:tc>
        <w:tc>
          <w:tcPr>
            <w:tcW w:w="1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6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3,431,569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New Notes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5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 w:name="page21"/>
    <w:bookmarkEnd w:id="20"/>
    <w:p>
      <w:pPr>
        <w:jc w:val="both"/>
        <w:ind w:firstLine="619"/>
        <w:spacing w:after="0" w:line="264"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25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20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June 30, 2025, the applicable margin is 2.0%. The senior secured term loan facility is subject to a floor of 0.50%.</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8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Principal repayments on the senior secured term loan, comprising mandatory and voluntary repayments, during the six months ended June 30, 2025 and year ended December 31, 2024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4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(275,000)</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(2,014,882)</w:t>
            </w:r>
          </w:p>
        </w:tc>
      </w:tr>
      <w:tr>
        <w:trPr>
          <w:trHeight w:val="205"/>
        </w:trPr>
        <w:tc>
          <w:tcPr>
            <w:tcW w:w="578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4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(7,441)</w:t>
            </w:r>
          </w:p>
        </w:tc>
      </w:t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1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2024</w:t>
            </w:r>
          </w:p>
        </w:tc>
        <w:tc>
          <w:tcPr>
            <w:tcW w:w="4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(2,304,763)</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4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20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2, 2025</w:t>
            </w:r>
          </w:p>
        </w:tc>
        <w:tc>
          <w:tcPr>
            <w:tcW w:w="4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(7,441)</w:t>
            </w:r>
          </w:p>
        </w:tc>
      </w:tr>
      <w:tr>
        <w:trPr>
          <w:trHeight w:val="224"/>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repayments in 2025</w:t>
            </w:r>
          </w:p>
        </w:tc>
        <w:tc>
          <w:tcPr>
            <w:tcW w:w="4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(14,881)</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4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voluntary repayments made during the six months ended June 30, 2025.</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quarter ended June 30, 2025, the Company drew down $nil (December 31, 2024: $318.0 million) of the senior secured revolving loan facility and repaid $nil (year ended December 31, 2024: $373.0 million) as shown below. As at June 30, 2025, $nil (year ended December 31, 2024: $nil) was drawn under the senior secured revolving loan facility.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6"/>
        </w:trPr>
        <w:tc>
          <w:tcPr>
            <w:tcW w:w="48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Repayment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Closing Balance</w:t>
            </w:r>
          </w:p>
        </w:tc>
      </w:tr>
      <w:tr>
        <w:trPr>
          <w:trHeight w:val="199"/>
        </w:trPr>
        <w:tc>
          <w:tcPr>
            <w:tcW w:w="4800" w:type="dxa"/>
            <w:vAlign w:val="bottom"/>
          </w:tcPr>
          <w:p>
            <w:pPr>
              <w:spacing w:after="0"/>
              <w:rPr>
                <w:sz w:val="17"/>
                <w:szCs w:val="17"/>
                <w:color w:val="auto"/>
              </w:rPr>
            </w:pPr>
          </w:p>
        </w:tc>
        <w:tc>
          <w:tcPr>
            <w:tcW w:w="3560" w:type="dxa"/>
            <w:vAlign w:val="bottom"/>
            <w:gridSpan w:val="2"/>
          </w:tcPr>
          <w:p>
            <w:pPr>
              <w:ind w:left="2140"/>
              <w:spacing w:after="0"/>
              <w:rPr>
                <w:sz w:val="20"/>
                <w:szCs w:val="20"/>
                <w:color w:val="auto"/>
              </w:rPr>
            </w:pPr>
            <w:r>
              <w:rPr>
                <w:rFonts w:ascii="Arial" w:cs="Arial" w:eastAsia="Arial" w:hAnsi="Arial"/>
                <w:sz w:val="15"/>
                <w:szCs w:val="15"/>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2024</w:t>
            </w: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2480" w:type="dxa"/>
            <w:vAlign w:val="bottom"/>
          </w:tcPr>
          <w:p>
            <w:pPr>
              <w:ind w:left="214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143,000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24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75,000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2024</w:t>
            </w:r>
          </w:p>
        </w:tc>
        <w:tc>
          <w:tcPr>
            <w:tcW w:w="2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318,000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(373,000)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Quarter 2, 2025</w:t>
            </w:r>
          </w:p>
        </w:tc>
        <w:tc>
          <w:tcPr>
            <w:tcW w:w="2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drawdown / (repayments) in 2025</w:t>
            </w:r>
          </w:p>
        </w:tc>
        <w:tc>
          <w:tcPr>
            <w:tcW w:w="2480" w:type="dxa"/>
            <w:vAlign w:val="bottom"/>
            <w:tcBorders>
              <w:bottom w:val="single" w:sz="8" w:color="auto"/>
            </w:tcBorders>
            <w:shd w:val="clear" w:color="auto" w:fill="CCEEFF"/>
          </w:tcPr>
          <w:p>
            <w:pPr>
              <w:ind w:left="214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2026 Notes</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Debt</w:t>
      </w:r>
    </w:p>
    <w:p>
      <w:pPr>
        <w:spacing w:after="0" w:line="25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estimated fair value of the Company’s debt was $3,480.4 million at June 30, 2025 (December 31, 2024: $3,469.2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Income taxes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Income taxes recognized during the three and six months ended June 30, 2025 and June 30, 2024, comprise: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tcBorders>
              <w:bottom w:val="single" w:sz="8" w:color="auto"/>
            </w:tcBorders>
            <w:shd w:val="clear" w:color="auto" w:fill="CCEEFF"/>
          </w:tcPr>
          <w:p>
            <w:pPr>
              <w:spacing w:after="0"/>
              <w:rPr>
                <w:sz w:val="17"/>
                <w:szCs w:val="17"/>
                <w:color w:val="auto"/>
              </w:rPr>
            </w:pPr>
          </w:p>
        </w:tc>
      </w:tr>
      <w:tr>
        <w:trPr>
          <w:trHeight w:val="148"/>
        </w:trPr>
        <w:tc>
          <w:tcPr>
            <w:tcW w:w="5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8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June 30,</w:t>
            </w:r>
          </w:p>
        </w:tc>
        <w:tc>
          <w:tcPr>
            <w:tcW w:w="7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(benefit) / expense</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(21,861)</w:t>
            </w:r>
          </w:p>
        </w:tc>
        <w:tc>
          <w:tcPr>
            <w:tcW w:w="82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23,344</w:t>
            </w:r>
          </w:p>
        </w:tc>
        <w:tc>
          <w:tcPr>
            <w:tcW w:w="7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(2,258)</w:t>
            </w:r>
          </w:p>
        </w:tc>
        <w:tc>
          <w:tcPr>
            <w:tcW w:w="78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rPr>
              <w:t>51,668</w:t>
            </w:r>
          </w:p>
        </w:tc>
      </w:tr>
      <w:tr>
        <w:trPr>
          <w:trHeight w:val="224"/>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(21,861)</w:t>
            </w:r>
          </w:p>
        </w:tc>
        <w:tc>
          <w:tcPr>
            <w:tcW w:w="82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23,344</w:t>
            </w:r>
          </w:p>
        </w:tc>
        <w:tc>
          <w:tcPr>
            <w:tcW w:w="72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(2,258)</w:t>
            </w:r>
          </w:p>
        </w:tc>
        <w:tc>
          <w:tcPr>
            <w:tcW w:w="78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center"/>
              <w:ind w:left="43"/>
              <w:spacing w:after="0"/>
              <w:rPr>
                <w:sz w:val="20"/>
                <w:szCs w:val="20"/>
                <w:color w:val="auto"/>
              </w:rPr>
            </w:pPr>
            <w:r>
              <w:rPr>
                <w:rFonts w:ascii="Arial" w:cs="Arial" w:eastAsia="Arial" w:hAnsi="Arial"/>
                <w:sz w:val="15"/>
                <w:szCs w:val="15"/>
                <w:color w:val="auto"/>
              </w:rPr>
              <w:t>51,668</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Income tax expense decreased to a $21.9 million income tax benefit compared to a $23.3 million expense for the three months ended June 30, 2024 primarily due to the net release of provisions for uncertain tax positions in the period ($29.3 million), the release of a deferred tax liability related to investments in foreign subsidiaries associated with unremitted earnings ($30.6 million), partially offset by a reduced level of deferred tax benefit associated with the amortization of intangible assets ($14.6 million).</w:t>
      </w:r>
    </w:p>
    <w:p>
      <w:pPr>
        <w:spacing w:after="0" w:line="1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Income tax expense decreased to a $2.3 million income tax benefit compared to a $51.7 million expense for the six months ended June 30, 2024 primarily due to the net release of provisions for uncertain tax positions in the period ($27.3 million), the release of a deferred tax liability related to investments in foreign subsidiaries associated with unremitted earnings ($30.8 million), partially offset by a reduced level of deferred tax benefit associated with the amortization of intangible assets ($29.6 million), and changes in various tax laws.</w:t>
      </w:r>
    </w:p>
    <w:p>
      <w:pPr>
        <w:spacing w:after="0" w:line="17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analyzed the filing positions in all of the significant jurisdictions where it is required to file income tax returns, as well as open tax years in these jurisdictions. The only periods subject to audit by the major tax jurisdictions where the Company does business are the 2015 through 2024 tax years. During such audits, local tax authorities may challenge the positions taken by us in our tax returns.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2" w:name="page23"/>
    <w:bookmarkEnd w:id="22"/>
    <w:p>
      <w:pPr>
        <w:jc w:val="both"/>
        <w:ind w:firstLine="619"/>
        <w:spacing w:after="0" w:line="259" w:lineRule="auto"/>
        <w:rPr>
          <w:sz w:val="20"/>
          <w:szCs w:val="20"/>
          <w:color w:val="auto"/>
        </w:rPr>
      </w:pPr>
      <w:r>
        <w:rPr>
          <w:rFonts w:ascii="Arial" w:cs="Arial" w:eastAsia="Arial" w:hAnsi="Arial"/>
          <w:sz w:val="15"/>
          <w:szCs w:val="15"/>
          <w:color w:val="auto"/>
        </w:rPr>
        <w:t>In the normal course of business, the Company provides for uncertain tax positions and the related interest and adjusts its unrecognized tax benefits and accrued interest accordingly. As at June 30, 2025, the Company maintains a $100.9 million liability (December 31, 2024: $125.8 million) for unrecognized tax benefits, which is comprised of $80.8 million (December 31, 2024: $101.6 million) inclusive of $20.1 million (December 31, 2024: $24.2 million) for interest and penalties related to such items. The Company recognizes interest accrued on unrecognized tax benefits as an additional income tax expense.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reconciliation of the beginning and ending amount of total unrecognized tax benefits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2025 December 31, 2024</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(in thousands)</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Pr>
          <w:p>
            <w:pPr>
              <w:ind w:left="20"/>
              <w:spacing w:after="0"/>
              <w:rPr>
                <w:sz w:val="20"/>
                <w:szCs w:val="20"/>
                <w:color w:val="auto"/>
              </w:rPr>
            </w:pPr>
            <w:r>
              <w:rPr>
                <w:rFonts w:ascii="Arial" w:cs="Arial" w:eastAsia="Arial" w:hAnsi="Arial"/>
                <w:sz w:val="15"/>
                <w:szCs w:val="15"/>
                <w:color w:val="auto"/>
              </w:rPr>
              <w:t>Unrecognized tax benefits at start of period</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101,619</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160,016</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Increase related to prior year tax positions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29,140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7,374</w:t>
            </w:r>
          </w:p>
        </w:tc>
        <w:tc>
          <w:tcPr>
            <w:tcW w:w="0" w:type="dxa"/>
            <w:vAlign w:val="bottom"/>
          </w:tcPr>
          <w:p>
            <w:pPr>
              <w:spacing w:after="0"/>
              <w:rPr>
                <w:sz w:val="1"/>
                <w:szCs w:val="1"/>
                <w:color w:val="auto"/>
              </w:rPr>
            </w:pPr>
          </w:p>
        </w:tc>
      </w:tr>
      <w:tr>
        <w:trPr>
          <w:trHeight w:val="205"/>
        </w:trPr>
        <w:tc>
          <w:tcPr>
            <w:tcW w:w="8360" w:type="dxa"/>
            <w:vAlign w:val="bottom"/>
          </w:tcPr>
          <w:p>
            <w:pPr>
              <w:ind w:left="20"/>
              <w:spacing w:after="0"/>
              <w:rPr>
                <w:sz w:val="20"/>
                <w:szCs w:val="20"/>
                <w:color w:val="auto"/>
              </w:rPr>
            </w:pPr>
            <w:r>
              <w:rPr>
                <w:rFonts w:ascii="Arial" w:cs="Arial" w:eastAsia="Arial" w:hAnsi="Arial"/>
                <w:sz w:val="15"/>
                <w:szCs w:val="15"/>
                <w:color w:val="auto"/>
              </w:rPr>
              <w:t>Decrease related to prior year tax positions</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(58,824)</w:t>
            </w:r>
          </w:p>
        </w:tc>
        <w:tc>
          <w:tcPr>
            <w:tcW w:w="6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(2,525)</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Increase related to current period tax positions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8,896</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Lapse of statute of limitations</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(65,417)</w:t>
            </w:r>
          </w:p>
        </w:tc>
        <w:tc>
          <w:tcPr>
            <w:tcW w:w="0" w:type="dxa"/>
            <w:vAlign w:val="bottom"/>
          </w:tcPr>
          <w:p>
            <w:pPr>
              <w:spacing w:after="0"/>
              <w:rPr>
                <w:sz w:val="1"/>
                <w:szCs w:val="1"/>
                <w:color w:val="auto"/>
              </w:rPr>
            </w:pPr>
          </w:p>
        </w:tc>
      </w:tr>
      <w:tr>
        <w:trPr>
          <w:trHeight w:val="224"/>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Unrecognized tax benefits at end of period</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80,831</w:t>
            </w: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Interest and penalties recognized during the period to June 30, 2025 amounted to a net benefit of $5.0 million, (year ended December 31, 2024: a net charge of $1.9 million) and are included within the income tax benefit / (expense). Total accrued interest and penalties as of June 30, 2025 and December 31, 2024 were $20.1 million and $24.2 million, respectively, and are included in closing income taxes payable at those dates.</w:t>
      </w:r>
    </w:p>
    <w:p>
      <w:pPr>
        <w:spacing w:after="0" w:line="1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Our major tax jurisdictions are Ireland and the United States. We may potentially be subjected to tax audits in both our major jurisdictions. In Ireland, tax periods open to audit include the years ended December 31, 2020, December 31, 2021, December 31, 2022, December 31, 2023 and December 31, 2024. In the United States, tax periods open to audit include the years ended December 31, 2022, December 31, 2023 and December 31, 2024. During such audits, local tax authorities may challenge the positions taken by us in our tax returns. During the three months ended June 30, 2025 a tax audit in the U.S. related to 2021 was closed resulting in the release of the related provision.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12. Net income per ordinary share</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Basic net income per ordinary share has been computed by dividing net income available to ordinary shareholders by the weighted average number of ordinary shares outstanding during the period.</w:t>
      </w:r>
    </w:p>
    <w:p>
      <w:pPr>
        <w:spacing w:after="0" w:line="11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is no difference in net income used for basic and diluted net income per ordinary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60" w:type="dxa"/>
            <w:vAlign w:val="bottom"/>
            <w:gridSpan w:val="9"/>
          </w:tcPr>
          <w:p>
            <w:pPr>
              <w:ind w:left="62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per ordinary share is as follows: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5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8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3"/>
            <w:shd w:val="clear" w:color="auto" w:fill="CCEEFF"/>
          </w:tcPr>
          <w:p>
            <w:pPr>
              <w:jc w:val="center"/>
              <w:ind w:right="323"/>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123"/>
              <w:spacing w:after="0" w:line="148" w:lineRule="exact"/>
              <w:rPr>
                <w:sz w:val="20"/>
                <w:szCs w:val="20"/>
                <w:color w:val="auto"/>
              </w:rPr>
            </w:pPr>
            <w:r>
              <w:rPr>
                <w:rFonts w:ascii="Arial" w:cs="Arial" w:eastAsia="Arial" w:hAnsi="Arial"/>
                <w:sz w:val="15"/>
                <w:szCs w:val="15"/>
                <w:b w:val="1"/>
                <w:bCs w:val="1"/>
                <w:color w:val="auto"/>
              </w:rPr>
              <w:t>June 30,</w:t>
            </w:r>
          </w:p>
        </w:tc>
        <w:tc>
          <w:tcPr>
            <w:tcW w:w="13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36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5"/>
                <w:szCs w:val="15"/>
                <w:b w:val="1"/>
                <w:bCs w:val="1"/>
                <w:color w:val="auto"/>
              </w:rPr>
              <w:t>2025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 average number of ordinary shares outstanding for basic net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79,245,448</w:t>
            </w:r>
          </w:p>
        </w:tc>
        <w:tc>
          <w:tcPr>
            <w:tcW w:w="2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82,738,765</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79,899,091</w:t>
            </w:r>
          </w:p>
        </w:tc>
        <w:tc>
          <w:tcPr>
            <w:tcW w:w="3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82,658,984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per ordinary share</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20"/>
              <w:spacing w:after="0" w:line="156" w:lineRule="exact"/>
              <w:rPr>
                <w:sz w:val="20"/>
                <w:szCs w:val="20"/>
                <w:color w:val="auto"/>
              </w:rPr>
            </w:pPr>
            <w:r>
              <w:rPr>
                <w:rFonts w:ascii="Arial" w:cs="Arial" w:eastAsia="Arial" w:hAnsi="Arial"/>
                <w:sz w:val="15"/>
                <w:szCs w:val="15"/>
                <w:color w:val="auto"/>
              </w:rPr>
              <w:t>Effect of dilutive share options and other awards outstanding under share</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301,996</w:t>
            </w:r>
          </w:p>
        </w:tc>
        <w:tc>
          <w:tcPr>
            <w:tcW w:w="220" w:type="dxa"/>
            <w:vAlign w:val="bottom"/>
          </w:tcPr>
          <w:p>
            <w:pPr>
              <w:spacing w:after="0"/>
              <w:rPr>
                <w:sz w:val="13"/>
                <w:szCs w:val="13"/>
                <w:color w:val="auto"/>
              </w:rPr>
            </w:pPr>
          </w:p>
        </w:tc>
        <w:tc>
          <w:tcPr>
            <w:tcW w:w="1360" w:type="dxa"/>
            <w:vAlign w:val="bottom"/>
            <w:vMerge w:val="restart"/>
          </w:tcPr>
          <w:p>
            <w:pPr>
              <w:jc w:val="right"/>
              <w:ind w:right="43"/>
              <w:spacing w:after="0"/>
              <w:rPr>
                <w:sz w:val="20"/>
                <w:szCs w:val="20"/>
                <w:color w:val="auto"/>
              </w:rPr>
            </w:pPr>
            <w:r>
              <w:rPr>
                <w:rFonts w:ascii="Arial" w:cs="Arial" w:eastAsia="Arial" w:hAnsi="Arial"/>
                <w:sz w:val="15"/>
                <w:szCs w:val="15"/>
                <w:color w:val="auto"/>
              </w:rPr>
              <w:t>622,076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336,809</w:t>
            </w:r>
          </w:p>
        </w:tc>
        <w:tc>
          <w:tcPr>
            <w:tcW w:w="3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601,160</w:t>
            </w:r>
          </w:p>
        </w:tc>
        <w:tc>
          <w:tcPr>
            <w:tcW w:w="0" w:type="dxa"/>
            <w:vAlign w:val="bottom"/>
          </w:tcPr>
          <w:p>
            <w:pPr>
              <w:spacing w:after="0"/>
              <w:rPr>
                <w:sz w:val="1"/>
                <w:szCs w:val="1"/>
                <w:color w:val="auto"/>
              </w:rPr>
            </w:pP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based compensation programs</w:t>
            </w: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 average number of ordinary shares outstanding for diluted net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79,547,444</w:t>
            </w:r>
          </w:p>
        </w:tc>
        <w:tc>
          <w:tcPr>
            <w:tcW w:w="2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83,360,841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80,235,900</w:t>
            </w:r>
          </w:p>
        </w:tc>
        <w:tc>
          <w:tcPr>
            <w:tcW w:w="3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83,260,144</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per ordinary share</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3"/>
            <w:shd w:val="clear" w:color="auto" w:fill="CCEEFF"/>
          </w:tcPr>
          <w:p>
            <w:pPr>
              <w:jc w:val="right"/>
              <w:ind w:right="723"/>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3"/>
            <w:shd w:val="clear" w:color="auto" w:fill="CCEEFF"/>
          </w:tcPr>
          <w:p>
            <w:pPr>
              <w:ind w:left="38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2"/>
                <w:szCs w:val="12"/>
                <w:color w:val="auto"/>
              </w:rPr>
            </w:pPr>
          </w:p>
        </w:tc>
        <w:tc>
          <w:tcPr>
            <w:tcW w:w="1360" w:type="dxa"/>
            <w:vAlign w:val="bottom"/>
          </w:tcPr>
          <w:p>
            <w:pPr>
              <w:jc w:val="right"/>
              <w:ind w:right="3"/>
              <w:spacing w:after="0" w:line="148"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ind w:left="420"/>
              <w:spacing w:after="0" w:line="148" w:lineRule="exact"/>
              <w:rPr>
                <w:sz w:val="20"/>
                <w:szCs w:val="20"/>
                <w:color w:val="auto"/>
              </w:rPr>
            </w:pPr>
            <w:r>
              <w:rPr>
                <w:rFonts w:ascii="Arial" w:cs="Arial" w:eastAsia="Arial" w:hAnsi="Arial"/>
                <w:sz w:val="15"/>
                <w:szCs w:val="15"/>
                <w:b w:val="1"/>
                <w:bCs w:val="1"/>
                <w:color w:val="auto"/>
              </w:rPr>
              <w:t>June 30,</w:t>
            </w:r>
          </w:p>
        </w:tc>
        <w:tc>
          <w:tcPr>
            <w:tcW w:w="36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2.31</w:t>
            </w:r>
          </w:p>
        </w:tc>
        <w:tc>
          <w:tcPr>
            <w:tcW w:w="220" w:type="dxa"/>
            <w:vAlign w:val="bottom"/>
          </w:tcPr>
          <w:p>
            <w:pPr>
              <w:jc w:val="center"/>
              <w:ind w:right="23"/>
              <w:spacing w:after="0"/>
              <w:rPr>
                <w:sz w:val="20"/>
                <w:szCs w:val="20"/>
                <w:color w:val="auto"/>
              </w:rPr>
            </w:pPr>
            <w:r>
              <w:rPr>
                <w:rFonts w:ascii="Arial" w:cs="Arial" w:eastAsia="Arial" w:hAnsi="Arial"/>
                <w:sz w:val="15"/>
                <w:szCs w:val="15"/>
                <w:color w:val="auto"/>
                <w:w w:val="95"/>
              </w:rPr>
              <w:t>$</w:t>
            </w:r>
          </w:p>
        </w:tc>
        <w:tc>
          <w:tcPr>
            <w:tcW w:w="1360" w:type="dxa"/>
            <w:vAlign w:val="bottom"/>
          </w:tcPr>
          <w:p>
            <w:pPr>
              <w:ind w:left="920"/>
              <w:spacing w:after="0"/>
              <w:rPr>
                <w:sz w:val="20"/>
                <w:szCs w:val="20"/>
                <w:color w:val="auto"/>
              </w:rPr>
            </w:pPr>
            <w:r>
              <w:rPr>
                <w:rFonts w:ascii="Arial" w:cs="Arial" w:eastAsia="Arial" w:hAnsi="Arial"/>
                <w:sz w:val="15"/>
                <w:szCs w:val="15"/>
                <w:color w:val="auto"/>
              </w:rPr>
              <w:t>1.78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4.22</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31"/>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2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5"/>
                <w:szCs w:val="15"/>
                <w:color w:val="auto"/>
              </w:rPr>
              <w:t>1.76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4.20</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140" w:type="dxa"/>
            <w:vAlign w:val="bottom"/>
          </w:tcPr>
          <w:p>
            <w:pPr>
              <w:spacing w:after="0"/>
              <w:rPr>
                <w:sz w:val="20"/>
                <w:szCs w:val="20"/>
                <w:color w:val="auto"/>
              </w:rPr>
            </w:pPr>
            <w:r>
              <w:rPr>
                <w:rFonts w:ascii="Arial" w:cs="Arial" w:eastAsia="Arial" w:hAnsi="Arial"/>
                <w:sz w:val="15"/>
                <w:szCs w:val="15"/>
                <w:b w:val="1"/>
                <w:bCs w:val="1"/>
                <w:color w:val="auto"/>
              </w:rPr>
              <w:t>13. Share based awards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140" w:type="dxa"/>
            <w:vAlign w:val="bottom"/>
          </w:tcPr>
          <w:p>
            <w:pPr>
              <w:spacing w:after="0"/>
              <w:rPr>
                <w:sz w:val="20"/>
                <w:szCs w:val="20"/>
                <w:color w:val="auto"/>
              </w:rPr>
            </w:pPr>
            <w:r>
              <w:rPr>
                <w:rFonts w:ascii="Arial" w:cs="Arial" w:eastAsia="Arial" w:hAnsi="Arial"/>
                <w:sz w:val="15"/>
                <w:szCs w:val="15"/>
                <w:i w:val="1"/>
                <w:iCs w:val="1"/>
                <w:color w:val="auto"/>
              </w:rPr>
              <w:t>Share Options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640" w:type="dxa"/>
            <w:vAlign w:val="bottom"/>
            <w:gridSpan w:val="4"/>
          </w:tcPr>
          <w:p>
            <w:pPr>
              <w:jc w:val="right"/>
              <w:spacing w:after="0"/>
              <w:rPr>
                <w:sz w:val="20"/>
                <w:szCs w:val="20"/>
                <w:color w:val="auto"/>
              </w:rPr>
            </w:pPr>
            <w:r>
              <w:rPr>
                <w:rFonts w:ascii="Arial" w:cs="Arial" w:eastAsia="Arial" w:hAnsi="Arial"/>
                <w:sz w:val="15"/>
                <w:szCs w:val="15"/>
                <w:color w:val="auto"/>
              </w:rPr>
              <w:t>The following table summarizes option activity for the six months ended June 30, 2025: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Weighted</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Options</w:t>
            </w:r>
          </w:p>
        </w:tc>
        <w:tc>
          <w:tcPr>
            <w:tcW w:w="320" w:type="dxa"/>
            <w:vAlign w:val="bottom"/>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43"/>
              <w:spacing w:after="0" w:line="155" w:lineRule="exact"/>
              <w:rPr>
                <w:sz w:val="20"/>
                <w:szCs w:val="20"/>
                <w:color w:val="auto"/>
              </w:rPr>
            </w:pPr>
            <w:r>
              <w:rPr>
                <w:rFonts w:ascii="Arial" w:cs="Arial" w:eastAsia="Arial" w:hAnsi="Arial"/>
                <w:sz w:val="15"/>
                <w:szCs w:val="15"/>
                <w:b w:val="1"/>
                <w:bCs w:val="1"/>
                <w:color w:val="auto"/>
              </w:rPr>
              <w:t>Average</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Remaining</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3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43"/>
              <w:spacing w:after="0" w:line="155" w:lineRule="exact"/>
              <w:rPr>
                <w:sz w:val="20"/>
                <w:szCs w:val="20"/>
                <w:color w:val="auto"/>
              </w:rPr>
            </w:pPr>
            <w:r>
              <w:rPr>
                <w:rFonts w:ascii="Arial" w:cs="Arial" w:eastAsia="Arial" w:hAnsi="Arial"/>
                <w:sz w:val="15"/>
                <w:szCs w:val="15"/>
                <w:b w:val="1"/>
                <w:bCs w:val="1"/>
                <w:color w:val="auto"/>
              </w:rPr>
              <w:t>Exercise</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Contractual</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Number of Shares</w:t>
            </w: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Price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5"/>
                <w:szCs w:val="15"/>
                <w:color w:val="auto"/>
              </w:rPr>
              <w:t>622,292</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170.52</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118,902</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Exercised</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(58,784)</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110.50</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Forfeited/Expired</w:t>
            </w: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5"/>
                <w:szCs w:val="15"/>
                <w:color w:val="auto"/>
              </w:rPr>
              <w:t>(11,623)</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256.00</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June 30, 2025</w:t>
            </w: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670,787</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176.90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Exercisable at June 30, 2025</w:t>
            </w:r>
          </w:p>
        </w:tc>
        <w:tc>
          <w:tcPr>
            <w:tcW w:w="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rPr>
              <w:t>436,041</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152.79</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issues ordinary shares for all options exercised. The total amount of fully vested share options which remained outstanding at June 30, 2025 was 436,041. Fully vested share options at June 30, 2025 have an average remaining contractual term of 3.05 years and an average exercise price of $152.79.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weighted average fair value of options granted during the six months ended June 30, 2025 and June 30, 2024 was calculated using the Black-Scholes option pricing model. The weighted average grant date fair values and assumptions used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Six Months Ended</w:t>
            </w:r>
          </w:p>
        </w:tc>
        <w:tc>
          <w:tcPr>
            <w:tcW w:w="800" w:type="dxa"/>
            <w:vAlign w:val="bottom"/>
            <w:tcBorders>
              <w:bottom w:val="single" w:sz="8" w:color="auto"/>
            </w:tcBorders>
            <w:shd w:val="clear" w:color="auto" w:fill="CCEEFF"/>
          </w:tcPr>
          <w:p>
            <w:pPr>
              <w:spacing w:after="0"/>
              <w:rPr>
                <w:sz w:val="17"/>
                <w:szCs w:val="17"/>
                <w:color w:val="auto"/>
              </w:rPr>
            </w:pPr>
          </w:p>
        </w:tc>
      </w:tr>
      <w:tr>
        <w:trPr>
          <w:trHeight w:val="148"/>
        </w:trPr>
        <w:tc>
          <w:tcPr>
            <w:tcW w:w="8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8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8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grant date fair value</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64.42</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115.76</w:t>
            </w:r>
          </w:p>
        </w:tc>
      </w:tr>
      <w:tr>
        <w:trPr>
          <w:trHeight w:val="205"/>
        </w:trPr>
        <w:tc>
          <w:tcPr>
            <w:tcW w:w="802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205"/>
        </w:trPr>
        <w:tc>
          <w:tcPr>
            <w:tcW w:w="802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r>
      <w:tr>
        <w:trPr>
          <w:trHeight w:val="205"/>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years</w:t>
            </w:r>
          </w:p>
        </w:tc>
      </w:tr>
    </w:tbl>
    <w:p>
      <w:pPr>
        <w:spacing w:after="0" w:line="2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Share Units and Performance Share Units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make awards under the plan to any employee, Director holding a salaried office or employment with the Company, or a Subsidiary.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shares that can be issued under the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summarizes RSU and PSU activity for the six months ended June 30,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CCEEFF"/>
          </w:tcPr>
          <w:p>
            <w:pPr>
              <w:spacing w:after="0"/>
              <w:rPr>
                <w:sz w:val="15"/>
                <w:szCs w:val="15"/>
                <w:color w:val="auto"/>
              </w:rPr>
            </w:pPr>
          </w:p>
        </w:tc>
        <w:tc>
          <w:tcPr>
            <w:tcW w:w="2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PSU</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PSU</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Weighted</w:t>
            </w:r>
          </w:p>
        </w:tc>
        <w:tc>
          <w:tcPr>
            <w:tcW w:w="11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Average Grant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Date</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2700" w:type="dxa"/>
            <w:vAlign w:val="bottom"/>
          </w:tcPr>
          <w:p>
            <w:pPr>
              <w:jc w:val="center"/>
              <w:ind w:left="2023"/>
              <w:spacing w:after="0"/>
              <w:rPr>
                <w:sz w:val="20"/>
                <w:szCs w:val="20"/>
                <w:color w:val="auto"/>
              </w:rPr>
            </w:pPr>
            <w:r>
              <w:rPr>
                <w:rFonts w:ascii="Arial" w:cs="Arial" w:eastAsia="Arial" w:hAnsi="Arial"/>
                <w:sz w:val="15"/>
                <w:szCs w:val="15"/>
                <w:color w:val="auto"/>
              </w:rPr>
              <w:t>19,721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280.76</w:t>
            </w:r>
          </w:p>
        </w:tc>
        <w:tc>
          <w:tcPr>
            <w:tcW w:w="1180" w:type="dxa"/>
            <w:vAlign w:val="bottom"/>
          </w:tcPr>
          <w:p>
            <w:pPr>
              <w:jc w:val="right"/>
              <w:spacing w:after="0"/>
              <w:rPr>
                <w:sz w:val="20"/>
                <w:szCs w:val="20"/>
                <w:color w:val="auto"/>
              </w:rPr>
            </w:pPr>
            <w:r>
              <w:rPr>
                <w:rFonts w:ascii="Arial" w:cs="Arial" w:eastAsia="Arial" w:hAnsi="Arial"/>
                <w:sz w:val="15"/>
                <w:szCs w:val="15"/>
                <w:color w:val="auto"/>
              </w:rPr>
              <w:t>647,589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251.36</w:t>
            </w:r>
          </w:p>
        </w:tc>
        <w:tc>
          <w:tcPr>
            <w:tcW w:w="0" w:type="dxa"/>
            <w:vAlign w:val="bottom"/>
          </w:tcPr>
          <w:p>
            <w:pPr>
              <w:spacing w:after="0"/>
              <w:rPr>
                <w:sz w:val="1"/>
                <w:szCs w:val="1"/>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2700" w:type="dxa"/>
            <w:vAlign w:val="bottom"/>
            <w:shd w:val="clear" w:color="auto" w:fill="CCEEFF"/>
          </w:tcPr>
          <w:p>
            <w:pPr>
              <w:jc w:val="center"/>
              <w:ind w:left="2023"/>
              <w:spacing w:after="0"/>
              <w:rPr>
                <w:sz w:val="20"/>
                <w:szCs w:val="20"/>
                <w:color w:val="auto"/>
              </w:rPr>
            </w:pPr>
            <w:r>
              <w:rPr>
                <w:rFonts w:ascii="Arial" w:cs="Arial" w:eastAsia="Arial" w:hAnsi="Arial"/>
                <w:sz w:val="15"/>
                <w:szCs w:val="15"/>
                <w:color w:val="auto"/>
              </w:rPr>
              <w:t>41,359</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185.18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1,145,998</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130.15</w:t>
            </w:r>
          </w:p>
        </w:tc>
        <w:tc>
          <w:tcPr>
            <w:tcW w:w="0" w:type="dxa"/>
            <w:vAlign w:val="bottom"/>
          </w:tcPr>
          <w:p>
            <w:pPr>
              <w:spacing w:after="0"/>
              <w:rPr>
                <w:sz w:val="1"/>
                <w:szCs w:val="1"/>
                <w:color w:val="auto"/>
              </w:rPr>
            </w:pP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2700" w:type="dxa"/>
            <w:vAlign w:val="bottom"/>
          </w:tcPr>
          <w:p>
            <w:pPr>
              <w:jc w:val="right"/>
              <w:spacing w:after="0"/>
              <w:rPr>
                <w:sz w:val="20"/>
                <w:szCs w:val="20"/>
                <w:color w:val="auto"/>
              </w:rPr>
            </w:pPr>
            <w:r>
              <w:rPr>
                <w:rFonts w:ascii="Arial" w:cs="Arial" w:eastAsia="Arial" w:hAnsi="Arial"/>
                <w:sz w:val="15"/>
                <w:szCs w:val="15"/>
                <w:color w:val="auto"/>
              </w:rPr>
              <w:t>(8,191)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231.68</w:t>
            </w:r>
          </w:p>
        </w:tc>
        <w:tc>
          <w:tcPr>
            <w:tcW w:w="1180" w:type="dxa"/>
            <w:vAlign w:val="bottom"/>
          </w:tcPr>
          <w:p>
            <w:pPr>
              <w:jc w:val="right"/>
              <w:spacing w:after="0"/>
              <w:rPr>
                <w:sz w:val="20"/>
                <w:szCs w:val="20"/>
                <w:color w:val="auto"/>
              </w:rPr>
            </w:pPr>
            <w:r>
              <w:rPr>
                <w:rFonts w:ascii="Arial" w:cs="Arial" w:eastAsia="Arial" w:hAnsi="Arial"/>
                <w:sz w:val="15"/>
                <w:szCs w:val="15"/>
                <w:color w:val="auto"/>
              </w:rPr>
              <w:t>(26,013)</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274.54</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2700" w:type="dxa"/>
            <w:vAlign w:val="bottom"/>
            <w:tcBorders>
              <w:bottom w:val="single" w:sz="8" w:color="auto"/>
            </w:tcBorders>
            <w:shd w:val="clear" w:color="auto" w:fill="CCEEFF"/>
          </w:tcPr>
          <w:p>
            <w:pPr>
              <w:jc w:val="center"/>
              <w:ind w:left="2023"/>
              <w:spacing w:after="0"/>
              <w:rPr>
                <w:sz w:val="20"/>
                <w:szCs w:val="20"/>
                <w:color w:val="auto"/>
              </w:rPr>
            </w:pPr>
            <w:r>
              <w:rPr>
                <w:rFonts w:ascii="Arial" w:cs="Arial" w:eastAsia="Arial" w:hAnsi="Arial"/>
                <w:sz w:val="15"/>
                <w:szCs w:val="15"/>
                <w:color w:val="auto"/>
              </w:rPr>
              <w:t>(11,502)</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313.16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(81,914)</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239.84</w:t>
            </w: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June 30, 2025</w:t>
            </w:r>
          </w:p>
        </w:tc>
        <w:tc>
          <w:tcPr>
            <w:tcW w:w="2700" w:type="dxa"/>
            <w:vAlign w:val="bottom"/>
            <w:tcBorders>
              <w:bottom w:val="single" w:sz="8" w:color="auto"/>
            </w:tcBorders>
          </w:tcPr>
          <w:p>
            <w:pPr>
              <w:jc w:val="center"/>
              <w:ind w:left="2023"/>
              <w:spacing w:after="0"/>
              <w:rPr>
                <w:sz w:val="20"/>
                <w:szCs w:val="20"/>
                <w:color w:val="auto"/>
              </w:rPr>
            </w:pPr>
            <w:r>
              <w:rPr>
                <w:rFonts w:ascii="Arial" w:cs="Arial" w:eastAsia="Arial" w:hAnsi="Arial"/>
                <w:sz w:val="15"/>
                <w:szCs w:val="15"/>
                <w:color w:val="auto"/>
              </w:rPr>
              <w:t>41,387</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185.96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1,685,660</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169.15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RSUs vested during the six months ended June 30, 2025 totaled $7.1 million (June 30, 2024: $24.3 million). The fair value of RSUs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granted during the six months ended June 30, 2025 totaled $149.2 million (June 30, 2024: $75.7 million). Of the fair value of RSUs granted during the six months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2025, $73.9 million (June 30, 2024: $1.5 million) vest over 12 months.</w:t>
      </w:r>
    </w:p>
    <w:p>
      <w:pPr>
        <w:spacing w:after="0" w:line="22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PSUs vested during the six months ended June 30, 2025 totaled $1.9 million (June 30, 2024: $1.8 million). The PSUs vest based on service and specified EPS targets over the periods 2022 - 2024, 2023 - 2025, 2024 -</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2026 and 2025 - 2027. Depending on the amount of EPS from 2022 to 2027, up to an additional 125,091 PSUs may also be granted.</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compensation expense</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Stock compensation expense for the three and six months ended June 30, 2025 and June 30, 2024 has been allocated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Three Months Ended</w:t>
            </w:r>
          </w:p>
        </w:tc>
        <w:tc>
          <w:tcPr>
            <w:tcW w:w="8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Six Months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48"/>
        </w:trPr>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9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620" w:type="dxa"/>
            <w:vAlign w:val="bottom"/>
          </w:tcPr>
          <w:p>
            <w:pPr>
              <w:spacing w:after="0"/>
              <w:rPr>
                <w:sz w:val="12"/>
                <w:szCs w:val="12"/>
                <w:color w:val="auto"/>
              </w:rPr>
            </w:pPr>
          </w:p>
        </w:tc>
        <w:tc>
          <w:tcPr>
            <w:tcW w:w="940" w:type="dxa"/>
            <w:vAlign w:val="bottom"/>
          </w:tcPr>
          <w:p>
            <w:pPr>
              <w:jc w:val="center"/>
              <w:ind w:left="203"/>
              <w:spacing w:after="0" w:line="148" w:lineRule="exact"/>
              <w:rPr>
                <w:sz w:val="20"/>
                <w:szCs w:val="20"/>
                <w:color w:val="auto"/>
              </w:rPr>
            </w:pPr>
            <w:r>
              <w:rPr>
                <w:rFonts w:ascii="Arial" w:cs="Arial" w:eastAsia="Arial" w:hAnsi="Arial"/>
                <w:sz w:val="15"/>
                <w:szCs w:val="15"/>
                <w:b w:val="1"/>
                <w:bCs w:val="1"/>
                <w:color w:val="auto"/>
              </w:rPr>
              <w:t>June 30,</w:t>
            </w:r>
          </w:p>
        </w:tc>
        <w:tc>
          <w:tcPr>
            <w:tcW w:w="760" w:type="dxa"/>
            <w:vAlign w:val="bottom"/>
          </w:tcPr>
          <w:p>
            <w:pPr>
              <w:spacing w:after="0"/>
              <w:rPr>
                <w:sz w:val="12"/>
                <w:szCs w:val="12"/>
                <w:color w:val="auto"/>
              </w:rPr>
            </w:pPr>
          </w:p>
        </w:tc>
        <w:tc>
          <w:tcPr>
            <w:tcW w:w="740" w:type="dxa"/>
            <w:vAlign w:val="bottom"/>
          </w:tcPr>
          <w:p>
            <w:pPr>
              <w:jc w:val="center"/>
              <w:ind w:left="3"/>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4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(in thousands)</w:t>
            </w: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9,290</w:t>
            </w:r>
          </w:p>
        </w:tc>
        <w:tc>
          <w:tcPr>
            <w:tcW w:w="900" w:type="dxa"/>
            <w:vAlign w:val="bottom"/>
          </w:tcPr>
          <w:p>
            <w:pPr>
              <w:jc w:val="right"/>
              <w:ind w:right="72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7,299</w:t>
            </w:r>
          </w:p>
        </w:tc>
        <w:tc>
          <w:tcPr>
            <w:tcW w:w="62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940" w:type="dxa"/>
            <w:vAlign w:val="bottom"/>
          </w:tcPr>
          <w:p>
            <w:pPr>
              <w:jc w:val="center"/>
              <w:ind w:left="243"/>
              <w:spacing w:after="0"/>
              <w:rPr>
                <w:sz w:val="20"/>
                <w:szCs w:val="20"/>
                <w:color w:val="auto"/>
              </w:rPr>
            </w:pPr>
            <w:r>
              <w:rPr>
                <w:rFonts w:ascii="Arial" w:cs="Arial" w:eastAsia="Arial" w:hAnsi="Arial"/>
                <w:sz w:val="15"/>
                <w:szCs w:val="15"/>
                <w:color w:val="auto"/>
              </w:rPr>
              <w:t>14,671</w:t>
            </w:r>
          </w:p>
        </w:tc>
        <w:tc>
          <w:tcPr>
            <w:tcW w:w="760" w:type="dxa"/>
            <w:vAlign w:val="bottom"/>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center"/>
              <w:ind w:left="63"/>
              <w:spacing w:after="0"/>
              <w:rPr>
                <w:sz w:val="20"/>
                <w:szCs w:val="20"/>
                <w:color w:val="auto"/>
              </w:rPr>
            </w:pPr>
            <w:r>
              <w:rPr>
                <w:rFonts w:ascii="Arial" w:cs="Arial" w:eastAsia="Arial" w:hAnsi="Arial"/>
                <w:sz w:val="15"/>
                <w:szCs w:val="15"/>
                <w:color w:val="auto"/>
              </w:rPr>
              <w:t>14,020</w:t>
            </w:r>
          </w:p>
        </w:tc>
      </w:tr>
      <w:tr>
        <w:trPr>
          <w:trHeight w:val="20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6,143</w:t>
            </w:r>
          </w:p>
        </w:tc>
        <w:tc>
          <w:tcPr>
            <w:tcW w:w="9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7,665</w:t>
            </w:r>
          </w:p>
        </w:tc>
        <w:tc>
          <w:tcPr>
            <w:tcW w:w="6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left="243"/>
              <w:spacing w:after="0"/>
              <w:rPr>
                <w:sz w:val="20"/>
                <w:szCs w:val="20"/>
                <w:color w:val="auto"/>
              </w:rPr>
            </w:pPr>
            <w:r>
              <w:rPr>
                <w:rFonts w:ascii="Arial" w:cs="Arial" w:eastAsia="Arial" w:hAnsi="Arial"/>
                <w:sz w:val="15"/>
                <w:szCs w:val="15"/>
                <w:color w:val="auto"/>
              </w:rPr>
              <w:t>13,056</w:t>
            </w:r>
          </w:p>
        </w:tc>
        <w:tc>
          <w:tcPr>
            <w:tcW w:w="7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left="63"/>
              <w:spacing w:after="0"/>
              <w:rPr>
                <w:sz w:val="20"/>
                <w:szCs w:val="20"/>
                <w:color w:val="auto"/>
              </w:rPr>
            </w:pPr>
            <w:r>
              <w:rPr>
                <w:rFonts w:ascii="Arial" w:cs="Arial" w:eastAsia="Arial" w:hAnsi="Arial"/>
                <w:sz w:val="15"/>
                <w:szCs w:val="15"/>
                <w:color w:val="auto"/>
              </w:rPr>
              <w:t>14,125</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15,433</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14,964</w:t>
            </w:r>
          </w:p>
        </w:tc>
        <w:tc>
          <w:tcPr>
            <w:tcW w:w="6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center"/>
              <w:ind w:left="243"/>
              <w:spacing w:after="0"/>
              <w:rPr>
                <w:sz w:val="20"/>
                <w:szCs w:val="20"/>
                <w:color w:val="auto"/>
              </w:rPr>
            </w:pPr>
            <w:r>
              <w:rPr>
                <w:rFonts w:ascii="Arial" w:cs="Arial" w:eastAsia="Arial" w:hAnsi="Arial"/>
                <w:sz w:val="15"/>
                <w:szCs w:val="15"/>
                <w:color w:val="auto"/>
              </w:rPr>
              <w:t>27,727</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rPr>
              <w:t>28,145</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 capital</w:t>
      </w:r>
    </w:p>
    <w:p>
      <w:pPr>
        <w:spacing w:after="0" w:line="25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February 18, 2025, the Company's Board of Directors authorized an additional share repurchase program under which the Company could repurchase up to $750.0 million of the outstanding ordinary shares of the Company by way of redemption. Along with unutilized amounts under previous authorizations, this permitted the Company as of February 18, 2025 to repurchase up to $1.0 billion worth of ordinary shares.</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During March 2025, 1,360,537 shares were redeemed by the Company under our repurchase program for a total consideration of $250.0 million. During June 2025, a further 1,717,181 shares were redeemed by the Company under our repurchase program for a total consideration of $250.0 million. As of June 30, 2025, the Company had remaining authorization to repurchase up to $500.0 million of ordinary shares under the repurchase program.</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19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2760" w:type="dxa"/>
            <w:vAlign w:val="bottom"/>
            <w:shd w:val="clear" w:color="auto" w:fill="CCEEFF"/>
          </w:tcPr>
          <w:p>
            <w:pPr>
              <w:spacing w:after="0"/>
              <w:rPr>
                <w:sz w:val="13"/>
                <w:szCs w:val="13"/>
                <w:color w:val="auto"/>
              </w:rPr>
            </w:pPr>
          </w:p>
        </w:tc>
        <w:tc>
          <w:tcPr>
            <w:tcW w:w="23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shares purchased</w:t>
            </w:r>
          </w:p>
        </w:tc>
        <w:tc>
          <w:tcPr>
            <w:tcW w:w="3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27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276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2760" w:type="dxa"/>
            <w:vAlign w:val="bottom"/>
          </w:tcPr>
          <w:p>
            <w:pPr>
              <w:ind w:left="20"/>
              <w:spacing w:after="0"/>
              <w:rPr>
                <w:sz w:val="20"/>
                <w:szCs w:val="20"/>
                <w:color w:val="auto"/>
              </w:rPr>
            </w:pPr>
            <w:r>
              <w:rPr>
                <w:rFonts w:ascii="Arial" w:cs="Arial" w:eastAsia="Arial" w:hAnsi="Arial"/>
                <w:sz w:val="15"/>
                <w:szCs w:val="15"/>
                <w:color w:val="auto"/>
              </w:rPr>
              <w:t>March 3/12/2025 - 3/19/2025</w:t>
            </w:r>
          </w:p>
        </w:tc>
        <w:tc>
          <w:tcPr>
            <w:tcW w:w="2320" w:type="dxa"/>
            <w:vAlign w:val="bottom"/>
          </w:tcPr>
          <w:p>
            <w:pPr>
              <w:jc w:val="right"/>
              <w:ind w:right="23"/>
              <w:spacing w:after="0"/>
              <w:rPr>
                <w:sz w:val="20"/>
                <w:szCs w:val="20"/>
                <w:color w:val="auto"/>
              </w:rPr>
            </w:pPr>
            <w:r>
              <w:rPr>
                <w:rFonts w:ascii="Arial" w:cs="Arial" w:eastAsia="Arial" w:hAnsi="Arial"/>
                <w:sz w:val="15"/>
                <w:szCs w:val="15"/>
                <w:color w:val="auto"/>
              </w:rPr>
              <w:t>1,360,537</w:t>
            </w:r>
          </w:p>
        </w:tc>
        <w:tc>
          <w:tcPr>
            <w:tcW w:w="1940" w:type="dxa"/>
            <w:vAlign w:val="bottom"/>
          </w:tcPr>
          <w:p>
            <w:pPr>
              <w:jc w:val="right"/>
              <w:ind w:right="223"/>
              <w:spacing w:after="0"/>
              <w:rPr>
                <w:sz w:val="20"/>
                <w:szCs w:val="20"/>
                <w:color w:val="auto"/>
              </w:rPr>
            </w:pPr>
            <w:r>
              <w:rPr>
                <w:rFonts w:ascii="Arial" w:cs="Arial" w:eastAsia="Arial" w:hAnsi="Arial"/>
                <w:sz w:val="15"/>
                <w:szCs w:val="15"/>
                <w:color w:val="auto"/>
              </w:rPr>
              <w:t>$183.75</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1,360,537</w:t>
            </w:r>
          </w:p>
        </w:tc>
        <w:tc>
          <w:tcPr>
            <w:tcW w:w="228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06"/>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June 6/13/2025 - 6/23/2025</w:t>
            </w:r>
          </w:p>
        </w:tc>
        <w:tc>
          <w:tcPr>
            <w:tcW w:w="2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1,717,181</w:t>
            </w:r>
          </w:p>
        </w:tc>
        <w:tc>
          <w:tcPr>
            <w:tcW w:w="19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$145.59</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1,717,181</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199"/>
        </w:trPr>
        <w:tc>
          <w:tcPr>
            <w:tcW w:w="27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3,077,718</w:t>
            </w:r>
          </w:p>
        </w:tc>
        <w:tc>
          <w:tcPr>
            <w:tcW w:w="1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$162.46</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3,077,718</w:t>
            </w:r>
          </w:p>
        </w:tc>
        <w:tc>
          <w:tcPr>
            <w:tcW w:w="2280" w:type="dxa"/>
            <w:vAlign w:val="bottom"/>
            <w:tcBorders>
              <w:bottom w:val="single" w:sz="8" w:color="auto"/>
            </w:tcBorders>
          </w:tcPr>
          <w:p>
            <w:pPr>
              <w:spacing w:after="0"/>
              <w:rPr>
                <w:sz w:val="17"/>
                <w:szCs w:val="17"/>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year ended December 31, 2024, 2,179,699 ordinary shares were redeemed by the Company under this repurchase program for a total consideration of $500.0 million.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Total number 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jc w:val="right"/>
              <w:ind w:right="483"/>
              <w:spacing w:after="0" w:line="155" w:lineRule="exact"/>
              <w:rPr>
                <w:sz w:val="20"/>
                <w:szCs w:val="20"/>
                <w:color w:val="auto"/>
              </w:rPr>
            </w:pPr>
            <w:r>
              <w:rPr>
                <w:rFonts w:ascii="Arial" w:cs="Arial" w:eastAsia="Arial" w:hAnsi="Arial"/>
                <w:sz w:val="15"/>
                <w:szCs w:val="15"/>
                <w:b w:val="1"/>
                <w:bCs w:val="1"/>
                <w:color w:val="auto"/>
              </w:rPr>
              <w:t>of shares purchased</w:t>
            </w:r>
          </w:p>
        </w:tc>
        <w:tc>
          <w:tcPr>
            <w:tcW w:w="3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30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337,070</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$296.67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337,070</w:t>
            </w:r>
          </w:p>
        </w:tc>
        <w:tc>
          <w:tcPr>
            <w:tcW w:w="228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26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409,512</w:t>
            </w:r>
          </w:p>
        </w:tc>
        <w:tc>
          <w:tcPr>
            <w:tcW w:w="1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$228.57</w:t>
            </w:r>
          </w:p>
        </w:tc>
        <w:tc>
          <w:tcPr>
            <w:tcW w:w="1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409,512</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479,524</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$221.87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479,524</w:t>
            </w:r>
          </w:p>
        </w:tc>
        <w:tc>
          <w:tcPr>
            <w:tcW w:w="228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206"/>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260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953,593</w:t>
            </w:r>
          </w:p>
        </w:tc>
        <w:tc>
          <w:tcPr>
            <w:tcW w:w="1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$209.73</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953,593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99"/>
        </w:trPr>
        <w:tc>
          <w:tcPr>
            <w:tcW w:w="30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2,179,699</w:t>
            </w:r>
          </w:p>
        </w:tc>
        <w:tc>
          <w:tcPr>
            <w:tcW w:w="1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$229.39</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2,179,699</w:t>
            </w:r>
          </w:p>
        </w:tc>
        <w:tc>
          <w:tcPr>
            <w:tcW w:w="2280" w:type="dxa"/>
            <w:vAlign w:val="bottom"/>
            <w:tcBorders>
              <w:bottom w:val="single" w:sz="8" w:color="auto"/>
            </w:tcBorders>
          </w:tcPr>
          <w:p>
            <w:pPr>
              <w:spacing w:after="0"/>
              <w:rPr>
                <w:sz w:val="17"/>
                <w:szCs w:val="17"/>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All ordinary shares redeemed under the repurchase program are canceled in accordance with the constitutional documents of the Company and the nominal value of these shares transferred to an undenominated capital fund as required under Irish Company law. Repurchases under the repurchase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15. Business Segment and Geographical Information</w:t>
      </w:r>
    </w:p>
    <w:p>
      <w:pPr>
        <w:spacing w:after="0" w:line="24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20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Effective January 1, 2025, the Company determined that Chief Operating Decision Maker ('CODM') was comprised of the Chief Executive Officer, the Chief Financial Officer and the Chief Operating Officer (six months ended June 30, 2024 the Chief Executive Officer and the Chief Financial Officer). As the Company is managed on a consolidated basis, the CODM evaluates performance and allocates resources based on consolidated net income. The CODM uses consolidated net income, as reported on the Condensed Consolidated Statements of Operations, to evaluate income generated from segment assets and for decisions related to the deployment of operating and capital resources. The measure of segment assets is reported on the Condensed Consolidated Balance Sheets as total consolidated assets.</w:t>
      </w:r>
    </w:p>
    <w:p>
      <w:pPr>
        <w:spacing w:after="0" w:line="19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ICON’s Form 20-F for the year ended December 31, 2024 (see </w:t>
      </w:r>
      <w:r>
        <w:rPr>
          <w:rFonts w:ascii="Arial" w:cs="Arial" w:eastAsia="Arial" w:hAnsi="Arial"/>
          <w:sz w:val="15"/>
          <w:szCs w:val="15"/>
          <w:i w:val="1"/>
          <w:iCs w:val="1"/>
          <w:color w:val="auto"/>
        </w:rPr>
        <w:t>note</w:t>
      </w:r>
      <w:r>
        <w:rPr>
          <w:rFonts w:ascii="Arial" w:cs="Arial" w:eastAsia="Arial" w:hAnsi="Arial"/>
          <w:sz w:val="15"/>
          <w:szCs w:val="15"/>
          <w:color w:val="auto"/>
        </w:rPr>
        <w:t xml:space="preserve"> </w:t>
      </w:r>
      <w:r>
        <w:rPr>
          <w:rFonts w:ascii="Arial" w:cs="Arial" w:eastAsia="Arial" w:hAnsi="Arial"/>
          <w:sz w:val="15"/>
          <w:szCs w:val="15"/>
          <w:i w:val="1"/>
          <w:iCs w:val="1"/>
          <w:color w:val="auto"/>
        </w:rPr>
        <w:t>2 - Summary of significant accounting policies</w:t>
      </w:r>
      <w:r>
        <w:rPr>
          <w:rFonts w:ascii="Arial" w:cs="Arial" w:eastAsia="Arial" w:hAnsi="Arial"/>
          <w:sz w:val="15"/>
          <w:szCs w:val="15"/>
          <w:color w:val="auto"/>
        </w:rPr>
        <w:t>). In the context of considerations around significant segment expenses, as the expense information that is regularly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to the CODM is aligned with the respective consolidated expenses for direct costs and selling, general, and administrative expenses, as presented on the Condensed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Revenues and income from operations in Ireland are a function of our global contracting model and the ICON Group’s transfer pricing model.</w:t>
      </w:r>
    </w:p>
    <w:p>
      <w:pPr>
        <w:spacing w:after="0" w:line="2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ICON Ireland acts as the ICON Group entrepreneur under the Company’s global transfer pricing model given its role in the development and management of the ICON Group, its ownership of key intellectual property and customer relationships, its key role in the mitigation of risks faced by the ICON Group and its responsibility for maintaining the Company’s global network. ICON Ireland enters into the majority of the Company’s customer contracts.</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ICON Ireland remunerates other operating entities in the ICON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ICON Group, once each ICON entity has been paid its respective intercompany service fee, generally fall to be retained by ICON Ireland. As such, revenues and income from operations in Ireland are a function of this global transfer pricing model and comprise revenues of the ICON Group after deducting the arm’s length revenues attributable to the activities performed outside Ireland.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5"/>
          <w:szCs w:val="15"/>
          <w:color w:val="auto"/>
        </w:rPr>
        <w:t>The geographical distribution of the Company’s segment measures for the three and six months ended June 30, 2025 and June 30, 2024 and as at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June 30, 2025 and December 31, 2024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Arial" w:cs="Arial" w:eastAsia="Arial" w:hAnsi="Arial"/>
                <w:sz w:val="15"/>
                <w:szCs w:val="15"/>
                <w:color w:val="auto"/>
              </w:rPr>
              <w:t>a) The distribution of revenue by geographical area was as follows: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05"/>
        </w:trPr>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4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800" w:type="dxa"/>
            <w:vAlign w:val="bottom"/>
          </w:tcPr>
          <w:p>
            <w:pPr>
              <w:spacing w:after="0"/>
              <w:rPr>
                <w:sz w:val="9"/>
                <w:szCs w:val="9"/>
                <w:color w:val="auto"/>
              </w:rPr>
            </w:pPr>
          </w:p>
        </w:tc>
      </w:tr>
      <w:tr>
        <w:trPr>
          <w:trHeight w:val="206"/>
        </w:trPr>
        <w:tc>
          <w:tcPr>
            <w:tcW w:w="5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800" w:type="dxa"/>
            <w:vAlign w:val="bottom"/>
            <w:tcBorders>
              <w:bottom w:val="single" w:sz="8" w:color="auto"/>
            </w:tcBorders>
            <w:shd w:val="clear" w:color="auto" w:fill="CCEEFF"/>
          </w:tcPr>
          <w:p>
            <w:pPr>
              <w:spacing w:after="0"/>
              <w:rPr>
                <w:sz w:val="17"/>
                <w:szCs w:val="17"/>
                <w:color w:val="auto"/>
              </w:rPr>
            </w:pPr>
          </w:p>
        </w:tc>
      </w:tr>
      <w:tr>
        <w:trPr>
          <w:trHeight w:val="148"/>
        </w:trPr>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4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66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(in thousands)</w:t>
            </w: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884,257</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702,858</w:t>
            </w:r>
          </w:p>
        </w:tc>
        <w:tc>
          <w:tcPr>
            <w:tcW w:w="6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1,607,159</w:t>
            </w:r>
          </w:p>
        </w:tc>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1,355,543</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357,191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384,214</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731,203</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774,429</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572,312</w:t>
            </w:r>
          </w:p>
        </w:tc>
        <w:tc>
          <w:tcPr>
            <w:tcW w:w="44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792,370</w:t>
            </w:r>
          </w:p>
        </w:tc>
        <w:tc>
          <w:tcPr>
            <w:tcW w:w="6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1,244,039</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1,601,855</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203,597</w:t>
            </w:r>
          </w:p>
        </w:tc>
        <w:tc>
          <w:tcPr>
            <w:tcW w:w="4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240,717</w:t>
            </w: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436,288</w:t>
            </w:r>
          </w:p>
        </w:tc>
        <w:tc>
          <w:tcPr>
            <w:tcW w:w="7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478,718</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2,017,357</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2,120,159</w:t>
            </w:r>
          </w:p>
        </w:tc>
        <w:tc>
          <w:tcPr>
            <w:tcW w:w="6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4,018,689</w:t>
            </w: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4,210,545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b) The distribution of income from operations by geographical area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Six Months Ended</w:t>
            </w:r>
          </w:p>
        </w:tc>
        <w:tc>
          <w:tcPr>
            <w:tcW w:w="760" w:type="dxa"/>
            <w:vAlign w:val="bottom"/>
            <w:tcBorders>
              <w:bottom w:val="single" w:sz="8" w:color="auto"/>
            </w:tcBorders>
            <w:shd w:val="clear" w:color="auto" w:fill="CCEEFF"/>
          </w:tcPr>
          <w:p>
            <w:pPr>
              <w:spacing w:after="0"/>
              <w:rPr>
                <w:sz w:val="17"/>
                <w:szCs w:val="17"/>
                <w:color w:val="auto"/>
              </w:rPr>
            </w:pPr>
          </w:p>
        </w:tc>
      </w:tr>
      <w:tr>
        <w:trPr>
          <w:trHeight w:val="148"/>
        </w:trPr>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80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0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7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r>
      <w:tr>
        <w:trPr>
          <w:trHeight w:val="206"/>
        </w:trPr>
        <w:tc>
          <w:tcPr>
            <w:tcW w:w="5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(in thousands)</w:t>
            </w: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181,837</w:t>
            </w:r>
          </w:p>
        </w:tc>
        <w:tc>
          <w:tcPr>
            <w:tcW w:w="800" w:type="dxa"/>
            <w:vAlign w:val="bottom"/>
          </w:tcPr>
          <w:p>
            <w:pPr>
              <w:jc w:val="right"/>
              <w:ind w:right="60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223,466</w:t>
            </w:r>
          </w:p>
        </w:tc>
        <w:tc>
          <w:tcPr>
            <w:tcW w:w="7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339,155</w:t>
            </w: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475,282</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6,895</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39,925</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43,369</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93,734</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69,355</w:t>
            </w:r>
          </w:p>
        </w:tc>
        <w:tc>
          <w:tcPr>
            <w:tcW w:w="80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63,720</w:t>
            </w:r>
          </w:p>
        </w:tc>
        <w:tc>
          <w:tcPr>
            <w:tcW w:w="70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136,860</w:t>
            </w: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141,688</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10,178</w:t>
            </w:r>
          </w:p>
        </w:tc>
        <w:tc>
          <w:tcPr>
            <w:tcW w:w="8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19,235</w:t>
            </w:r>
          </w:p>
        </w:tc>
        <w:tc>
          <w:tcPr>
            <w:tcW w:w="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27,388</w:t>
            </w:r>
          </w:p>
        </w:tc>
        <w:tc>
          <w:tcPr>
            <w:tcW w:w="7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37,637</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268,265</w:t>
            </w:r>
          </w:p>
        </w:tc>
        <w:tc>
          <w:tcPr>
            <w:tcW w:w="80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346,346</w:t>
            </w:r>
          </w:p>
        </w:tc>
        <w:tc>
          <w:tcPr>
            <w:tcW w:w="7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546,772</w:t>
            </w:r>
          </w:p>
        </w:tc>
        <w:tc>
          <w:tcPr>
            <w:tcW w:w="7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748,341</w:t>
            </w:r>
          </w:p>
        </w:tc>
      </w:tr>
      <w:tr>
        <w:trPr>
          <w:trHeight w:val="19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(59,057)</w:t>
            </w:r>
          </w:p>
        </w:tc>
        <w:tc>
          <w:tcPr>
            <w:tcW w:w="8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(116,489)</w:t>
            </w:r>
          </w:p>
        </w:tc>
        <w:tc>
          <w:tcPr>
            <w:tcW w:w="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(118,003)</w:t>
            </w:r>
          </w:p>
        </w:tc>
        <w:tc>
          <w:tcPr>
            <w:tcW w:w="7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(232,987)</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209,208</w:t>
            </w:r>
          </w:p>
        </w:tc>
        <w:tc>
          <w:tcPr>
            <w:tcW w:w="80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229,857</w:t>
            </w:r>
          </w:p>
        </w:tc>
        <w:tc>
          <w:tcPr>
            <w:tcW w:w="7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428,769</w:t>
            </w:r>
          </w:p>
        </w:tc>
        <w:tc>
          <w:tcPr>
            <w:tcW w:w="7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515,354</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June 30,</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auto"/>
            </w:tcBorders>
            <w:shd w:val="clear" w:color="auto" w:fill="CCEEFF"/>
          </w:tcPr>
          <w:p>
            <w:pPr>
              <w:spacing w:after="0"/>
              <w:rPr>
                <w:sz w:val="17"/>
                <w:szCs w:val="17"/>
                <w:color w:val="auto"/>
              </w:rPr>
            </w:pPr>
          </w:p>
        </w:tc>
        <w:tc>
          <w:tcPr>
            <w:tcW w:w="40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72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40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234,245</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234,175</w:t>
            </w: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5"/>
                <w:szCs w:val="15"/>
                <w:color w:val="auto"/>
              </w:rPr>
              <w:t>Rest of Europe</w:t>
            </w:r>
          </w:p>
        </w:tc>
        <w:tc>
          <w:tcPr>
            <w:tcW w:w="40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94,481</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88,556</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128,697</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145,391</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 of World</w:t>
            </w:r>
          </w:p>
        </w:tc>
        <w:tc>
          <w:tcPr>
            <w:tcW w:w="40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60,908</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62,359</w:t>
            </w:r>
          </w:p>
        </w:tc>
        <w:tc>
          <w:tcPr>
            <w:tcW w:w="0" w:type="dxa"/>
            <w:vAlign w:val="bottom"/>
          </w:tcPr>
          <w:p>
            <w:pPr>
              <w:spacing w:after="0"/>
              <w:rPr>
                <w:sz w:val="1"/>
                <w:szCs w:val="1"/>
                <w:color w:val="auto"/>
              </w:rPr>
            </w:pPr>
          </w:p>
        </w:tc>
      </w:tr>
      <w:tr>
        <w:trPr>
          <w:trHeight w:val="224"/>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0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518,331</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530,481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16. Subsequent events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evaluated subsequent events from the Balance Sheet date through to the date at which the financial statements were available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issued.</w:t>
      </w:r>
    </w:p>
    <w:p>
      <w:pPr>
        <w:spacing w:after="0" w:line="21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July 22, 2025, the Company's Board of Directors authorized a further additional share repurchase program under which the Company could repurchase up to $500.0 million of the outstanding ordinary shares of the Company by way of redemption. As of July 24, 2025, the Company has remaining authorization to repurchase up to $1.0 billion of ordinary shares under the repurchase program</w:t>
      </w:r>
    </w:p>
    <w:p>
      <w:pPr>
        <w:spacing w:after="0" w:line="18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All ordinary shares redeemed under the repurchase program are canceled in accordance with the constitutional documents of the Company and the nominal value of these shares transferred to an undenominated capital fund as required under Irish Company law. Repurchases under the repurchase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determined that there are no items to disclose.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ICON plc</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2024. The consolidated financial statements have been prepared in accordance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4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w:t>
      </w:r>
    </w:p>
    <w:p>
      <w:pPr>
        <w:spacing w:after="0" w:line="1" w:lineRule="exact"/>
        <w:rPr>
          <w:sz w:val="20"/>
          <w:szCs w:val="20"/>
          <w:color w:val="auto"/>
        </w:rPr>
      </w:pPr>
    </w:p>
    <w:p>
      <w:pPr>
        <w:ind w:firstLine="3"/>
        <w:spacing w:after="0" w:line="293" w:lineRule="auto"/>
        <w:tabs>
          <w:tab w:leader="none" w:pos="98" w:val="left"/>
        </w:tabs>
        <w:numPr>
          <w:ilvl w:val="0"/>
          <w:numId w:val="3"/>
        </w:numPr>
        <w:rPr>
          <w:rFonts w:ascii="Arial" w:cs="Arial" w:eastAsia="Arial" w:hAnsi="Arial"/>
          <w:sz w:val="15"/>
          <w:szCs w:val="15"/>
          <w:color w:val="auto"/>
        </w:rPr>
      </w:pPr>
      <w:r>
        <w:rPr>
          <w:rFonts w:ascii="Arial" w:cs="Arial" w:eastAsia="Arial" w:hAnsi="Arial"/>
          <w:sz w:val="15"/>
          <w:szCs w:val="15"/>
          <w:color w:val="auto"/>
        </w:rPr>
        <w:t>from compound selection to Phase I-IV clinical studies. Our vision is to be the healthcare intelligence partner of choice by delivering industry leading solutions and best in class performance in clinical development.</w:t>
      </w:r>
    </w:p>
    <w:p>
      <w:pPr>
        <w:spacing w:after="0" w:line="17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June 30, 2025, we employed approximately 39,900 employees in 95 locations in 55 countries. During the three months ended June 30, 2025 we derived 28.4%, 61.5% and 10.1% of our revenue in the United States, Europe and other regions ("Rest of World") respectively (during the three month ended June 30, 2024: 37.4%, 51.3% and 11.3% respectively).</w:t>
      </w:r>
    </w:p>
    <w:p>
      <w:pPr>
        <w:spacing w:after="0" w:line="20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June 30, 2025 we had unsatisfied performance obligations of approximately $14.4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w:t>
      </w:r>
      <w:r>
        <w:rPr>
          <w:rFonts w:ascii="Arial" w:cs="Arial" w:eastAsia="Arial" w:hAnsi="Arial"/>
          <w:sz w:val="15"/>
          <w:szCs w:val="15"/>
          <w:i w:val="1"/>
          <w:iCs w:val="1"/>
          <w:color w:val="auto"/>
        </w:rPr>
        <w:t>note 4 - Accounts receivable, unbilled revenue (contract assets) and unearned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revenue or payments on account (contract liabilities) </w:t>
      </w:r>
      <w:r>
        <w:rPr>
          <w:rFonts w:ascii="Arial" w:cs="Arial" w:eastAsia="Arial" w:hAnsi="Arial"/>
          <w:sz w:val="15"/>
          <w:szCs w:val="15"/>
          <w:color w:val="auto"/>
        </w:rPr>
        <w:t>for further details). We believe that our unsatisfied performance obligation as of any date is not necessarily a</w:t>
      </w:r>
      <w:r>
        <w:rPr>
          <w:rFonts w:ascii="Arial" w:cs="Arial" w:eastAsia="Arial" w:hAnsi="Arial"/>
          <w:sz w:val="15"/>
          <w:szCs w:val="15"/>
          <w:i w:val="1"/>
          <w:iCs w:val="1"/>
          <w:color w:val="auto"/>
        </w:rPr>
        <w:t xml:space="preserve"> </w:t>
      </w:r>
      <w:r>
        <w:rPr>
          <w:rFonts w:ascii="Arial" w:cs="Arial" w:eastAsia="Arial" w:hAnsi="Arial"/>
          <w:sz w:val="15"/>
          <w:szCs w:val="15"/>
          <w:color w:val="auto"/>
        </w:rPr>
        <w:t>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8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 w:name="page31"/>
    <w:bookmarkEnd w:id="30"/>
    <w:p>
      <w:pPr>
        <w:jc w:val="both"/>
        <w:ind w:firstLine="619"/>
        <w:spacing w:after="0" w:line="264"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U.S. are not materially exposed to such currency differences as the majority of our revenues and costs are in U.S. dollars. However, outside of the U.S.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Three Months Ended June 30,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shd w:val="clear" w:color="auto" w:fill="CCEEFF"/>
          </w:tcPr>
          <w:p>
            <w:pPr>
              <w:spacing w:after="0"/>
              <w:rPr>
                <w:sz w:val="14"/>
                <w:szCs w:val="14"/>
                <w:color w:val="auto"/>
              </w:rPr>
            </w:pPr>
          </w:p>
        </w:tc>
        <w:tc>
          <w:tcPr>
            <w:tcW w:w="2460" w:type="dxa"/>
            <w:vAlign w:val="bottom"/>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Three Months Ended</w:t>
            </w:r>
          </w:p>
        </w:tc>
        <w:tc>
          <w:tcPr>
            <w:tcW w:w="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6"/>
        </w:trPr>
        <w:tc>
          <w:tcPr>
            <w:tcW w:w="658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9"/>
        </w:trPr>
        <w:tc>
          <w:tcPr>
            <w:tcW w:w="65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 to 2025</w:t>
            </w:r>
          </w:p>
        </w:tc>
      </w:tr>
      <w:tr>
        <w:trPr>
          <w:trHeight w:val="148"/>
        </w:trPr>
        <w:tc>
          <w:tcPr>
            <w:tcW w:w="658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left="543"/>
              <w:spacing w:after="0" w:line="148" w:lineRule="exact"/>
              <w:rPr>
                <w:sz w:val="20"/>
                <w:szCs w:val="20"/>
                <w:color w:val="auto"/>
              </w:rPr>
            </w:pPr>
            <w:r>
              <w:rPr>
                <w:rFonts w:ascii="Arial" w:cs="Arial" w:eastAsia="Arial" w:hAnsi="Arial"/>
                <w:sz w:val="15"/>
                <w:szCs w:val="15"/>
                <w:b w:val="1"/>
                <w:bCs w:val="1"/>
                <w:color w:val="auto"/>
              </w:rPr>
              <w:t>Percentage of Revenue</w:t>
            </w:r>
          </w:p>
        </w:tc>
        <w:tc>
          <w:tcPr>
            <w:tcW w:w="800" w:type="dxa"/>
            <w:vAlign w:val="bottom"/>
            <w:shd w:val="clear" w:color="auto" w:fill="CCEEFF"/>
          </w:tcPr>
          <w:p>
            <w:pPr>
              <w:spacing w:after="0"/>
              <w:rPr>
                <w:sz w:val="12"/>
                <w:szCs w:val="12"/>
                <w:color w:val="auto"/>
              </w:rPr>
            </w:pPr>
          </w:p>
        </w:tc>
        <w:tc>
          <w:tcPr>
            <w:tcW w:w="1400" w:type="dxa"/>
            <w:vAlign w:val="bottom"/>
            <w:shd w:val="clear" w:color="auto" w:fill="CCEEFF"/>
          </w:tcPr>
          <w:p>
            <w:pPr>
              <w:jc w:val="center"/>
              <w:ind w:right="83"/>
              <w:spacing w:after="0" w:line="148" w:lineRule="exact"/>
              <w:rPr>
                <w:sz w:val="20"/>
                <w:szCs w:val="20"/>
                <w:color w:val="auto"/>
              </w:rPr>
            </w:pPr>
            <w:r>
              <w:rPr>
                <w:rFonts w:ascii="Arial" w:cs="Arial" w:eastAsia="Arial" w:hAnsi="Arial"/>
                <w:sz w:val="15"/>
                <w:szCs w:val="15"/>
                <w:b w:val="1"/>
                <w:bCs w:val="1"/>
                <w:color w:val="auto"/>
              </w:rPr>
              <w:t>Percentage</w:t>
            </w:r>
          </w:p>
        </w:tc>
      </w:tr>
      <w:tr>
        <w:trPr>
          <w:trHeight w:val="155"/>
        </w:trPr>
        <w:tc>
          <w:tcPr>
            <w:tcW w:w="65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43"/>
              <w:spacing w:after="0" w:line="155" w:lineRule="exact"/>
              <w:rPr>
                <w:sz w:val="20"/>
                <w:szCs w:val="20"/>
                <w:color w:val="auto"/>
              </w:rPr>
            </w:pPr>
            <w:r>
              <w:rPr>
                <w:rFonts w:ascii="Arial" w:cs="Arial" w:eastAsia="Arial" w:hAnsi="Arial"/>
                <w:sz w:val="15"/>
                <w:szCs w:val="15"/>
                <w:b w:val="1"/>
                <w:bCs w:val="1"/>
                <w:color w:val="auto"/>
              </w:rPr>
              <w:t>Increase/</w:t>
            </w:r>
          </w:p>
        </w:tc>
      </w:tr>
      <w:tr>
        <w:trPr>
          <w:trHeight w:val="206"/>
        </w:trPr>
        <w:tc>
          <w:tcPr>
            <w:tcW w:w="65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83"/>
              <w:spacing w:after="0"/>
              <w:rPr>
                <w:sz w:val="20"/>
                <w:szCs w:val="20"/>
                <w:color w:val="auto"/>
              </w:rPr>
            </w:pPr>
            <w:r>
              <w:rPr>
                <w:rFonts w:ascii="Arial" w:cs="Arial" w:eastAsia="Arial" w:hAnsi="Arial"/>
                <w:sz w:val="15"/>
                <w:szCs w:val="15"/>
                <w:b w:val="1"/>
                <w:bCs w:val="1"/>
                <w:color w:val="auto"/>
              </w:rPr>
              <w:t>(Decrease)</w:t>
            </w:r>
          </w:p>
        </w:tc>
      </w:tr>
      <w:tr>
        <w:trPr>
          <w:trHeight w:val="205"/>
        </w:trPr>
        <w:tc>
          <w:tcPr>
            <w:tcW w:w="6580" w:type="dxa"/>
            <w:vAlign w:val="bottom"/>
          </w:tcPr>
          <w:p>
            <w:pPr>
              <w:ind w:left="20"/>
              <w:spacing w:after="0"/>
              <w:rPr>
                <w:sz w:val="20"/>
                <w:szCs w:val="20"/>
                <w:color w:val="auto"/>
              </w:rPr>
            </w:pPr>
            <w:r>
              <w:rPr>
                <w:rFonts w:ascii="Arial" w:cs="Arial" w:eastAsia="Arial" w:hAnsi="Arial"/>
                <w:sz w:val="15"/>
                <w:szCs w:val="15"/>
                <w:color w:val="auto"/>
              </w:rPr>
              <w:t>Revenue</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100.0 %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100.0 %</w:t>
            </w:r>
          </w:p>
        </w:tc>
        <w:tc>
          <w:tcPr>
            <w:tcW w:w="140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7"/>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72.2 %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70.4 %</w:t>
            </w:r>
          </w:p>
        </w:tc>
        <w:tc>
          <w:tcPr>
            <w:tcW w:w="14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10.2 %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9.2 %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1.9 %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1.6 %</w:t>
            </w:r>
          </w:p>
        </w:tc>
        <w:tc>
          <w:tcPr>
            <w:tcW w:w="1400" w:type="dxa"/>
            <w:vAlign w:val="bottom"/>
          </w:tcPr>
          <w:p>
            <w:pPr>
              <w:jc w:val="right"/>
              <w:spacing w:after="0"/>
              <w:rPr>
                <w:sz w:val="20"/>
                <w:szCs w:val="20"/>
                <w:color w:val="auto"/>
              </w:rPr>
            </w:pPr>
            <w:r>
              <w:rPr>
                <w:rFonts w:ascii="Arial" w:cs="Arial" w:eastAsia="Arial" w:hAnsi="Arial"/>
                <w:sz w:val="15"/>
                <w:szCs w:val="15"/>
                <w:color w:val="auto"/>
              </w:rPr>
              <w:t>16.6 %</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2.9 %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5.5 %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Transaction and integration related</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0.3 %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0.3 %</w:t>
            </w:r>
          </w:p>
        </w:tc>
        <w:tc>
          <w:tcPr>
            <w:tcW w:w="14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2.1 %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2.2 %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58"/>
        </w:trPr>
        <w:tc>
          <w:tcPr>
            <w:tcW w:w="65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r>
      <w:tr>
        <w:trPr>
          <w:trHeight w:val="22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46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rPr>
              <w:t>10.4 %</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10.8 %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Six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shd w:val="clear" w:color="auto" w:fill="CCEEFF"/>
          </w:tcPr>
          <w:p>
            <w:pPr>
              <w:spacing w:after="0"/>
              <w:rPr>
                <w:sz w:val="14"/>
                <w:szCs w:val="14"/>
                <w:color w:val="auto"/>
              </w:rPr>
            </w:pPr>
          </w:p>
        </w:tc>
        <w:tc>
          <w:tcPr>
            <w:tcW w:w="2460" w:type="dxa"/>
            <w:vAlign w:val="bottom"/>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Six Months Ended</w:t>
            </w:r>
          </w:p>
        </w:tc>
        <w:tc>
          <w:tcPr>
            <w:tcW w:w="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6"/>
        </w:trPr>
        <w:tc>
          <w:tcPr>
            <w:tcW w:w="658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9"/>
        </w:trPr>
        <w:tc>
          <w:tcPr>
            <w:tcW w:w="65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 to 2025</w:t>
            </w:r>
          </w:p>
        </w:tc>
      </w:tr>
      <w:tr>
        <w:trPr>
          <w:trHeight w:val="148"/>
        </w:trPr>
        <w:tc>
          <w:tcPr>
            <w:tcW w:w="658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left="543"/>
              <w:spacing w:after="0" w:line="148" w:lineRule="exact"/>
              <w:rPr>
                <w:sz w:val="20"/>
                <w:szCs w:val="20"/>
                <w:color w:val="auto"/>
              </w:rPr>
            </w:pPr>
            <w:r>
              <w:rPr>
                <w:rFonts w:ascii="Arial" w:cs="Arial" w:eastAsia="Arial" w:hAnsi="Arial"/>
                <w:sz w:val="15"/>
                <w:szCs w:val="15"/>
                <w:b w:val="1"/>
                <w:bCs w:val="1"/>
                <w:color w:val="auto"/>
              </w:rPr>
              <w:t>Percentage of Revenue</w:t>
            </w:r>
          </w:p>
        </w:tc>
        <w:tc>
          <w:tcPr>
            <w:tcW w:w="800" w:type="dxa"/>
            <w:vAlign w:val="bottom"/>
            <w:shd w:val="clear" w:color="auto" w:fill="CCEEFF"/>
          </w:tcPr>
          <w:p>
            <w:pPr>
              <w:spacing w:after="0"/>
              <w:rPr>
                <w:sz w:val="12"/>
                <w:szCs w:val="12"/>
                <w:color w:val="auto"/>
              </w:rPr>
            </w:pPr>
          </w:p>
        </w:tc>
        <w:tc>
          <w:tcPr>
            <w:tcW w:w="1400" w:type="dxa"/>
            <w:vAlign w:val="bottom"/>
            <w:shd w:val="clear" w:color="auto" w:fill="CCEEFF"/>
          </w:tcPr>
          <w:p>
            <w:pPr>
              <w:jc w:val="center"/>
              <w:ind w:right="83"/>
              <w:spacing w:after="0" w:line="148" w:lineRule="exact"/>
              <w:rPr>
                <w:sz w:val="20"/>
                <w:szCs w:val="20"/>
                <w:color w:val="auto"/>
              </w:rPr>
            </w:pPr>
            <w:r>
              <w:rPr>
                <w:rFonts w:ascii="Arial" w:cs="Arial" w:eastAsia="Arial" w:hAnsi="Arial"/>
                <w:sz w:val="15"/>
                <w:szCs w:val="15"/>
                <w:b w:val="1"/>
                <w:bCs w:val="1"/>
                <w:color w:val="auto"/>
              </w:rPr>
              <w:t>Percentage</w:t>
            </w:r>
          </w:p>
        </w:tc>
      </w:tr>
      <w:tr>
        <w:trPr>
          <w:trHeight w:val="155"/>
        </w:trPr>
        <w:tc>
          <w:tcPr>
            <w:tcW w:w="65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43"/>
              <w:spacing w:after="0" w:line="155" w:lineRule="exact"/>
              <w:rPr>
                <w:sz w:val="20"/>
                <w:szCs w:val="20"/>
                <w:color w:val="auto"/>
              </w:rPr>
            </w:pPr>
            <w:r>
              <w:rPr>
                <w:rFonts w:ascii="Arial" w:cs="Arial" w:eastAsia="Arial" w:hAnsi="Arial"/>
                <w:sz w:val="15"/>
                <w:szCs w:val="15"/>
                <w:b w:val="1"/>
                <w:bCs w:val="1"/>
                <w:color w:val="auto"/>
              </w:rPr>
              <w:t>Increase/</w:t>
            </w:r>
          </w:p>
        </w:tc>
      </w:tr>
      <w:tr>
        <w:trPr>
          <w:trHeight w:val="206"/>
        </w:trPr>
        <w:tc>
          <w:tcPr>
            <w:tcW w:w="65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83"/>
              <w:spacing w:after="0"/>
              <w:rPr>
                <w:sz w:val="20"/>
                <w:szCs w:val="20"/>
                <w:color w:val="auto"/>
              </w:rPr>
            </w:pPr>
            <w:r>
              <w:rPr>
                <w:rFonts w:ascii="Arial" w:cs="Arial" w:eastAsia="Arial" w:hAnsi="Arial"/>
                <w:sz w:val="15"/>
                <w:szCs w:val="15"/>
                <w:b w:val="1"/>
                <w:bCs w:val="1"/>
                <w:color w:val="auto"/>
              </w:rPr>
              <w:t>(Decrease)</w:t>
            </w:r>
          </w:p>
        </w:tc>
      </w:tr>
      <w:tr>
        <w:trPr>
          <w:trHeight w:val="205"/>
        </w:trPr>
        <w:tc>
          <w:tcPr>
            <w:tcW w:w="6580" w:type="dxa"/>
            <w:vAlign w:val="bottom"/>
          </w:tcPr>
          <w:p>
            <w:pPr>
              <w:ind w:left="20"/>
              <w:spacing w:after="0"/>
              <w:rPr>
                <w:sz w:val="20"/>
                <w:szCs w:val="20"/>
                <w:color w:val="auto"/>
              </w:rPr>
            </w:pPr>
            <w:r>
              <w:rPr>
                <w:rFonts w:ascii="Arial" w:cs="Arial" w:eastAsia="Arial" w:hAnsi="Arial"/>
                <w:sz w:val="15"/>
                <w:szCs w:val="15"/>
                <w:color w:val="auto"/>
              </w:rPr>
              <w:t>Revenue</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100.0 %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100.0 %</w:t>
            </w:r>
          </w:p>
        </w:tc>
        <w:tc>
          <w:tcPr>
            <w:tcW w:w="140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7"/>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72.1 %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70.4 %</w:t>
            </w:r>
          </w:p>
        </w:tc>
        <w:tc>
          <w:tcPr>
            <w:tcW w:w="14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10.0 %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8.9 %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1.9 %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1.6 %</w:t>
            </w:r>
          </w:p>
        </w:tc>
        <w:tc>
          <w:tcPr>
            <w:tcW w:w="1400" w:type="dxa"/>
            <w:vAlign w:val="bottom"/>
          </w:tcPr>
          <w:p>
            <w:pPr>
              <w:jc w:val="right"/>
              <w:spacing w:after="0"/>
              <w:rPr>
                <w:sz w:val="20"/>
                <w:szCs w:val="20"/>
                <w:color w:val="auto"/>
              </w:rPr>
            </w:pPr>
            <w:r>
              <w:rPr>
                <w:rFonts w:ascii="Arial" w:cs="Arial" w:eastAsia="Arial" w:hAnsi="Arial"/>
                <w:sz w:val="15"/>
                <w:szCs w:val="15"/>
                <w:color w:val="auto"/>
              </w:rPr>
              <w:t>15.0 %</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2.9 %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5.5 %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Transaction and integration related</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0.3 %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0.3 %</w:t>
            </w:r>
          </w:p>
        </w:tc>
        <w:tc>
          <w:tcPr>
            <w:tcW w:w="14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2.1 %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79.7 %</w:t>
            </w:r>
          </w:p>
        </w:tc>
      </w:tr>
      <w:tr>
        <w:trPr>
          <w:trHeight w:val="258"/>
        </w:trPr>
        <w:tc>
          <w:tcPr>
            <w:tcW w:w="65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r>
      <w:tr>
        <w:trPr>
          <w:trHeight w:val="22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46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rPr>
              <w:t>10.7 %</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12.2 %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2,017,357 $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2,120,159</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(102,802)</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Revenue for the three months ended June 30, 2025 decreased by $102.8 million, or 4.8%, to $2,017.4 million, compared to $2,120.2 million for the three months ended June 30, 2024. Revenue decreased by 5.6% in constant currency terms. Revenue for the three months ended June 30, 2025 was impacted by the volatility and cautiousness present in the broader clinical development market.</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three months ended June 30, 2025, we derived 28.4%, 61.5% and 10.1% of our revenue in the United States, Europe and Rest of World respectively. Revenues from our top five customers amounted to $503.6 million in the three months ended June 30, 2025, compared to $523.5 million for the three months ended June 30, 2024 or 25.0% and 24.7% respectively. New customer accounts are continually added across the full portfolio of large pharma customers, mid-tier pharma customers and biotech customers.</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 xml:space="preserve">Revenue in Ireland increased by $181.4 million for the three months ended June 30, 2025, to $884.3 million, compared to $702.9 million for the three months ended June 30, 2024. Revenue in Ireland during the period ended June 30, 2025 increased by 25.8% compared to an overall decrease in ICON Group revenue of 4.8%. Revenue in Ireland is principally a function of our global contracting model (see note 15.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for further details).</w:t>
      </w:r>
    </w:p>
    <w:p>
      <w:pPr>
        <w:spacing w:after="0" w:line="3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Revenue in our Rest of Europe region decreased by $27.0 million or 7.0%, to $357.2 million, compared to $384.2 million for the three months ended June 30, 2024. Revenue in the U.S. region decreased by $220.1 million or 27.8%, to $572.3 million, compared to $792.4 million for the three months ended June 30, 2024. Revenue in the Rest of World ('Other') region decreased by $37.1 million or 15.4%, to $203.6 million, compared to $240.7 million for the three months ended June 30, 2024.</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40" w:type="dxa"/>
            <w:vAlign w:val="bottom"/>
            <w:shd w:val="clear" w:color="auto" w:fill="CCEEFF"/>
          </w:tcPr>
          <w:p>
            <w:pPr>
              <w:jc w:val="center"/>
              <w:ind w:left="283"/>
              <w:spacing w:after="0"/>
              <w:rPr>
                <w:sz w:val="20"/>
                <w:szCs w:val="20"/>
                <w:color w:val="auto"/>
              </w:rPr>
            </w:pPr>
            <w:r>
              <w:rPr>
                <w:rFonts w:ascii="Arial" w:cs="Arial" w:eastAsia="Arial" w:hAnsi="Arial"/>
                <w:sz w:val="15"/>
                <w:szCs w:val="15"/>
                <w:b w:val="1"/>
                <w:bCs w:val="1"/>
                <w:color w:val="auto"/>
              </w:rPr>
              <w:t>Six Months Ended</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center"/>
              <w:ind w:left="283"/>
              <w:spacing w:after="0"/>
              <w:rPr>
                <w:sz w:val="20"/>
                <w:szCs w:val="20"/>
                <w:color w:val="auto"/>
              </w:rPr>
            </w:pPr>
            <w:r>
              <w:rPr>
                <w:rFonts w:ascii="Arial" w:cs="Arial" w:eastAsia="Arial" w:hAnsi="Arial"/>
                <w:sz w:val="15"/>
                <w:szCs w:val="15"/>
                <w:b w:val="1"/>
                <w:bCs w:val="1"/>
                <w:color w:val="auto"/>
              </w:rPr>
              <w:t>June 30, 2025</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rPr>
              <w:t>4,018,689 $</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4,210,545</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(191,856)</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Revenue for the six months ended June 30, 2025 decreased by $191.9 million, or 4.6%, to $4,018.7 million, compared to $4,210.5 million for the six months ended June 30, 2024. Revenue decreased by 4.4% in constant currency terms. Revenue for the six months ended June 30, 2025 was impacted by the volatility and cautiousness present in the broader clinical development market.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2" w:name="page33"/>
    <w:bookmarkEnd w:id="32"/>
    <w:p>
      <w:pPr>
        <w:jc w:val="both"/>
        <w:ind w:firstLine="619"/>
        <w:spacing w:after="0" w:line="271" w:lineRule="auto"/>
        <w:rPr>
          <w:sz w:val="20"/>
          <w:szCs w:val="20"/>
          <w:color w:val="auto"/>
        </w:rPr>
      </w:pPr>
      <w:r>
        <w:rPr>
          <w:rFonts w:ascii="Arial" w:cs="Arial" w:eastAsia="Arial" w:hAnsi="Arial"/>
          <w:sz w:val="15"/>
          <w:szCs w:val="15"/>
          <w:color w:val="auto"/>
        </w:rPr>
        <w:t>During the six months ended June 30, 2025, we derived 31.0%, 58.1% and 10.9% of our revenue in the United States, Europe and Rest of World respectively. Revenues from our top five customers amounted to $1,002.0 million in the six months ended June 30, 2025, compared to $1,067.5 million for the six months ended June 30, 2024 or 24.9% and 25.4% respectively. New customer accounts are continually added across the full portfolio of large pharma customers, mid-tier pharma customers and biotech customers.</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 xml:space="preserve">Revenue in Ireland increased by $251.7 million for the six months ended June 30, 2025, to $1,607.2 million, compared to $1,355.5 million for the six months ended June 30, 2024. Revenue in Ireland during the period ended June 30, 2025 increased by 18.6% compared to an overall decrease in ICON Group revenue of 4.6%. Revenue in Ireland is principally a function of our global contracting model (see note 15.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for further details).</w:t>
      </w:r>
    </w:p>
    <w:p>
      <w:pPr>
        <w:spacing w:after="0" w:line="37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Revenue in our Rest of Europe region decreased by $43.2 million or 5.6%, to $731.2 million, compared to $774.4 million for the six months ended June 30, 2024. Revenue in the U.S. region decreased by $357.8 million or 22.3%, to $1,244.0 million, compared to $1,601.9 million for the six months ended June 30, 2024. Revenue in the Rest of World ('Other') region decreased by $42.4 million or 8.9%, to $436.3 million, compared to $478.7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costs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jc w:val="center"/>
              <w:ind w:right="323"/>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Six Months Ended</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6"/>
        </w:trPr>
        <w:tc>
          <w:tcPr>
            <w:tcW w:w="1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gridSpan w:val="2"/>
            <w:shd w:val="clear" w:color="auto" w:fill="CCEEFF"/>
          </w:tcPr>
          <w:p>
            <w:pPr>
              <w:jc w:val="center"/>
              <w:ind w:left="603"/>
              <w:spacing w:after="0"/>
              <w:rPr>
                <w:sz w:val="20"/>
                <w:szCs w:val="20"/>
                <w:color w:val="auto"/>
              </w:rPr>
            </w:pPr>
            <w:r>
              <w:rPr>
                <w:rFonts w:ascii="Arial" w:cs="Arial" w:eastAsia="Arial" w:hAnsi="Arial"/>
                <w:sz w:val="15"/>
                <w:szCs w:val="15"/>
                <w:b w:val="1"/>
                <w:bCs w:val="1"/>
                <w:color w:val="auto"/>
              </w:rPr>
              <w:t>June 30,</w:t>
            </w:r>
          </w:p>
        </w:tc>
        <w:tc>
          <w:tcPr>
            <w:tcW w:w="10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b w:val="1"/>
                <w:bCs w:val="1"/>
                <w:color w:val="auto"/>
              </w:rPr>
              <w:t>June 30,</w:t>
            </w: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 costs</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1,455,758</w:t>
            </w:r>
          </w:p>
        </w:tc>
        <w:tc>
          <w:tcPr>
            <w:tcW w:w="5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1,493,600</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(37,842)</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2,898,437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2,964,967</w:t>
            </w: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(66,530)</w:t>
            </w:r>
          </w:p>
        </w:tc>
      </w:tr>
      <w:tr>
        <w:trPr>
          <w:trHeight w:val="205"/>
        </w:trPr>
        <w:tc>
          <w:tcPr>
            <w:tcW w:w="17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72.2 %</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70.4 %</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72.1 %</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70.4 %</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w:t>
            </w:r>
          </w:p>
        </w:tc>
      </w:tr>
    </w:tbl>
    <w:p>
      <w:pPr>
        <w:spacing w:after="0" w:line="200" w:lineRule="exact"/>
        <w:rPr>
          <w:sz w:val="20"/>
          <w:szCs w:val="20"/>
          <w:color w:val="auto"/>
        </w:rPr>
      </w:pPr>
    </w:p>
    <w:p>
      <w:pPr>
        <w:spacing w:after="0" w:line="31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Direct costs for the three months ended June 30, 2025 decreased by $37.8 million, or 2.5%, to $1,455.8 million compared to $1,493.6 million for the three months ended June 30, 2024. Direct costs consist primarily of investigator and other reimbursable costs, compensation, associated fringe benefits and share based compensation expense for project-related employees and other direct project driven costs. The decrease in direct costs arose due to a decrease in personnel related costs, travel and other direct project driven costs, partially offset by increases in third party investigator/other reimbursable costs and laboratory costs. As a percentage of revenue, direct costs have increased to 72.2% of revenue during the three months ended June 30, 2025 compared to 70.4% for the three months ended June 30, 2024.</w:t>
      </w:r>
    </w:p>
    <w:p>
      <w:pPr>
        <w:spacing w:after="0" w:line="3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Direct costs for the six months ended June 30, 2025 decreased by $66.5 million, or 2.2%, to $2,898.4 million compared to $2,965.0 million for the six months ended June 30, 2024. The decrease in direct costs arose due to a decrease in personnel related costs and travel, partially offset by increases in third party investigator/other reimbursable costs, laboratories and other direct project driven costs. As a percentage of revenue, direct costs have increased to 72.1% of revenue during the six months ended June 30, 2025 compared to 70.4% for the six months ended June 30, 2024.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540" w:type="dxa"/>
            <w:vAlign w:val="bottom"/>
            <w:gridSpan w:val="3"/>
            <w:shd w:val="clear" w:color="auto" w:fill="CCEEFF"/>
          </w:tcPr>
          <w:p>
            <w:pPr>
              <w:jc w:val="center"/>
              <w:ind w:right="343"/>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6"/>
        </w:trPr>
        <w:tc>
          <w:tcPr>
            <w:tcW w:w="2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center"/>
              <w:ind w:left="483"/>
              <w:spacing w:after="0"/>
              <w:rPr>
                <w:sz w:val="20"/>
                <w:szCs w:val="20"/>
                <w:color w:val="auto"/>
              </w:rPr>
            </w:pPr>
            <w:r>
              <w:rPr>
                <w:rFonts w:ascii="Arial" w:cs="Arial" w:eastAsia="Arial" w:hAnsi="Arial"/>
                <w:sz w:val="15"/>
                <w:szCs w:val="15"/>
                <w:b w:val="1"/>
                <w:bCs w:val="1"/>
                <w:color w:val="auto"/>
              </w:rPr>
              <w:t>June 30,</w:t>
            </w:r>
          </w:p>
        </w:tc>
        <w:tc>
          <w:tcPr>
            <w:tcW w:w="9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June 30,</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205,006</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194,458</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10,548</w:t>
            </w: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403,390</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371,808</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31,582</w:t>
            </w:r>
          </w:p>
        </w:tc>
      </w:tr>
      <w:tr>
        <w:trPr>
          <w:trHeight w:val="205"/>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 of revenue</w:t>
            </w:r>
          </w:p>
        </w:tc>
        <w:tc>
          <w:tcPr>
            <w:tcW w:w="1060" w:type="dxa"/>
            <w:vAlign w:val="bottom"/>
          </w:tcPr>
          <w:p>
            <w:pPr>
              <w:jc w:val="right"/>
              <w:spacing w:after="0"/>
              <w:rPr>
                <w:sz w:val="20"/>
                <w:szCs w:val="20"/>
                <w:color w:val="auto"/>
              </w:rPr>
            </w:pPr>
            <w:r>
              <w:rPr>
                <w:rFonts w:ascii="Arial" w:cs="Arial" w:eastAsia="Arial" w:hAnsi="Arial"/>
                <w:sz w:val="15"/>
                <w:szCs w:val="15"/>
                <w:color w:val="auto"/>
              </w:rPr>
              <w:t>10.2 %</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9.2 %</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5.4 %</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10.0 %</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8.9 %</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8.5 %</w:t>
            </w:r>
          </w:p>
        </w:tc>
      </w:tr>
    </w:tbl>
    <w:p>
      <w:pPr>
        <w:spacing w:after="0" w:line="26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Selling, general and administrative expenses for the three months ended June 30, 2025 increased by $10.5 million, or 5.4%, to $205.0 million, compared to $194.5 million for the three months ended June 30, 2024. Selling, general and administrative expenses comprise primarily of compensation, related fringe benefits and share based compensation expense for non-project-related employees, recruitment expenditure, professional service costs, advertising costs and costs related to facilities and information systems. As a percentage of revenue, selling, general and administrative expenses increased to 10.2% during the three months ended June 30, 2025, compared to 9.2% of revenue for the three months ended June 30, 2024. The increase in selling, general and administrative expenses primarily relates to adverse foreign exchange movements ($24 million during the three months ended June 30, 2025) partially offset by decreases in personnel costs, marketing costs, and facilities costs.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3" w:name="page34"/>
    <w:bookmarkEnd w:id="33"/>
    <w:p>
      <w:pPr>
        <w:jc w:val="both"/>
        <w:ind w:firstLine="619"/>
        <w:spacing w:after="0" w:line="271" w:lineRule="auto"/>
        <w:rPr>
          <w:sz w:val="20"/>
          <w:szCs w:val="20"/>
          <w:color w:val="auto"/>
        </w:rPr>
      </w:pPr>
      <w:r>
        <w:rPr>
          <w:rFonts w:ascii="Arial" w:cs="Arial" w:eastAsia="Arial" w:hAnsi="Arial"/>
          <w:sz w:val="15"/>
          <w:szCs w:val="15"/>
          <w:color w:val="auto"/>
        </w:rPr>
        <w:t>Selling, general and administrative expenses for the six months ended June 30, 2025 increased by $31.6 million, or 8.5%, to $403.4 million, compared to $371.8 million for the six months ended June 30, 2024. As a percentage of revenue, selling, general and administrative expenses increased to 10.0% during the six months ended June 30, 2025, compared to 8.9% of revenue for the six months ended June 30, 2024. The increase in selling, general and administrative expenses primarily relates to adverse foreign exchange movements ($42.1 million during the six months ended June 30, 2025) partially offset by decreases in personnel costs, marketing costs, and facilities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Six Months Ended</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6"/>
        </w:trPr>
        <w:tc>
          <w:tcPr>
            <w:tcW w:w="26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June 30,</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38,661</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33,146</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5,515</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75,673</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65,829</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9,844</w:t>
            </w:r>
          </w:p>
        </w:tc>
      </w:tr>
      <w:tr>
        <w:trPr>
          <w:trHeight w:val="205"/>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1.9 %</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16.6 %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1.9 %</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1.6 %</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15.0 %</w:t>
            </w: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59,057</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116,489</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(57,432)</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118,003</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232,987</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(114,984)</w:t>
            </w:r>
          </w:p>
        </w:tc>
      </w:tr>
      <w:tr>
        <w:trPr>
          <w:trHeight w:val="205"/>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2.9 %</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(49.3)%</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2.9 %</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5.5 %</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(49.4)%</w:t>
            </w:r>
          </w:p>
        </w:tc>
      </w:tr>
    </w:tbl>
    <w:p>
      <w:pPr>
        <w:spacing w:after="0" w:line="31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depreciation expense for the three months ended June 30, 2025 increased by $5.5 million, or 16.6%, to $38.7 million compared to $33.1 million for the three months ended June 30, 2024. The depreciation charge reflects investments in facilities, information systems and equipment. As a percentage of revenue, the depreciation expense increased to 1.9% of revenues, for the three months ended June 30, 2025 compared to 1.6% for the three months ended June 30, 2024. The depreciation expense for the six months ended June 30, 2025 increased by $9.8 million, or 15.0%, to $75.7 million compared to $65.8 million for the six months ended June 30, 2024. As a percentage of revenue, the depreciation expense increased to 1.9% of revenues, for the six months ended June 30, 2025 compared to 1.6% for the six months ended June 30, 2024. The depreciation charge has increased mainly due to additional investment in technology assets.</w:t>
      </w:r>
    </w:p>
    <w:p>
      <w:pPr>
        <w:spacing w:after="0" w:line="18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Amortization expense for the three months ended June 30, 2025 decreased by $57.4 million, or 49.3%, to $59.1 million compared to $116.5 million for the three months ended June 30, 2024. The amortization expense represents the amortization of intangible assets acquired in business combinations. As a percentage of revenue, the amortization expense decreased to 2.9% for the three months ended June 30, 2025, compared to 5.5% for the three months ended June 30, 2024. Amortization expense for the six months ended June 30, 2025 decreased by $115.0 million, or 49.4%, to $118.0 million compared to $233.0 million for the six months ended June 30, 2024. The decrease in amortization is due to the order backlog and trade name intangible assets recognized in connection with the PRA merger amounting to $500.0 million and $202.0 million respectively as of the date of acquisition, becoming fully amortized on July 1, 2024.</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Restructuring, transaction and integration related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60" w:type="dxa"/>
            <w:vAlign w:val="bottom"/>
            <w:gridSpan w:val="3"/>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Six Months Ended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6"/>
        </w:trPr>
        <w:tc>
          <w:tcPr>
            <w:tcW w:w="27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2"/>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June 30,</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19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 and integration related</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6,717</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6,820</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(103)</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12,121</w:t>
            </w: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13,811</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(1,690)</w:t>
            </w:r>
          </w:p>
        </w:tc>
      </w:tr>
      <w:tr>
        <w:trPr>
          <w:trHeight w:val="205"/>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0.3 %</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0.3 %</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0.3 %</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0.3 %</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42,950</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45,789</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(2,839)</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82,296</w:t>
            </w: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45,789</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36,507</w:t>
            </w:r>
          </w:p>
        </w:tc>
      </w:tr>
      <w:tr>
        <w:trPr>
          <w:trHeight w:val="205"/>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2.1 %</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2.2 %</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2.1 %</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1.1 %</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79.7 %</w:t>
            </w:r>
          </w:p>
        </w:tc>
      </w:tr>
    </w:tbl>
    <w:p>
      <w:pPr>
        <w:spacing w:after="0" w:line="31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and six months ended June 30, 2025, the Company incurred $6.7 million and $12.1 million, respectively, for transaction and integration-related expenses. The charge includes costs associated with ongoing integration activities related to our recent acquisitions. Such costs include professional fees, legal costs and related integration costs.</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three and six months ended June 30, 2025 the Company has undertaken a restructuring program aimed at realigning its workforce as well as reviewing its global office footprint and optimizing its locations to best fit the requirements of the Company. During the six months ended June 30, 2025 the restructuring plan reflected a workforce reduction of $75.6 million (June 30, 2024: $31.7 million) and an office consolidation program to optimize the Company's office footprint of $6.7 million (June 30, 2024: $14.1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Income from operations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center"/>
              <w:ind w:left="283"/>
              <w:spacing w:after="0"/>
              <w:rPr>
                <w:sz w:val="20"/>
                <w:szCs w:val="20"/>
                <w:color w:val="auto"/>
              </w:rPr>
            </w:pPr>
            <w:r>
              <w:rPr>
                <w:rFonts w:ascii="Arial" w:cs="Arial" w:eastAsia="Arial" w:hAnsi="Arial"/>
                <w:sz w:val="15"/>
                <w:szCs w:val="15"/>
                <w:b w:val="1"/>
                <w:bCs w:val="1"/>
                <w:color w:val="auto"/>
              </w:rPr>
              <w:t>Three Months Ended</w:t>
            </w: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6"/>
        </w:trPr>
        <w:tc>
          <w:tcPr>
            <w:tcW w:w="5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2"/>
            <w:shd w:val="clear" w:color="auto" w:fill="CCEEFF"/>
          </w:tcPr>
          <w:p>
            <w:pPr>
              <w:jc w:val="center"/>
              <w:ind w:left="303"/>
              <w:spacing w:after="0"/>
              <w:rPr>
                <w:sz w:val="20"/>
                <w:szCs w:val="20"/>
                <w:color w:val="auto"/>
              </w:rPr>
            </w:pPr>
            <w:r>
              <w:rPr>
                <w:rFonts w:ascii="Arial" w:cs="Arial" w:eastAsia="Arial" w:hAnsi="Arial"/>
                <w:sz w:val="15"/>
                <w:szCs w:val="15"/>
                <w:b w:val="1"/>
                <w:bCs w:val="1"/>
                <w:color w:val="auto"/>
              </w:rPr>
              <w:t>June 30,</w:t>
            </w:r>
          </w:p>
        </w:tc>
        <w:tc>
          <w:tcPr>
            <w:tcW w:w="9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19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209,208</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229,857</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(20,649)</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10.4 %</w:t>
            </w:r>
          </w:p>
        </w:tc>
        <w:tc>
          <w:tcPr>
            <w:tcW w:w="1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10.8 %</w:t>
            </w:r>
          </w:p>
        </w:tc>
        <w:tc>
          <w:tcPr>
            <w:tcW w:w="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(9.0)%</w:t>
            </w:r>
          </w:p>
        </w:tc>
      </w:tr>
    </w:tbl>
    <w:p>
      <w:pPr>
        <w:spacing w:after="0" w:line="14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Income from operations decreased by $20.6 million or 9.0% to $209.2 million compared to $229.9 million for the three months ended June 30, 2024. As a percentage of revenue, income from operations decreased to 10.4% compared to 10.8% of revenue for the three months ended June 30, 2024.</w:t>
      </w:r>
    </w:p>
    <w:p>
      <w:pPr>
        <w:spacing w:after="0" w:line="15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Excluding amortization of intangible assets, income from operations in Ireland decreased to $181.8 million compared to $223.5 million for three months ended June 30, 2024.</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Rest of Europe region, excluding amortization of intangible assets, income from operations decreased to $6.9 million compared to $39.9 million for the three months ended June 30, 2024. As a percentage of revenues, excluding amortization of intangible assets, income from operations in the Rest of Europe region decreased to 1.9% compared to 10.4% for the three months ended June 30, 2024.</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U.S. region, income from operations, excluding amortization of intangible assets, increased to $69.4 million compared to $63.7 million for the three months ended June 30, 2024. As a percentage of revenues, excluding amortization of intangible assets, income from operations in the U.S. region increased to 12.1% compared to 8.0% for the three months ended June 30, 2024.</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Rest of World, income from operations, excluding amortization of intangible assets, decreased to $10.2 million compared to $19.2 million for the three months ended June 30, 2024. As percentage of revenue, excluding amortization of intangible assets, income from operations in the other regions decreased to 5.0% compared to 8.0% for the three months ended June 30,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left="363"/>
              <w:spacing w:after="0"/>
              <w:rPr>
                <w:sz w:val="20"/>
                <w:szCs w:val="20"/>
                <w:color w:val="auto"/>
              </w:rPr>
            </w:pPr>
            <w:r>
              <w:rPr>
                <w:rFonts w:ascii="Arial" w:cs="Arial" w:eastAsia="Arial" w:hAnsi="Arial"/>
                <w:sz w:val="15"/>
                <w:szCs w:val="15"/>
                <w:b w:val="1"/>
                <w:bCs w:val="1"/>
                <w:color w:val="auto"/>
              </w:rPr>
              <w:t>Six Months Ended</w:t>
            </w: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6"/>
        </w:trPr>
        <w:tc>
          <w:tcPr>
            <w:tcW w:w="5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gridSpan w:val="2"/>
            <w:shd w:val="clear" w:color="auto" w:fill="CCEEFF"/>
          </w:tcPr>
          <w:p>
            <w:pPr>
              <w:jc w:val="center"/>
              <w:ind w:left="363"/>
              <w:spacing w:after="0"/>
              <w:rPr>
                <w:sz w:val="20"/>
                <w:szCs w:val="20"/>
                <w:color w:val="auto"/>
              </w:rPr>
            </w:pPr>
            <w:r>
              <w:rPr>
                <w:rFonts w:ascii="Arial" w:cs="Arial" w:eastAsia="Arial" w:hAnsi="Arial"/>
                <w:sz w:val="15"/>
                <w:szCs w:val="15"/>
                <w:b w:val="1"/>
                <w:bCs w:val="1"/>
                <w:color w:val="auto"/>
              </w:rPr>
              <w:t>June 30,</w:t>
            </w:r>
          </w:p>
        </w:tc>
        <w:tc>
          <w:tcPr>
            <w:tcW w:w="9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19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428,769</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515,354</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(86,585)</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10.7 %</w:t>
            </w:r>
          </w:p>
        </w:tc>
        <w:tc>
          <w:tcPr>
            <w:tcW w:w="9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12.2 %</w:t>
            </w:r>
          </w:p>
        </w:tc>
        <w:tc>
          <w:tcPr>
            <w:tcW w:w="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(16.8)%</w:t>
            </w:r>
          </w:p>
        </w:tc>
      </w:tr>
    </w:tbl>
    <w:p>
      <w:pPr>
        <w:spacing w:after="0" w:line="31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Income from operations decreased by $86.6 million or 16.8% to $428.8 million compared to $515.4 million for the six months ended June 30, 2024. As a percentage of revenue, income from operations decreased to 10.7% compared to 12.2% of revenue for the six months ended June 30, 2024.</w:t>
      </w:r>
    </w:p>
    <w:p>
      <w:pPr>
        <w:spacing w:after="0" w:line="15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Excluding amortization of intangible assets, income from operations in Ireland decreased to $339.2 million compared to $475.3 million for the six months ended June 30, 2024.</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the Rest of Europe region, excluding amortization of intangible assets, income from operations decreased to $43.4 million compared to $93.7 million for the six months ended June 30, 2024. As a percentage of revenues, excluding amortization of intangible assets, income from operations in the Rest of Europe region decreased to 5.9% compared to 12.1% for the six months ended June 30, 2024.</w:t>
      </w:r>
    </w:p>
    <w:p>
      <w:pPr>
        <w:spacing w:after="0" w:line="19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U.S. region, income from operations, excluding amortization of intangible assets, decreased to $136.9 million compared to $141.7 million for the six months ended June 30, 2024. As a percentage of revenues, excluding amortization of intangible assets, income from operations in the U.S. region increased to 11.0% compared to 8.8% for the six months ended June 30, 2024.</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Rest of World, income from operations, excluding amortization of intangible assets, decreased to $27.4 million compared to $37.6 million for the six months ended June 30, 2024. As percentage of revenue, excluding amortization of intangible assets, income from operations in the other regions decreased to 6.3% compared to 7.9%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Interest income and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Change</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Six Months Ended</w:t>
            </w:r>
          </w:p>
        </w:tc>
        <w:tc>
          <w:tcPr>
            <w:tcW w:w="3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Change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June 30,</w:t>
            </w: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2,054</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817</w:t>
            </w:r>
          </w:p>
        </w:tc>
        <w:tc>
          <w:tcPr>
            <w:tcW w:w="104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66.0 % $</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3,856</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3,167</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689</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21.8 %</w:t>
            </w:r>
          </w:p>
        </w:tc>
        <w:tc>
          <w:tcPr>
            <w:tcW w:w="0" w:type="dxa"/>
            <w:vAlign w:val="bottom"/>
          </w:tcPr>
          <w:p>
            <w:pPr>
              <w:spacing w:after="0"/>
              <w:rPr>
                <w:sz w:val="1"/>
                <w:szCs w:val="1"/>
                <w:color w:val="auto"/>
              </w:rPr>
            </w:pPr>
          </w:p>
        </w:tc>
      </w:tr>
      <w:tr>
        <w:trPr>
          <w:trHeight w:val="205"/>
        </w:trPr>
        <w:tc>
          <w:tcPr>
            <w:tcW w:w="17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(50,151)</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(60,840)</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523"/>
              <w:spacing w:after="0"/>
              <w:rPr>
                <w:sz w:val="20"/>
                <w:szCs w:val="20"/>
                <w:color w:val="auto"/>
              </w:rPr>
            </w:pPr>
            <w:r>
              <w:rPr>
                <w:rFonts w:ascii="Arial" w:cs="Arial" w:eastAsia="Arial" w:hAnsi="Arial"/>
                <w:sz w:val="15"/>
                <w:szCs w:val="15"/>
                <w:color w:val="auto"/>
              </w:rPr>
              <w:t>10,689</w:t>
            </w:r>
          </w:p>
        </w:tc>
        <w:tc>
          <w:tcPr>
            <w:tcW w:w="740" w:type="dxa"/>
            <w:vAlign w:val="bottom"/>
          </w:tcPr>
          <w:p>
            <w:pPr>
              <w:jc w:val="right"/>
              <w:spacing w:after="0"/>
              <w:rPr>
                <w:sz w:val="20"/>
                <w:szCs w:val="20"/>
                <w:color w:val="auto"/>
              </w:rPr>
            </w:pPr>
            <w:r>
              <w:rPr>
                <w:rFonts w:ascii="Arial" w:cs="Arial" w:eastAsia="Arial" w:hAnsi="Arial"/>
                <w:sz w:val="15"/>
                <w:szCs w:val="15"/>
                <w:color w:val="auto"/>
              </w:rPr>
              <w:t>(17.6)%</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(97,760)</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(132,505)</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523"/>
              <w:spacing w:after="0"/>
              <w:rPr>
                <w:sz w:val="20"/>
                <w:szCs w:val="20"/>
                <w:color w:val="auto"/>
              </w:rPr>
            </w:pPr>
            <w:r>
              <w:rPr>
                <w:rFonts w:ascii="Arial" w:cs="Arial" w:eastAsia="Arial" w:hAnsi="Arial"/>
                <w:sz w:val="15"/>
                <w:szCs w:val="15"/>
                <w:color w:val="auto"/>
              </w:rPr>
              <w:t>34,745</w:t>
            </w:r>
          </w:p>
        </w:tc>
        <w:tc>
          <w:tcPr>
            <w:tcW w:w="740" w:type="dxa"/>
            <w:vAlign w:val="bottom"/>
          </w:tcPr>
          <w:p>
            <w:pPr>
              <w:jc w:val="right"/>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Interest expense for the three months ended June 30, 2025 decreased to $50.2 million, compared to $60.8 million for the three months ended June 30, 2024. The decrease in the period reflects significant repayments of the Company's loan facilities during 2024, the repricing of the senior secured term loan facility and senior secured revolving credit facility in March 2024, and the impact of reduced interest rates on the New Notes issued in May 2024. Interest income for the three months ended June 30, 2025 increased to $2.1 million compared to $1.2 million for the three months ended June 30, 2024.</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Interest expense for the six months ended June 30, 2025 decreased to $97.8 million, compared to $132.5 million for the six months ended June 30, 2024. The decrease in the period reflects significant repayments of the Company's loan facilities during 2024, the repricing of the senior secured term loan facility and senior secured revolving credit facility in March 2024, and the impact of reduced interest rates on the New Notes issued in May 2024. Interest income for the six months ended June 30, 2025 increased to $3.9 million compared to $3.2 million for the six months ended June 30, 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(benefit) /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c>
          <w:tcPr>
            <w:tcW w:w="4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June 30,</w:t>
            </w:r>
          </w:p>
        </w:tc>
        <w:tc>
          <w:tcPr>
            <w:tcW w:w="6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June 30,</w:t>
            </w:r>
          </w:p>
        </w:tc>
        <w:tc>
          <w:tcPr>
            <w:tcW w:w="7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 / expense</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(21,861)</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23,344</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(45,205)</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(2,258)</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51,668</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(53,926)</w:t>
            </w: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(13.6)%</w:t>
            </w:r>
          </w:p>
        </w:tc>
        <w:tc>
          <w:tcPr>
            <w:tcW w:w="7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(193.6)%</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(0.7)%</w:t>
            </w:r>
          </w:p>
        </w:tc>
        <w:tc>
          <w:tcPr>
            <w:tcW w:w="7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Income tax expense decreased to a $21.9 million income tax benefit compared to a $23.3 million expense for the three months ended June 30, 2024. The Company’s effective tax rate for the three months ended June 30, 2025 was (13.6)% compared with 13.7% for the three months ended June 30, 2024 primarily due to the net release of provisions for uncertain tax positions in the period ($29.3 million), the release of a deferred tax liability related to investments in foreign subsidiaries associated with unremitted earnings ($30.6 million), partially offset by a reduced level of deferred tax benefit associated with the amortization of intangible assets ($14.6 million).</w:t>
      </w:r>
    </w:p>
    <w:p>
      <w:pPr>
        <w:spacing w:after="0" w:line="2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Income tax expense decreased to a $2.3 million income tax benefit compared to a $51.7 million expense for the six months ended June 30, 2024. The Company’s effective tax rate for the six months ended June 30, 2025 was (0.7)% compared with 13.4% for the six months ended June 30, 2024 primarily due to the net release of provisions for uncertain tax positions in the period ($27.3 million), the release of a deferred tax liability related to investments in foreign subsidiaries associated with unremitted earnings ($30.8 million), partially offset by a reduced level of deferred tax benefit associated with the amortization of intangible assets ($29.6 million), and changes in various tax laws</w:t>
      </w:r>
    </w:p>
    <w:p>
      <w:pPr>
        <w:spacing w:after="0" w:line="18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is sufficient to meet the Company's present requirements.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Net (drawn</w:t>
            </w: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Net cash</w:t>
            </w:r>
          </w:p>
        </w:tc>
        <w:tc>
          <w:tcPr>
            <w:tcW w:w="5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 non-</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Effect of</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Balance June 30,</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inflow/</w:t>
            </w:r>
          </w:p>
        </w:tc>
        <w:tc>
          <w:tcPr>
            <w:tcW w:w="5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exchange</w:t>
            </w:r>
          </w:p>
        </w:tc>
        <w:tc>
          <w:tcPr>
            <w:tcW w:w="13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down)/repaid</w:t>
            </w:r>
          </w:p>
        </w:tc>
        <w:tc>
          <w:tcPr>
            <w:tcW w:w="38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rPr>
              <w:t>(outflow) cash adjustments</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color w:val="auto"/>
              </w:rPr>
              <w:t>— $</w:t>
            </w:r>
          </w:p>
        </w:tc>
        <w:tc>
          <w:tcPr>
            <w:tcW w:w="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(169,742)</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21,353</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390,396</w:t>
            </w: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5"/>
                <w:szCs w:val="15"/>
                <w:color w:val="auto"/>
              </w:rPr>
              <w:t>Senior Secured Credit Facilities, New Notes</w:t>
            </w: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(3,426,160)</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14,881</w:t>
            </w:r>
          </w:p>
        </w:tc>
        <w:tc>
          <w:tcPr>
            <w:tcW w:w="380" w:type="dxa"/>
            <w:vAlign w:val="bottom"/>
          </w:tcPr>
          <w:p>
            <w:pPr>
              <w:spacing w:after="0"/>
              <w:rPr>
                <w:sz w:val="13"/>
                <w:szCs w:val="13"/>
                <w:color w:val="auto"/>
              </w:rPr>
            </w:pPr>
          </w:p>
        </w:tc>
        <w:tc>
          <w:tcPr>
            <w:tcW w:w="960" w:type="dxa"/>
            <w:vAlign w:val="bottom"/>
            <w:vMerge w:val="restart"/>
          </w:tcPr>
          <w:p>
            <w:pPr>
              <w:ind w:left="74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(2,971)</w:t>
            </w:r>
          </w:p>
        </w:tc>
        <w:tc>
          <w:tcPr>
            <w:tcW w:w="36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(3,414,250)</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&amp; 2026 Notes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Net cash and cash equivalents and</w:t>
            </w:r>
          </w:p>
        </w:tc>
        <w:tc>
          <w:tcPr>
            <w:tcW w:w="2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(2,887,375)</w:t>
            </w:r>
          </w:p>
        </w:tc>
        <w:tc>
          <w:tcPr>
            <w:tcW w:w="2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14,881</w:t>
            </w:r>
          </w:p>
        </w:tc>
        <w:tc>
          <w:tcPr>
            <w:tcW w:w="380" w:type="dxa"/>
            <w:vAlign w:val="bottom"/>
            <w:vMerge w:val="restart"/>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(169,742)</w:t>
            </w:r>
          </w:p>
        </w:tc>
        <w:tc>
          <w:tcPr>
            <w:tcW w:w="54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21,353</w:t>
            </w: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(3,023,854)</w:t>
            </w:r>
          </w:p>
        </w:tc>
        <w:tc>
          <w:tcPr>
            <w:tcW w:w="0" w:type="dxa"/>
            <w:vAlign w:val="bottom"/>
          </w:tcPr>
          <w:p>
            <w:pPr>
              <w:spacing w:after="0"/>
              <w:rPr>
                <w:sz w:val="1"/>
                <w:szCs w:val="1"/>
                <w:color w:val="auto"/>
              </w:rPr>
            </w:pPr>
          </w:p>
        </w:tc>
      </w:tr>
      <w:tr>
        <w:trPr>
          <w:trHeight w:val="225"/>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borrowings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and cash equivalents and borrowings is a useful measure that assists understanding of the Company’s liquidity and capital resources, which is relevant to the Company’s strategy. The Company’s cash and cash equivalents at June 30, 2025 amounted to $390.4 million compared with $538.8 million at December 31, 2024.</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for details on the Company's outstanding debt. Refer to note 9.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further details on the Company's contractual liabilities for lease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25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provided by operating activities decreased by $131.3 million to $414.4 million for the six months ended June 30, 2025 as compared to net cash provided by operating activities of $545.7 million for the six months ended June 30, 2024. The decrease in net cash provided by operating activities of $131.3 million is primarily due to a decrease and change in mix of revenue, changes in working capital, which is discussed further below, in addition to restructuring outflows.</w:t>
      </w:r>
    </w:p>
    <w:p>
      <w:pPr>
        <w:spacing w:after="0" w:line="17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change in working capital is primarily attributable to a reduction in accounts receivable related cashflows of $174.4 million (as accounts receivable balances decreased to a greater extent in the the six months ended June 30, 2024 in comparison to the the six months ended June 30, 2025), offset by an improvement in unbilled revenue related cashflows of $323.2 million (as unbilled revenue balances decreased during the six months ended June 30, 2025, as opposed to an increase during the six months ended June 30, 2024). In addition a decrease in unearned revenue cashflows of $70.2 million half year on half year (as unearned revenue balances decreased to a greater extent during the six months ended June 30, 2025, in comparison to the six months ended June 30, 2024). These changes result from differences in timing of revenue recognition, cash collection, upfront receipts and billing on clinical trials. The number of days’ revenue outstanding at June 30, 2025 was 49 days (March 31, 2025: 49 days, December 31, 2024: 47 days, September 30, 2024: 52 days, June 30, 2024: 51 days, March 31, 2024: 49 days, December 31, 2023: 47 days). A decrease in the number of days’ revenue outstanding during a period will result in cash inflows to the Company while an increase in days revenue outstanding will lead to cash outflows.</w:t>
      </w:r>
    </w:p>
    <w:p>
      <w:pPr>
        <w:spacing w:after="0" w:line="19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used in investing activities was $75.5 million for the six months ended June 30, 2025 compared to net cash used in investing activities of $73.6 million for the six months ended June 30, 2024. Net cash used in investing activities during the six months ended June 30, 2025 was primarily related to cash outflows of $61.2 million for capital expenditures made mainly relating to investment in facilities and IT infrastructure and $11.8 million in relation to investments in equity.</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financing activities</w:t>
      </w:r>
    </w:p>
    <w:p>
      <w:pPr>
        <w:spacing w:after="0" w:line="24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Net cash used in financing activities during the six months ended June 30, 2025 amounted to $508.7 million compared to net cash used in financing activities of $335.5 million for the six months ended June 30, 2024. During the six months ended June 30, 2025, the Company made a net repayment of $14.9 million on external financing (See the C</w:t>
      </w:r>
      <w:r>
        <w:rPr>
          <w:rFonts w:ascii="Arial" w:cs="Arial" w:eastAsia="Arial" w:hAnsi="Arial"/>
          <w:sz w:val="15"/>
          <w:szCs w:val="15"/>
          <w:i w:val="1"/>
          <w:iCs w:val="1"/>
          <w:color w:val="auto"/>
        </w:rPr>
        <w:t>ondensed Consolidated Statements of Cash Flows</w:t>
      </w:r>
      <w:r>
        <w:rPr>
          <w:rFonts w:ascii="Arial" w:cs="Arial" w:eastAsia="Arial" w:hAnsi="Arial"/>
          <w:sz w:val="15"/>
          <w:szCs w:val="15"/>
          <w:color w:val="auto"/>
        </w:rPr>
        <w:t xml:space="preserve"> for further details). Further, the Company repurchased 3,077,718 ordinary shares for a total consideration of $500.0 million. These outflows were offset by $6.5 million received by the Company from the exercise of equity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outflow</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a result of these cash flows, cash and cash equivalents decreased by $148.4 million for the six months ended June 30, 2025 compared to an increase of $128.5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Summarized financial information of issuers and guarantors</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7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Guarantor will be automatically and unconditionally released from all obligations under its note guarantee, and such note guarantee shall thereupon terminate and be discharged and of no further force and effect:</w:t>
      </w:r>
    </w:p>
    <w:p>
      <w:pPr>
        <w:spacing w:after="0" w:line="183" w:lineRule="exact"/>
        <w:rPr>
          <w:sz w:val="20"/>
          <w:szCs w:val="20"/>
          <w:color w:val="auto"/>
        </w:rPr>
      </w:pPr>
    </w:p>
    <w:p>
      <w:pPr>
        <w:jc w:val="both"/>
        <w:ind w:left="620" w:hanging="307"/>
        <w:spacing w:after="0" w:line="263"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as to all Guarantors (other than ICON), at the time of any collateral release event;</w:t>
      </w:r>
    </w:p>
    <w:p>
      <w:pPr>
        <w:spacing w:after="0" w:line="8"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legal defeasance, covenant defeasance or satisfaction and discharge of the indenture governing the New Notes;</w:t>
      </w:r>
    </w:p>
    <w:p>
      <w:pPr>
        <w:spacing w:after="0" w:line="17" w:lineRule="exact"/>
        <w:rPr>
          <w:rFonts w:ascii="Arial" w:cs="Arial" w:eastAsia="Arial" w:hAnsi="Arial"/>
          <w:sz w:val="15"/>
          <w:szCs w:val="15"/>
          <w:color w:val="auto"/>
        </w:rPr>
      </w:pPr>
    </w:p>
    <w:p>
      <w:pPr>
        <w:ind w:left="620" w:hanging="307"/>
        <w:spacing w:after="0" w:line="260"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the merger, amalgamation or consolidation of any Guarantor into ICON, the Issuer or another Guarantor or upon the liquidation, dissolution or winding up of such Guarantor;</w:t>
      </w:r>
    </w:p>
    <w:p>
      <w:pPr>
        <w:ind w:left="620" w:hanging="307"/>
        <w:spacing w:after="0" w:line="253"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release of such Guarantor from its guarantee under the Senior Secured Credit Facilities (except in the case of a release from the repayment in full of the Senior Secured Credit Facilities); or</w:t>
      </w: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Summarized Combined Financial Information</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Summarized financial information (the "SFI"), as defined under Rule 1-02 (bb) of Regulation S-X, is provided below for the Issuer and Guarantor entities, collectively, the "Obligor Group" as of June 30, 2025 and December 31, 2024, and for the six months ended June 30, 2025 and the year ended December 31, 2024. The SFI is presented on a combined basis with intercompany transactions and balances among the entities included in the Obligor Group eliminated. The Obligor Group SFI excludes investments in non-guarantor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206"/>
        </w:trPr>
        <w:tc>
          <w:tcPr>
            <w:tcW w:w="8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Six Months Ended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r>
      <w:tr>
        <w:trPr>
          <w:trHeight w:val="148"/>
        </w:trPr>
        <w:tc>
          <w:tcPr>
            <w:tcW w:w="8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19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3,625,331</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7,474,880</w:t>
            </w: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costs and expenses (a)</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3,268,769</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6,647,712</w:t>
            </w:r>
          </w:p>
        </w:tc>
      </w:tr>
      <w:tr>
        <w:trPr>
          <w:trHeight w:val="224"/>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 (a)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356,562</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827,168</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 (a) (b)</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416,365</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699,018</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hanging="7"/>
        <w:spacing w:after="0" w:line="260" w:lineRule="auto"/>
        <w:tabs>
          <w:tab w:leader="none" w:pos="56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amortization of intangible assets of $113.4 million for the six months ended June 30, 2025 and $344.4 million for the year ended December 31, 2024.</w:t>
      </w:r>
    </w:p>
    <w:p>
      <w:pPr>
        <w:spacing w:after="0" w:line="188" w:lineRule="exact"/>
        <w:rPr>
          <w:rFonts w:ascii="Arial" w:cs="Arial" w:eastAsia="Arial" w:hAnsi="Arial"/>
          <w:sz w:val="15"/>
          <w:szCs w:val="15"/>
          <w:color w:val="auto"/>
        </w:rPr>
      </w:pPr>
    </w:p>
    <w:p>
      <w:pPr>
        <w:ind w:left="320" w:hanging="7"/>
        <w:spacing w:after="0" w:line="266" w:lineRule="auto"/>
        <w:tabs>
          <w:tab w:leader="none" w:pos="56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net intercompany interest expense of $24.7 million for the six months ended June 30, 2025 and $144.4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rPr>
              <w:t>(Unaudited)</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(Unaudited)</w:t>
            </w:r>
          </w:p>
        </w:tc>
      </w:tr>
      <w:tr>
        <w:trPr>
          <w:trHeight w:val="148"/>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2"/>
                <w:szCs w:val="12"/>
                <w:color w:val="auto"/>
              </w:rPr>
            </w:pPr>
          </w:p>
        </w:tc>
        <w:tc>
          <w:tcPr>
            <w:tcW w:w="13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2,950,957</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3,207,524</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 (c)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60,734,037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62,996,507</w:t>
            </w: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Intercompany receivables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1,386,023</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1,309,276</w:t>
            </w:r>
          </w:p>
        </w:tc>
      </w:tr>
      <w:tr>
        <w:trPr>
          <w:trHeight w:val="225"/>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65,071,017</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67,513,307</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2,329,587</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2,561,140</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4,261,123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4,380,570</w:t>
            </w:r>
          </w:p>
        </w:tc>
      </w:tr>
      <w:tr>
        <w:trPr>
          <w:trHeight w:val="206"/>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Intercompany payables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3,024,998</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5,029,580</w:t>
            </w:r>
          </w:p>
        </w:tc>
      </w:tr>
      <w:tr>
        <w:trPr>
          <w:trHeight w:val="20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9,615,708</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11,971,290</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 Non-current assets include each Guarantor's investment in obligor subsidiaries, on a combined aggregated basis.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Legal proceedings</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18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The Company, its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w:t>
      </w:r>
      <w:r>
        <w:rPr>
          <w:rFonts w:ascii="Arial" w:cs="Arial" w:eastAsia="Arial" w:hAnsi="Arial"/>
          <w:sz w:val="15"/>
          <w:szCs w:val="15"/>
          <w:i w:val="1"/>
          <w:iCs w:val="1"/>
          <w:color w:val="auto"/>
        </w:rPr>
        <w:t>In re ICON plc Securities Litigation</w:t>
      </w:r>
      <w:r>
        <w:rPr>
          <w:rFonts w:ascii="Arial" w:cs="Arial" w:eastAsia="Arial" w:hAnsi="Arial"/>
          <w:sz w:val="15"/>
          <w:szCs w:val="15"/>
          <w:color w:val="auto"/>
        </w:rPr>
        <w:t>, No. 2:25-cv-00763. Lead plaintiffs and lead counsel for the putative class were appointed on June 10, 2025. The Company intends to defend the action vigorously.</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42"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the potential loss or delay of our large contracts or of multiple contracts, impairment of goodwill and intangible assets may adversely impact future results of operations,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recession, tariffs and other trade restrictions, risks associated with litigation and other proceedings, and other factors. Forward-looking statements speak only as of the date they are made and we do not undertake any obligation to update publicly any forward-looking statement, either as a result of new information, future events or otherwise. Please also refer to the section entitled "Risk Factors" of our Form 20-F filed on February 21, 2025 for a discussion of some of the principal risks that could adversely affect our business, operations and financial results.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229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2160" cy="229235"/>
                    </a:xfrm>
                    <a:prstGeom prst="rect">
                      <a:avLst/>
                    </a:prstGeom>
                    <a:noFill/>
                  </pic:spPr>
                </pic:pic>
              </a:graphicData>
            </a:graphic>
          </wp:anchor>
        </w:drawing>
      </w:r>
    </w:p>
    <w:p>
      <w:pPr>
        <w:ind w:left="20"/>
        <w:spacing w:after="0"/>
        <w:tabs>
          <w:tab w:leader="none" w:pos="190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22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96"/>
              </w:rPr>
              <w:t>22.</w:t>
            </w:r>
            <w:r>
              <w:rPr>
                <w:rFonts w:ascii="Arial" w:cs="Arial" w:eastAsia="Arial" w:hAnsi="Arial"/>
                <w:sz w:val="15"/>
                <w:szCs w:val="15"/>
                <w:u w:val="single" w:color="auto"/>
                <w:color w:val="0000FF"/>
                <w:w w:val="96"/>
              </w:rPr>
              <w:t>1*</w:t>
            </w:r>
          </w:p>
        </w:tc>
        <w:tc>
          <w:tcPr>
            <w:tcW w:w="1120" w:type="dxa"/>
            <w:vAlign w:val="bottom"/>
            <w:shd w:val="clear" w:color="auto" w:fill="CCEEFF"/>
          </w:tcPr>
          <w:p>
            <w:pPr>
              <w:spacing w:after="0"/>
              <w:rPr>
                <w:sz w:val="14"/>
                <w:szCs w:val="14"/>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List of Subsidiary Guarantors and Issuer of Guaranteed Debt Securities and Affiliates Whose Securities Collateralize Securities of</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ICON Investments Six Designated Activity Company.</w:t>
            </w:r>
          </w:p>
        </w:tc>
      </w:tr>
      <w:tr>
        <w:trPr>
          <w:trHeight w:val="205"/>
        </w:trPr>
        <w:tc>
          <w:tcPr>
            <w:tcW w:w="1500" w:type="dxa"/>
            <w:vAlign w:val="bottom"/>
            <w:gridSpan w:val="3"/>
          </w:tcPr>
          <w:p>
            <w:pPr>
              <w:ind w:left="20"/>
              <w:spacing w:after="0"/>
              <w:rPr>
                <w:sz w:val="20"/>
                <w:szCs w:val="20"/>
                <w:color w:val="auto"/>
              </w:rPr>
            </w:pPr>
            <w:r>
              <w:rPr>
                <w:rFonts w:ascii="Arial" w:cs="Arial" w:eastAsia="Arial" w:hAnsi="Arial"/>
                <w:sz w:val="15"/>
                <w:szCs w:val="15"/>
                <w:color w:val="auto"/>
              </w:rPr>
              <w:t>* Filed herewith</w:t>
            </w:r>
          </w:p>
        </w:tc>
        <w:tc>
          <w:tcPr>
            <w:tcW w:w="9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SIGNATURES</w:t>
      </w:r>
    </w:p>
    <w:p>
      <w:pPr>
        <w:spacing w:after="0" w:line="242" w:lineRule="exact"/>
        <w:rPr>
          <w:sz w:val="20"/>
          <w:szCs w:val="20"/>
          <w:color w:val="auto"/>
        </w:rPr>
      </w:pPr>
    </w:p>
    <w:p>
      <w:pPr>
        <w:ind w:firstLine="206"/>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ICON plc</w:t>
            </w:r>
          </w:p>
        </w:tc>
        <w:tc>
          <w:tcPr>
            <w:tcW w:w="0" w:type="dxa"/>
            <w:vAlign w:val="bottom"/>
          </w:tcPr>
          <w:p>
            <w:pPr>
              <w:spacing w:after="0"/>
              <w:rPr>
                <w:sz w:val="1"/>
                <w:szCs w:val="1"/>
                <w:color w:val="auto"/>
              </w:rPr>
            </w:pPr>
          </w:p>
        </w:tc>
      </w:tr>
      <w:tr>
        <w:trPr>
          <w:trHeight w:val="651"/>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/s/ Nigel Clerkin</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color w:val="auto"/>
              </w:rPr>
              <w:t>Nigel Clerkin</w:t>
            </w: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5"/>
                <w:szCs w:val="15"/>
                <w:color w:val="auto"/>
              </w:rPr>
              <w:t>Date:</w:t>
            </w:r>
          </w:p>
        </w:tc>
        <w:tc>
          <w:tcPr>
            <w:tcW w:w="3620" w:type="dxa"/>
            <w:vAlign w:val="bottom"/>
          </w:tcPr>
          <w:p>
            <w:pPr>
              <w:ind w:left="140"/>
              <w:spacing w:after="0"/>
              <w:rPr>
                <w:sz w:val="20"/>
                <w:szCs w:val="20"/>
                <w:color w:val="auto"/>
              </w:rPr>
            </w:pPr>
            <w:r>
              <w:rPr>
                <w:rFonts w:ascii="Arial" w:cs="Arial" w:eastAsia="Arial" w:hAnsi="Arial"/>
                <w:sz w:val="15"/>
                <w:szCs w:val="15"/>
                <w:color w:val="auto"/>
              </w:rPr>
              <w:t>July 24, 2025</w:t>
            </w:r>
          </w:p>
        </w:tc>
        <w:tc>
          <w:tcPr>
            <w:tcW w:w="3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25"/>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jc w:val="right"/>
              <w:ind w:right="2123"/>
              <w:spacing w:after="0"/>
              <w:rPr>
                <w:sz w:val="20"/>
                <w:szCs w:val="20"/>
                <w:color w:val="auto"/>
              </w:rPr>
            </w:pPr>
            <w:r>
              <w:rPr>
                <w:rFonts w:ascii="Arial" w:cs="Arial" w:eastAsia="Arial" w:hAnsi="Arial"/>
                <w:sz w:val="15"/>
                <w:szCs w:val="15"/>
                <w:color w:val="auto"/>
              </w:rPr>
              <w:t>42</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SUBSIDIARY GUARANTORS AND ISSUER OF GUARANTEED SECURITIES AND AFFILIATES WHOSE SECURITIES COLLATERALIZE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ICON INVESTMENTS SIX DESIGNATED ACTIVITY COMPANY</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0" w:type="dxa"/>
            <w:vAlign w:val="bottom"/>
          </w:tcPr>
          <w:p>
            <w:pPr>
              <w:spacing w:after="0"/>
              <w:rPr>
                <w:sz w:val="1"/>
                <w:szCs w:val="1"/>
                <w:color w:val="auto"/>
              </w:rPr>
            </w:pPr>
          </w:p>
        </w:tc>
      </w:tr>
      <w:tr>
        <w:trPr>
          <w:trHeight w:val="168"/>
        </w:trPr>
        <w:tc>
          <w:tcPr>
            <w:tcW w:w="8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2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OF INCORPORATION OR</w:t>
            </w:r>
          </w:p>
        </w:tc>
        <w:tc>
          <w:tcPr>
            <w:tcW w:w="0" w:type="dxa"/>
            <w:vAlign w:val="bottom"/>
          </w:tcPr>
          <w:p>
            <w:pPr>
              <w:spacing w:after="0"/>
              <w:rPr>
                <w:sz w:val="1"/>
                <w:szCs w:val="1"/>
                <w:color w:val="auto"/>
              </w:rPr>
            </w:pPr>
          </w:p>
        </w:tc>
      </w:tr>
      <w:tr>
        <w:trPr>
          <w:trHeight w:val="232"/>
        </w:trPr>
        <w:tc>
          <w:tcPr>
            <w:tcW w:w="8260" w:type="dxa"/>
            <w:vAlign w:val="bottom"/>
            <w:gridSpan w:val="2"/>
            <w:vMerge w:val="continue"/>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Illinois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Source Healthcare Analytics,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All issued and outstanding equity securities of the following subsidiaries of the Company, subject to the limitations set forth below, collateralize the Issuer’s 5.809% Senior Secured Notes due 2027, 5.849% Senior Secured Notes due 2029 and 6.000% Senior Secured Notes due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NAME (STATE OR OTHER JURISDICTION OF</w:t>
            </w:r>
          </w:p>
        </w:tc>
        <w:tc>
          <w:tcPr>
            <w:tcW w:w="478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OWNER</w:t>
            </w: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3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4780" w:type="dxa"/>
            <w:vAlign w:val="bottom"/>
            <w:gridSpan w:val="2"/>
            <w:vMerge w:val="continue"/>
          </w:tcPr>
          <w:p>
            <w:pPr>
              <w:spacing w:after="0"/>
              <w:rPr>
                <w:sz w:val="20"/>
                <w:szCs w:val="20"/>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0" w:type="dxa"/>
            <w:vAlign w:val="bottom"/>
          </w:tcPr>
          <w:p>
            <w:pPr>
              <w:spacing w:after="0"/>
              <w:rPr>
                <w:sz w:val="1"/>
                <w:szCs w:val="1"/>
                <w:color w:val="auto"/>
              </w:rPr>
            </w:pPr>
          </w:p>
        </w:tc>
      </w:tr>
      <w:tr>
        <w:trPr>
          <w:trHeight w:val="209"/>
        </w:trPr>
        <w:tc>
          <w:tcPr>
            <w:tcW w:w="4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Investments Six Designated Activity Company (Ireland)</w:t>
            </w:r>
          </w:p>
        </w:tc>
        <w:tc>
          <w:tcPr>
            <w:tcW w:w="480" w:type="dxa"/>
            <w:vAlign w:val="bottom"/>
          </w:tcPr>
          <w:p>
            <w:pPr>
              <w:spacing w:after="0"/>
              <w:rPr>
                <w:sz w:val="18"/>
                <w:szCs w:val="18"/>
                <w:color w:val="auto"/>
              </w:rPr>
            </w:pPr>
          </w:p>
        </w:tc>
        <w:tc>
          <w:tcPr>
            <w:tcW w:w="4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Clinical Research Property Holdings (Ireland)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(LR)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Holdings Clinical Research International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Early Phase Services, LLC (f/k/a Healthcare</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Discoveries, LLC) (Texas)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Laboratories, Inc.) (Delaware)</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MolecularMD Corp. (Delaware)</w:t>
            </w:r>
          </w:p>
        </w:tc>
        <w:tc>
          <w:tcPr>
            <w:tcW w:w="47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Laboratories, Inc.)</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5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 (d/b/a Symphony Clinical</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(Illinois)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 (New Jersey)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 (North Carolina)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Bermuda, Ltd. (Bermuda)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Services de Recherche Pharmaceutique Srl (Canada)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Colombia Ltda. (Colombia)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Hungary Research and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Development Ltd. (Hungary)</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Pharmaceutical Research Associates Italy S.r.l. (Italy)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7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Netherlands B.V.</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(Netherlands)</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RPS Perú S.A.C. (Peru)</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Puerto Rico, Inc. (Puerto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Romania S.R.L.</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(Romania)</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España, S.A.U. (Spain)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Sweden AB (Sweden)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Research (Thailand) Co., Ltd. (Thailand)</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Sterling Synergy Systems Limited (United Kingdom)</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ClinStar LLC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Nextrials, Inc.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Care Innovations,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CRI NewCo,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 Medical Technical Consultants,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Parallel 6,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PRA Early Development Research, Inc. (f/k/a Pharma Bio-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USA, Inc.) (Delaware)</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Health Sciences,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Holdings,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Health Sciences,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Receivables,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Roy RPS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Source Healthcare Analytics,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Sunset Hills,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Symphony Health Solutions Corporation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Roy RPS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Parent Holding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Global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Parent Holding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Global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ICON Government and Public Health Solutions,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Bristol, LLC (Tennessee)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Charleston, LLC (South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Charlotte, LLC (North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Christie Clinic, LLC (Illinois)</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Hickory, LLC (North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40"/>
          </w:cols>
          <w:pgMar w:left="380" w:top="1375" w:right="8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Raleigh,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Rocky Mount,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Salisbury,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Wilmington,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Winston-Salem,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Averion Europe GmbH (Germany)</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CHC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PubsHub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Global Pharmaceutical Strategies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MMMM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Tennessee,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ADDPLAN, Inc.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Tennessee,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CRN North America, LLC (d/b/a Symphony Clinical Staffing)</w:t>
            </w:r>
          </w:p>
        </w:tc>
        <w:tc>
          <w:tcPr>
            <w:tcW w:w="4400" w:type="dxa"/>
            <w:vAlign w:val="bottom"/>
          </w:tcPr>
          <w:p>
            <w:pPr>
              <w:ind w:left="340"/>
              <w:spacing w:after="0" w:line="193" w:lineRule="exact"/>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line="193"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Symphony Clinical Research Sp. Z O O. (Poland)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4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ICON Clinical Research Holdings (U.K.) Limited (United</w:t>
            </w:r>
          </w:p>
        </w:tc>
        <w:tc>
          <w:tcPr>
            <w:tcW w:w="4400" w:type="dxa"/>
            <w:vAlign w:val="bottom"/>
          </w:tcPr>
          <w:p>
            <w:pPr>
              <w:ind w:left="34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Kingdom)</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Oncacare Limited (Ireland)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Holdings (Ireland) Unlimited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Company (Ireland)</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0640"/>
      </w:cols>
      <w:pgMar w:left="380" w:top="139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2025-07-24T15:51:05Z</dcterms:created>
  <dcterms:modified xsi:type="dcterms:W3CDTF">2025-07-24T15:51:05Z</dcterms:modified>
</cp:coreProperties>
</file>