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29"/>
          <w:szCs w:val="29"/>
          <w:b w:val="1"/>
          <w:bCs w:val="1"/>
          <w:color w:val="auto"/>
        </w:rPr>
        <w:t>FORM 6-K</w:t>
      </w: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238"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2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For the month of October 2023</w:t>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333-08704</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15" w:right="1440" w:bottom="1440" w:gutter="0" w:footer="0" w:header="0"/>
        </w:sectPr>
      </w:pPr>
    </w:p>
    <w:bookmarkStart w:id="1" w:name="page2"/>
    <w:bookmarkEnd w:id="1"/>
    <w:p>
      <w:pPr>
        <w:ind w:left="502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29"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October 25, 2023 - ICON Reports Third Quarter 2023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500" w:type="dxa"/>
            <w:vAlign w:val="bottom"/>
            <w:vMerge w:val="restart"/>
          </w:tcPr>
          <w:p>
            <w:pPr>
              <w:spacing w:after="0"/>
              <w:rPr>
                <w:sz w:val="20"/>
                <w:szCs w:val="20"/>
                <w:color w:val="auto"/>
              </w:rPr>
            </w:pPr>
            <w:r>
              <w:rPr>
                <w:rFonts w:ascii="Arial" w:cs="Arial" w:eastAsia="Arial" w:hAnsi="Arial"/>
                <w:sz w:val="18"/>
                <w:szCs w:val="18"/>
                <w:color w:val="auto"/>
              </w:rPr>
              <w:t>Date: October 25, 2023</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500" w:type="dxa"/>
            <w:vAlign w:val="bottom"/>
            <w:vMerge w:val="continue"/>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Reports Third Quarter 2023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85" w:lineRule="exact"/>
        <w:rPr>
          <w:sz w:val="20"/>
          <w:szCs w:val="20"/>
          <w:color w:val="auto"/>
        </w:rPr>
      </w:pPr>
    </w:p>
    <w:p>
      <w:pPr>
        <w:ind w:left="540" w:right="60"/>
        <w:spacing w:after="0" w:line="282" w:lineRule="auto"/>
        <w:rPr>
          <w:sz w:val="20"/>
          <w:szCs w:val="20"/>
          <w:color w:val="auto"/>
        </w:rPr>
      </w:pPr>
      <w:r>
        <w:rPr>
          <w:rFonts w:ascii="Arial" w:cs="Arial" w:eastAsia="Arial" w:hAnsi="Arial"/>
          <w:sz w:val="18"/>
          <w:szCs w:val="18"/>
          <w:b w:val="1"/>
          <w:bCs w:val="1"/>
          <w:color w:val="auto"/>
        </w:rPr>
        <w:t>Net business wins in the quarter of $2,581 million; a net book to bill of 1.26 or 1.22 on a trailing twelve month basis and an increase of 10% on quarter three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-257810</wp:posOffset>
            </wp:positionV>
            <wp:extent cx="596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Closing backlog of $22.2 billion, an increase of 2.6% on quarter two 2023 and an increase of 10.0% on quarter three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8" w:lineRule="exact"/>
        <w:rPr>
          <w:sz w:val="20"/>
          <w:szCs w:val="20"/>
          <w:color w:val="auto"/>
        </w:rPr>
      </w:pPr>
    </w:p>
    <w:p>
      <w:pPr>
        <w:ind w:left="540" w:right="660"/>
        <w:spacing w:after="0" w:line="282" w:lineRule="auto"/>
        <w:rPr>
          <w:sz w:val="20"/>
          <w:szCs w:val="20"/>
          <w:color w:val="auto"/>
        </w:rPr>
      </w:pPr>
      <w:r>
        <w:rPr>
          <w:rFonts w:ascii="Arial" w:cs="Arial" w:eastAsia="Arial" w:hAnsi="Arial"/>
          <w:sz w:val="18"/>
          <w:szCs w:val="18"/>
          <w:b w:val="1"/>
          <w:bCs w:val="1"/>
          <w:color w:val="auto"/>
        </w:rPr>
        <w:t>Quarter three revenue of $2,055.1 million representing an increase of 5.8% on prior year revenue. YTD revenue of $6,053.9 million representing a year on year increase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-257810</wp:posOffset>
            </wp:positionV>
            <wp:extent cx="596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01" w:lineRule="exact"/>
        <w:rPr>
          <w:sz w:val="20"/>
          <w:szCs w:val="20"/>
          <w:color w:val="auto"/>
        </w:rPr>
      </w:pPr>
    </w:p>
    <w:p>
      <w:pPr>
        <w:ind w:left="540" w:right="680"/>
        <w:spacing w:after="0" w:line="282" w:lineRule="auto"/>
        <w:rPr>
          <w:sz w:val="20"/>
          <w:szCs w:val="20"/>
          <w:color w:val="auto"/>
        </w:rPr>
      </w:pPr>
      <w:r>
        <w:rPr>
          <w:rFonts w:ascii="Arial" w:cs="Arial" w:eastAsia="Arial" w:hAnsi="Arial"/>
          <w:sz w:val="18"/>
          <w:szCs w:val="18"/>
          <w:b w:val="1"/>
          <w:bCs w:val="1"/>
          <w:color w:val="auto"/>
        </w:rPr>
        <w:t>Quarter three adjusted EBITDA of $432.5 million or 21.0% of revenue, an increase of 13.9% on quarter three 2022. YTD adjusted EBITDA of $1,245.9 million or 20.6% of revenue, representing a year on year increase of 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-257810</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01" w:lineRule="exact"/>
        <w:rPr>
          <w:sz w:val="20"/>
          <w:szCs w:val="20"/>
          <w:color w:val="auto"/>
        </w:rPr>
      </w:pPr>
    </w:p>
    <w:p>
      <w:pPr>
        <w:ind w:left="540" w:right="140"/>
        <w:spacing w:after="0" w:line="282" w:lineRule="auto"/>
        <w:rPr>
          <w:sz w:val="20"/>
          <w:szCs w:val="20"/>
          <w:color w:val="auto"/>
        </w:rPr>
      </w:pPr>
      <w:r>
        <w:rPr>
          <w:rFonts w:ascii="Arial" w:cs="Arial" w:eastAsia="Arial" w:hAnsi="Arial"/>
          <w:sz w:val="18"/>
          <w:szCs w:val="18"/>
          <w:b w:val="1"/>
          <w:bCs w:val="1"/>
          <w:color w:val="auto"/>
        </w:rPr>
        <w:t>GAAP net income attributable to the Group for the quarter of $163.7 million or $1.97 per diluted share. YTD GAAP net income of $395.9 million or $4.79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-257810</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5" w:lineRule="exact"/>
        <w:rPr>
          <w:sz w:val="20"/>
          <w:szCs w:val="20"/>
          <w:color w:val="auto"/>
        </w:rPr>
      </w:pPr>
    </w:p>
    <w:p>
      <w:pPr>
        <w:ind w:left="540"/>
        <w:spacing w:after="0" w:line="266" w:lineRule="auto"/>
        <w:rPr>
          <w:sz w:val="20"/>
          <w:szCs w:val="20"/>
          <w:color w:val="auto"/>
        </w:rPr>
      </w:pPr>
      <w:r>
        <w:rPr>
          <w:rFonts w:ascii="Arial" w:cs="Arial" w:eastAsia="Arial" w:hAnsi="Arial"/>
          <w:sz w:val="18"/>
          <w:szCs w:val="18"/>
          <w:b w:val="1"/>
          <w:bCs w:val="1"/>
          <w:color w:val="auto"/>
        </w:rPr>
        <w:t>Quarter three adjusted net income attributable to the Group was $273.9 million or $3.30 per diluted share, an increase of 10.0% on quarter three 2022 adjusted earnings per share. Year to date adjusted net income attributable to the Group of $770.7 million or $9.31 per diluted share, an increase of 8.0% on the prior year adjusted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-386080</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Days sales outstanding decreased from 52 days at June 30, 2023 to 49 days at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$300.0 million repayment made on Term Loan B debt. Net debt balance of $3.7 billion with net debt to adjusted EBITDA ratio of 2.3x.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-73025</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In October 2023, ICON acquired Philips Pharma Solutions, a leading provider of medical imaging and cardiac safety monitoring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-66040</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 October 2023, S&amp;P Global Ratings upgraded ICON to an investment grade credit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right="160"/>
        <w:spacing w:after="0" w:line="261" w:lineRule="auto"/>
        <w:rPr>
          <w:sz w:val="20"/>
          <w:szCs w:val="20"/>
          <w:color w:val="auto"/>
        </w:rPr>
      </w:pPr>
      <w:r>
        <w:rPr>
          <w:rFonts w:ascii="Arial" w:cs="Arial" w:eastAsia="Arial" w:hAnsi="Arial"/>
          <w:sz w:val="18"/>
          <w:szCs w:val="18"/>
          <w:b w:val="1"/>
          <w:bCs w:val="1"/>
          <w:color w:val="auto"/>
        </w:rPr>
        <w:t>Re-affirming full-year 2023 financial guidance of revenue of $8,070 - $8,210 million, representing a year over year increase of 4.3 to 6.1%, and adjusted earnings per share* in the range of $12.63 - $12.91, representing a year over year increase of 7.5 to 9.9%. Adjusted earnings per share to exclude amortization, stock compensation, restructuring, foreign exchange and transaction-related / integrated-related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-520700</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7"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DUBLIN--(BUSINESS WIRE)--October 25, 2023--ICON plc (NASDAQ: ICLR), a world-leading healthcare intelligence and clinical research organization, today reported its financial results for the third quarter ended September 30, 2023.</w:t>
      </w:r>
    </w:p>
    <w:p>
      <w:pPr>
        <w:spacing w:after="0" w:line="130"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CEO, Dr. Steve Cutler commented, “</w:t>
      </w:r>
      <w:r>
        <w:rPr>
          <w:rFonts w:ascii="Arial" w:cs="Arial" w:eastAsia="Arial" w:hAnsi="Arial"/>
          <w:sz w:val="16"/>
          <w:szCs w:val="16"/>
          <w:i w:val="1"/>
          <w:iCs w:val="1"/>
          <w:color w:val="auto"/>
        </w:rPr>
        <w:t>ICON delivered impressive results in the third quarter, with revenue growth of 6% year over year, as well as double</w:t>
      </w:r>
      <w:r>
        <w:rPr>
          <w:rFonts w:ascii="Arial" w:cs="Arial" w:eastAsia="Arial" w:hAnsi="Arial"/>
          <w:sz w:val="16"/>
          <w:szCs w:val="16"/>
          <w:color w:val="auto"/>
        </w:rPr>
        <w:t xml:space="preserve"> </w:t>
      </w:r>
      <w:r>
        <w:rPr>
          <w:rFonts w:ascii="Arial" w:cs="Arial" w:eastAsia="Arial" w:hAnsi="Arial"/>
          <w:sz w:val="16"/>
          <w:szCs w:val="16"/>
          <w:i w:val="1"/>
          <w:iCs w:val="1"/>
          <w:color w:val="auto"/>
        </w:rPr>
        <w:t>digit adjusted EBITDA and adjusted earnings per share growth of 14% and 10%, respectively, over quarter three 2022. Our net book to bill improved to</w:t>
      </w:r>
    </w:p>
    <w:p>
      <w:pPr>
        <w:ind w:right="80"/>
        <w:spacing w:after="0" w:line="260" w:lineRule="auto"/>
        <w:rPr>
          <w:sz w:val="20"/>
          <w:szCs w:val="20"/>
          <w:color w:val="auto"/>
        </w:rPr>
      </w:pPr>
      <w:r>
        <w:rPr>
          <w:rFonts w:ascii="Arial" w:cs="Arial" w:eastAsia="Arial" w:hAnsi="Arial"/>
          <w:sz w:val="18"/>
          <w:szCs w:val="18"/>
          <w:i w:val="1"/>
          <w:iCs w:val="1"/>
          <w:color w:val="auto"/>
        </w:rPr>
        <w:t>1.26x in the quarter, reflective of the healthy demand for our market-leading offering across the customer segments we serve. We remain well positioned as a critical partner with new and existing customers to play a long-term role in accelerating their development portfolios.</w:t>
      </w:r>
      <w:r>
        <w:rPr>
          <w:rFonts w:ascii="Arial" w:cs="Arial" w:eastAsia="Arial" w:hAnsi="Arial"/>
          <w:sz w:val="18"/>
          <w:szCs w:val="18"/>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2023 Results</w:t>
      </w:r>
    </w:p>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Gross business wins in the third quarter were $3,055 million and cancellations were $474 million. This resulted in net business wins of $2,581 million and a book to bill of 1.26.</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Revenue for the third quarter was $2,055.1 million. This represents an increase of 5.8% on prior year revenue or 4.8% on a constant currency organic basis.</w:t>
      </w:r>
    </w:p>
    <w:p>
      <w:pPr>
        <w:spacing w:after="0" w:line="20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GAAP net income attributable to the Group was $163.7 million resulting in $1.97 diluted earnings per share in quarter three 2023 compared to $1.94 diluted earnings per share in quarter three 2022. Adjusted net income attributable to the Group for the quarter was $273.9 million resulting in an adjusted diluted earnings per share of $3.30 compared to $3.00 per share for the third quarter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Adjusted EBITDA for the third quarter was $432.5 million or 21.0% of revenue, a year-on-year increase of 13.9%.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on adjusted net income in quarter three was 15.2%.</w:t>
      </w:r>
    </w:p>
    <w:p>
      <w:pPr>
        <w:spacing w:after="0" w:line="18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Cash generated from operating activities for the quarter was $341.5 million. During the quarter $29.1 million was spent on capital expenditure. At September 30, 2023, the Group had cash and cash equivalents of $313.1 million, compared to cash and cash equivalents of $270.2 million at June 30, 2023 and $609.2 million at September 30, 2022. $75 million of the revolving credit facility was drawn down in the quarter and $50 million was repaid. Additionally, $300.0 million of Term Loan B payments were made during the quarter resulting in a net indebtedness of $3.7 billion at September 30, 2023.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 2023 Results</w:t>
      </w:r>
    </w:p>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Gross business wins year to date were $8,773 million and cancellations were $1,358 million. This resulted in net business wins of $7,415 million and a book to bill of 1.22.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Year to date revenue was $6,053.9 million. This represents a year on year increase of 4.8% on a reported and on a constant currency basis.</w:t>
      </w:r>
    </w:p>
    <w:p>
      <w:pPr>
        <w:spacing w:after="0" w:line="18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GAAP net income attributable to the Group year to date was $395.9 million resulting in $4.79 diluted earnings per share. Adjusted net income attributable to the Group was $770.7 million resulting in an adjusted diluted earnings per share of $9.31 compared to $8.62 per share for the equivalent prior year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year to date was $1,245.9 million or 20.6% of revenue, a year on year increase of 16.0%.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8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addition to the financial measures prepared in accordance with generally accepted accounting principles (GAAP), this press release contains certain non-GAAP financial measures, including adjusted EBITDA, adjusted net income attributable to the Group and adjusted diluted earnings per share attributable to the Group. Adjusted EBITDA, adjusted net income and adjusted diluted earnings per share exclude amortization, stock compensation, foreign exchange gains and losses, restructuring and transaction-related / integration-related adjustments. While non-GAAP financial measures are not superior to or a substitute for the comparable GAAP measures, ICON believes certain non-GAAP information is useful to investors for historical comparison purposes.</w:t>
      </w:r>
    </w:p>
    <w:p>
      <w:pPr>
        <w:spacing w:after="0" w:line="13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ICON will hold a conference call on October 26, 2023 at 08:00 EDT [13:00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0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46" w:lineRule="exact"/>
        <w:rPr>
          <w:sz w:val="20"/>
          <w:szCs w:val="20"/>
          <w:color w:val="auto"/>
        </w:rPr>
      </w:pPr>
    </w:p>
    <w:p>
      <w:pPr>
        <w:ind w:firstLine="8"/>
        <w:spacing w:after="0" w:line="263"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full-year 2023 guidance adjusted earnings per share measures are provided on a non-GAAP basis because the Company is unable to predict with a reasonable degree of certainty certain items contained in the GAAP measures without unreasonable efforts. For the same reasons, the Company is unable to address the probable significance of the unavailable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5" w:name="page6"/>
    <w:bookmarkEnd w:id="5"/>
    <w:p>
      <w:pPr>
        <w:spacing w:after="0" w:line="279" w:lineRule="auto"/>
        <w:rPr>
          <w:sz w:val="20"/>
          <w:szCs w:val="20"/>
          <w:color w:val="auto"/>
        </w:rPr>
      </w:pPr>
      <w:r>
        <w:rPr>
          <w:rFonts w:ascii="Arial" w:cs="Arial" w:eastAsia="Arial" w:hAnsi="Arial"/>
          <w:sz w:val="17"/>
          <w:szCs w:val="17"/>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41,150 employees in 106 locations in 53 countries as at September 30, 2023. For further information about ICON, visit: www.iconplc.com.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Source: ICON plc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01" w:right="4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2023 AND SEPTEMBER 30,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5920" w:type="dxa"/>
            <w:vAlign w:val="bottom"/>
            <w:gridSpan w:val="2"/>
          </w:tcPr>
          <w:p>
            <w:pPr>
              <w:ind w:left="4180"/>
              <w:spacing w:after="0"/>
              <w:rPr>
                <w:sz w:val="20"/>
                <w:szCs w:val="20"/>
                <w:color w:val="auto"/>
              </w:rPr>
            </w:pPr>
            <w:r>
              <w:rPr>
                <w:rFonts w:ascii="Arial" w:cs="Arial" w:eastAsia="Arial" w:hAnsi="Arial"/>
                <w:sz w:val="18"/>
                <w:szCs w:val="18"/>
                <w:b w:val="1"/>
                <w:bCs w:val="1"/>
                <w:color w:val="auto"/>
              </w:rPr>
              <w:t>(UNAUDITED)</w:t>
            </w:r>
          </w:p>
        </w:tc>
        <w:tc>
          <w:tcPr>
            <w:tcW w:w="1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8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4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c>
          <w:tcPr>
            <w:tcW w:w="24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Nine Months Ended</w:t>
            </w:r>
          </w:p>
        </w:tc>
        <w:tc>
          <w:tcPr>
            <w:tcW w:w="820" w:type="dxa"/>
            <w:vAlign w:val="bottom"/>
          </w:tcPr>
          <w:p>
            <w:pPr>
              <w:spacing w:after="0"/>
              <w:rPr>
                <w:sz w:val="24"/>
                <w:szCs w:val="24"/>
                <w:color w:val="auto"/>
              </w:rPr>
            </w:pPr>
          </w:p>
        </w:tc>
      </w:tr>
      <w:tr>
        <w:trPr>
          <w:trHeight w:val="225"/>
        </w:trPr>
        <w:tc>
          <w:tcPr>
            <w:tcW w:w="8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September 30,</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September 30,</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September 30,</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9"/>
              </w:rPr>
              <w:t>September 30,</w:t>
            </w:r>
          </w:p>
        </w:tc>
        <w:tc>
          <w:tcPr>
            <w:tcW w:w="820" w:type="dxa"/>
            <w:vAlign w:val="bottom"/>
          </w:tcPr>
          <w:p>
            <w:pPr>
              <w:spacing w:after="0"/>
              <w:rPr>
                <w:sz w:val="19"/>
                <w:szCs w:val="19"/>
                <w:color w:val="auto"/>
              </w:rPr>
            </w:pPr>
          </w:p>
        </w:tc>
      </w:tr>
      <w:tr>
        <w:trPr>
          <w:trHeight w:val="234"/>
        </w:trPr>
        <w:tc>
          <w:tcPr>
            <w:tcW w:w="8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3"/>
        </w:trPr>
        <w:tc>
          <w:tcPr>
            <w:tcW w:w="84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48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(in thousands except share and per share data)</w:t>
            </w:r>
          </w:p>
        </w:tc>
        <w:tc>
          <w:tcPr>
            <w:tcW w:w="820" w:type="dxa"/>
            <w:vAlign w:val="bottom"/>
          </w:tcPr>
          <w:p>
            <w:pPr>
              <w:spacing w:after="0"/>
              <w:rPr>
                <w:sz w:val="21"/>
                <w:szCs w:val="21"/>
                <w:color w:val="auto"/>
              </w:rPr>
            </w:pPr>
          </w:p>
        </w:tc>
      </w:tr>
      <w:tr>
        <w:trPr>
          <w:trHeight w:val="486"/>
        </w:trPr>
        <w:tc>
          <w:tcPr>
            <w:tcW w:w="8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Revenue</w:t>
            </w:r>
          </w:p>
        </w:tc>
        <w:tc>
          <w:tcPr>
            <w:tcW w:w="1200" w:type="dxa"/>
            <w:vAlign w:val="bottom"/>
          </w:tcPr>
          <w:p>
            <w:pPr>
              <w:jc w:val="right"/>
              <w:spacing w:after="0"/>
              <w:rPr>
                <w:sz w:val="20"/>
                <w:szCs w:val="20"/>
                <w:color w:val="auto"/>
              </w:rPr>
            </w:pPr>
            <w:r>
              <w:rPr>
                <w:rFonts w:ascii="Arial" w:cs="Arial" w:eastAsia="Arial" w:hAnsi="Arial"/>
                <w:sz w:val="18"/>
                <w:szCs w:val="18"/>
                <w:color w:val="auto"/>
              </w:rPr>
              <w:t>$ 2,055,099</w:t>
            </w:r>
          </w:p>
        </w:tc>
        <w:tc>
          <w:tcPr>
            <w:tcW w:w="1220" w:type="dxa"/>
            <w:vAlign w:val="bottom"/>
          </w:tcPr>
          <w:p>
            <w:pPr>
              <w:jc w:val="right"/>
              <w:spacing w:after="0"/>
              <w:rPr>
                <w:sz w:val="20"/>
                <w:szCs w:val="20"/>
                <w:color w:val="auto"/>
              </w:rPr>
            </w:pPr>
            <w:r>
              <w:rPr>
                <w:rFonts w:ascii="Arial" w:cs="Arial" w:eastAsia="Arial" w:hAnsi="Arial"/>
                <w:sz w:val="18"/>
                <w:szCs w:val="18"/>
                <w:color w:val="auto"/>
              </w:rPr>
              <w:t>$ 1,942,427</w:t>
            </w:r>
          </w:p>
        </w:tc>
        <w:tc>
          <w:tcPr>
            <w:tcW w:w="1240" w:type="dxa"/>
            <w:vAlign w:val="bottom"/>
          </w:tcPr>
          <w:p>
            <w:pPr>
              <w:jc w:val="right"/>
              <w:spacing w:after="0"/>
              <w:rPr>
                <w:sz w:val="20"/>
                <w:szCs w:val="20"/>
                <w:color w:val="auto"/>
              </w:rPr>
            </w:pPr>
            <w:r>
              <w:rPr>
                <w:rFonts w:ascii="Arial" w:cs="Arial" w:eastAsia="Arial" w:hAnsi="Arial"/>
                <w:sz w:val="18"/>
                <w:szCs w:val="18"/>
                <w:color w:val="auto"/>
              </w:rPr>
              <w:t>$ 6,053,928</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$ 5,779,384</w:t>
            </w:r>
          </w:p>
        </w:tc>
        <w:tc>
          <w:tcPr>
            <w:tcW w:w="820" w:type="dxa"/>
            <w:vAlign w:val="bottom"/>
          </w:tcPr>
          <w:p>
            <w:pPr>
              <w:spacing w:after="0"/>
              <w:rPr>
                <w:sz w:val="24"/>
                <w:szCs w:val="24"/>
                <w:color w:val="auto"/>
              </w:rPr>
            </w:pPr>
          </w:p>
        </w:tc>
      </w:tr>
      <w:tr>
        <w:trPr>
          <w:trHeight w:val="486"/>
        </w:trPr>
        <w:tc>
          <w:tcPr>
            <w:tcW w:w="8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Costs and expenses:</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3"/>
        </w:trPr>
        <w:tc>
          <w:tcPr>
            <w:tcW w:w="840" w:type="dxa"/>
            <w:vAlign w:val="bottom"/>
          </w:tcPr>
          <w:p>
            <w:pPr>
              <w:spacing w:after="0"/>
              <w:rPr>
                <w:sz w:val="21"/>
                <w:szCs w:val="21"/>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Direct costs (excluding depreciation and amortization)</w:t>
            </w:r>
          </w:p>
        </w:tc>
        <w:tc>
          <w:tcPr>
            <w:tcW w:w="1200" w:type="dxa"/>
            <w:vAlign w:val="bottom"/>
          </w:tcPr>
          <w:p>
            <w:pPr>
              <w:jc w:val="right"/>
              <w:spacing w:after="0"/>
              <w:rPr>
                <w:sz w:val="20"/>
                <w:szCs w:val="20"/>
                <w:color w:val="auto"/>
              </w:rPr>
            </w:pPr>
            <w:r>
              <w:rPr>
                <w:rFonts w:ascii="Arial" w:cs="Arial" w:eastAsia="Arial" w:hAnsi="Arial"/>
                <w:sz w:val="18"/>
                <w:szCs w:val="18"/>
                <w:color w:val="auto"/>
              </w:rPr>
              <w:t>1,449,136</w:t>
            </w:r>
          </w:p>
        </w:tc>
        <w:tc>
          <w:tcPr>
            <w:tcW w:w="1220" w:type="dxa"/>
            <w:vAlign w:val="bottom"/>
          </w:tcPr>
          <w:p>
            <w:pPr>
              <w:jc w:val="right"/>
              <w:spacing w:after="0"/>
              <w:rPr>
                <w:sz w:val="20"/>
                <w:szCs w:val="20"/>
                <w:color w:val="auto"/>
              </w:rPr>
            </w:pPr>
            <w:r>
              <w:rPr>
                <w:rFonts w:ascii="Arial" w:cs="Arial" w:eastAsia="Arial" w:hAnsi="Arial"/>
                <w:sz w:val="18"/>
                <w:szCs w:val="18"/>
                <w:color w:val="auto"/>
              </w:rPr>
              <w:t>1,375,837</w:t>
            </w:r>
          </w:p>
        </w:tc>
        <w:tc>
          <w:tcPr>
            <w:tcW w:w="1240" w:type="dxa"/>
            <w:vAlign w:val="bottom"/>
          </w:tcPr>
          <w:p>
            <w:pPr>
              <w:jc w:val="right"/>
              <w:spacing w:after="0"/>
              <w:rPr>
                <w:sz w:val="20"/>
                <w:szCs w:val="20"/>
                <w:color w:val="auto"/>
              </w:rPr>
            </w:pPr>
            <w:r>
              <w:rPr>
                <w:rFonts w:ascii="Arial" w:cs="Arial" w:eastAsia="Arial" w:hAnsi="Arial"/>
                <w:sz w:val="18"/>
                <w:szCs w:val="18"/>
                <w:color w:val="auto"/>
              </w:rPr>
              <w:t>4,274,222</w:t>
            </w:r>
          </w:p>
        </w:tc>
        <w:tc>
          <w:tcPr>
            <w:tcW w:w="1180" w:type="dxa"/>
            <w:vAlign w:val="bottom"/>
          </w:tcPr>
          <w:p>
            <w:pPr>
              <w:jc w:val="right"/>
              <w:spacing w:after="0"/>
              <w:rPr>
                <w:sz w:val="20"/>
                <w:szCs w:val="20"/>
                <w:color w:val="auto"/>
              </w:rPr>
            </w:pPr>
            <w:r>
              <w:rPr>
                <w:rFonts w:ascii="Arial" w:cs="Arial" w:eastAsia="Arial" w:hAnsi="Arial"/>
                <w:sz w:val="18"/>
                <w:szCs w:val="18"/>
                <w:color w:val="auto"/>
              </w:rPr>
              <w:t>4,146,366</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840" w:type="dxa"/>
            <w:vAlign w:val="bottom"/>
          </w:tcPr>
          <w:p>
            <w:pPr>
              <w:spacing w:after="0"/>
              <w:rPr>
                <w:sz w:val="21"/>
                <w:szCs w:val="21"/>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200" w:type="dxa"/>
            <w:vAlign w:val="bottom"/>
          </w:tcPr>
          <w:p>
            <w:pPr>
              <w:jc w:val="right"/>
              <w:spacing w:after="0"/>
              <w:rPr>
                <w:sz w:val="20"/>
                <w:szCs w:val="20"/>
                <w:color w:val="auto"/>
              </w:rPr>
            </w:pPr>
            <w:r>
              <w:rPr>
                <w:rFonts w:ascii="Arial" w:cs="Arial" w:eastAsia="Arial" w:hAnsi="Arial"/>
                <w:sz w:val="18"/>
                <w:szCs w:val="18"/>
                <w:color w:val="auto"/>
              </w:rPr>
              <w:t>185,187</w:t>
            </w:r>
          </w:p>
        </w:tc>
        <w:tc>
          <w:tcPr>
            <w:tcW w:w="1220" w:type="dxa"/>
            <w:vAlign w:val="bottom"/>
          </w:tcPr>
          <w:p>
            <w:pPr>
              <w:jc w:val="right"/>
              <w:spacing w:after="0"/>
              <w:rPr>
                <w:sz w:val="20"/>
                <w:szCs w:val="20"/>
                <w:color w:val="auto"/>
              </w:rPr>
            </w:pPr>
            <w:r>
              <w:rPr>
                <w:rFonts w:ascii="Arial" w:cs="Arial" w:eastAsia="Arial" w:hAnsi="Arial"/>
                <w:sz w:val="18"/>
                <w:szCs w:val="18"/>
                <w:color w:val="auto"/>
              </w:rPr>
              <w:t>166,787</w:t>
            </w:r>
          </w:p>
        </w:tc>
        <w:tc>
          <w:tcPr>
            <w:tcW w:w="1240" w:type="dxa"/>
            <w:vAlign w:val="bottom"/>
          </w:tcPr>
          <w:p>
            <w:pPr>
              <w:jc w:val="right"/>
              <w:spacing w:after="0"/>
              <w:rPr>
                <w:sz w:val="20"/>
                <w:szCs w:val="20"/>
                <w:color w:val="auto"/>
              </w:rPr>
            </w:pPr>
            <w:r>
              <w:rPr>
                <w:rFonts w:ascii="Arial" w:cs="Arial" w:eastAsia="Arial" w:hAnsi="Arial"/>
                <w:sz w:val="18"/>
                <w:szCs w:val="18"/>
                <w:color w:val="auto"/>
              </w:rPr>
              <w:t>572,999</w:t>
            </w:r>
          </w:p>
        </w:tc>
        <w:tc>
          <w:tcPr>
            <w:tcW w:w="1180" w:type="dxa"/>
            <w:vAlign w:val="bottom"/>
          </w:tcPr>
          <w:p>
            <w:pPr>
              <w:jc w:val="right"/>
              <w:spacing w:after="0"/>
              <w:rPr>
                <w:sz w:val="20"/>
                <w:szCs w:val="20"/>
                <w:color w:val="auto"/>
              </w:rPr>
            </w:pPr>
            <w:r>
              <w:rPr>
                <w:rFonts w:ascii="Arial" w:cs="Arial" w:eastAsia="Arial" w:hAnsi="Arial"/>
                <w:sz w:val="18"/>
                <w:szCs w:val="18"/>
                <w:color w:val="auto"/>
              </w:rPr>
              <w:t>552,000</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840" w:type="dxa"/>
            <w:vAlign w:val="bottom"/>
          </w:tcPr>
          <w:p>
            <w:pPr>
              <w:spacing w:after="0"/>
              <w:rPr>
                <w:sz w:val="21"/>
                <w:szCs w:val="21"/>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jc w:val="right"/>
              <w:spacing w:after="0"/>
              <w:rPr>
                <w:sz w:val="20"/>
                <w:szCs w:val="20"/>
                <w:color w:val="auto"/>
              </w:rPr>
            </w:pPr>
            <w:r>
              <w:rPr>
                <w:rFonts w:ascii="Arial" w:cs="Arial" w:eastAsia="Arial" w:hAnsi="Arial"/>
                <w:sz w:val="18"/>
                <w:szCs w:val="18"/>
                <w:color w:val="auto"/>
              </w:rPr>
              <w:t>146,032</w:t>
            </w:r>
          </w:p>
        </w:tc>
        <w:tc>
          <w:tcPr>
            <w:tcW w:w="1220" w:type="dxa"/>
            <w:vAlign w:val="bottom"/>
          </w:tcPr>
          <w:p>
            <w:pPr>
              <w:jc w:val="right"/>
              <w:spacing w:after="0"/>
              <w:rPr>
                <w:sz w:val="20"/>
                <w:szCs w:val="20"/>
                <w:color w:val="auto"/>
              </w:rPr>
            </w:pPr>
            <w:r>
              <w:rPr>
                <w:rFonts w:ascii="Arial" w:cs="Arial" w:eastAsia="Arial" w:hAnsi="Arial"/>
                <w:sz w:val="18"/>
                <w:szCs w:val="18"/>
                <w:color w:val="auto"/>
              </w:rPr>
              <w:t>141,861</w:t>
            </w:r>
          </w:p>
        </w:tc>
        <w:tc>
          <w:tcPr>
            <w:tcW w:w="1240" w:type="dxa"/>
            <w:vAlign w:val="bottom"/>
          </w:tcPr>
          <w:p>
            <w:pPr>
              <w:jc w:val="right"/>
              <w:spacing w:after="0"/>
              <w:rPr>
                <w:sz w:val="20"/>
                <w:szCs w:val="20"/>
                <w:color w:val="auto"/>
              </w:rPr>
            </w:pPr>
            <w:r>
              <w:rPr>
                <w:rFonts w:ascii="Arial" w:cs="Arial" w:eastAsia="Arial" w:hAnsi="Arial"/>
                <w:sz w:val="18"/>
                <w:szCs w:val="18"/>
                <w:color w:val="auto"/>
              </w:rPr>
              <w:t>436,217</w:t>
            </w:r>
          </w:p>
        </w:tc>
        <w:tc>
          <w:tcPr>
            <w:tcW w:w="1180" w:type="dxa"/>
            <w:vAlign w:val="bottom"/>
          </w:tcPr>
          <w:p>
            <w:pPr>
              <w:jc w:val="right"/>
              <w:spacing w:after="0"/>
              <w:rPr>
                <w:sz w:val="20"/>
                <w:szCs w:val="20"/>
                <w:color w:val="auto"/>
              </w:rPr>
            </w:pPr>
            <w:r>
              <w:rPr>
                <w:rFonts w:ascii="Arial" w:cs="Arial" w:eastAsia="Arial" w:hAnsi="Arial"/>
                <w:sz w:val="18"/>
                <w:szCs w:val="18"/>
                <w:color w:val="auto"/>
              </w:rPr>
              <w:t>427,285</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840" w:type="dxa"/>
            <w:vAlign w:val="bottom"/>
          </w:tcPr>
          <w:p>
            <w:pPr>
              <w:spacing w:after="0"/>
              <w:rPr>
                <w:sz w:val="21"/>
                <w:szCs w:val="21"/>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Transaction and integration-related expenses</w:t>
            </w:r>
          </w:p>
        </w:tc>
        <w:tc>
          <w:tcPr>
            <w:tcW w:w="1200" w:type="dxa"/>
            <w:vAlign w:val="bottom"/>
          </w:tcPr>
          <w:p>
            <w:pPr>
              <w:jc w:val="right"/>
              <w:spacing w:after="0"/>
              <w:rPr>
                <w:sz w:val="20"/>
                <w:szCs w:val="20"/>
                <w:color w:val="auto"/>
              </w:rPr>
            </w:pPr>
            <w:r>
              <w:rPr>
                <w:rFonts w:ascii="Arial" w:cs="Arial" w:eastAsia="Arial" w:hAnsi="Arial"/>
                <w:sz w:val="18"/>
                <w:szCs w:val="18"/>
                <w:color w:val="auto"/>
              </w:rPr>
              <w:t>10,433</w:t>
            </w:r>
          </w:p>
        </w:tc>
        <w:tc>
          <w:tcPr>
            <w:tcW w:w="1220" w:type="dxa"/>
            <w:vAlign w:val="bottom"/>
          </w:tcPr>
          <w:p>
            <w:pPr>
              <w:jc w:val="right"/>
              <w:spacing w:after="0"/>
              <w:rPr>
                <w:sz w:val="20"/>
                <w:szCs w:val="20"/>
                <w:color w:val="auto"/>
              </w:rPr>
            </w:pPr>
            <w:r>
              <w:rPr>
                <w:rFonts w:ascii="Arial" w:cs="Arial" w:eastAsia="Arial" w:hAnsi="Arial"/>
                <w:sz w:val="18"/>
                <w:szCs w:val="18"/>
                <w:color w:val="auto"/>
              </w:rPr>
              <w:t>8,001</w:t>
            </w:r>
          </w:p>
        </w:tc>
        <w:tc>
          <w:tcPr>
            <w:tcW w:w="1240" w:type="dxa"/>
            <w:vAlign w:val="bottom"/>
          </w:tcPr>
          <w:p>
            <w:pPr>
              <w:jc w:val="right"/>
              <w:spacing w:after="0"/>
              <w:rPr>
                <w:sz w:val="20"/>
                <w:szCs w:val="20"/>
                <w:color w:val="auto"/>
              </w:rPr>
            </w:pPr>
            <w:r>
              <w:rPr>
                <w:rFonts w:ascii="Arial" w:cs="Arial" w:eastAsia="Arial" w:hAnsi="Arial"/>
                <w:sz w:val="18"/>
                <w:szCs w:val="18"/>
                <w:color w:val="auto"/>
              </w:rPr>
              <w:t>34,516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28,970</w:t>
            </w:r>
          </w:p>
        </w:tc>
        <w:tc>
          <w:tcPr>
            <w:tcW w:w="820" w:type="dxa"/>
            <w:vAlign w:val="bottom"/>
          </w:tcPr>
          <w:p>
            <w:pPr>
              <w:spacing w:after="0"/>
              <w:rPr>
                <w:sz w:val="21"/>
                <w:szCs w:val="21"/>
                <w:color w:val="auto"/>
              </w:rPr>
            </w:pPr>
          </w:p>
        </w:tc>
      </w:tr>
      <w:tr>
        <w:trPr>
          <w:trHeight w:val="250"/>
        </w:trPr>
        <w:tc>
          <w:tcPr>
            <w:tcW w:w="840" w:type="dxa"/>
            <w:vAlign w:val="bottom"/>
          </w:tcPr>
          <w:p>
            <w:pPr>
              <w:spacing w:after="0"/>
              <w:rPr>
                <w:sz w:val="21"/>
                <w:szCs w:val="21"/>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Restructuring</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45,390</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32,890</w:t>
            </w:r>
          </w:p>
        </w:tc>
        <w:tc>
          <w:tcPr>
            <w:tcW w:w="820" w:type="dxa"/>
            <w:vAlign w:val="bottom"/>
          </w:tcPr>
          <w:p>
            <w:pPr>
              <w:spacing w:after="0"/>
              <w:rPr>
                <w:sz w:val="21"/>
                <w:szCs w:val="21"/>
                <w:color w:val="auto"/>
              </w:rPr>
            </w:pPr>
          </w:p>
        </w:tc>
      </w:tr>
      <w:tr>
        <w:trPr>
          <w:trHeight w:val="479"/>
        </w:trPr>
        <w:tc>
          <w:tcPr>
            <w:tcW w:w="84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costs and expenses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1,790,788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1,698,683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5,363,344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5,187,511</w:t>
            </w:r>
          </w:p>
        </w:tc>
        <w:tc>
          <w:tcPr>
            <w:tcW w:w="2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r>
      <w:tr>
        <w:trPr>
          <w:trHeight w:val="473"/>
        </w:trPr>
        <w:tc>
          <w:tcPr>
            <w:tcW w:w="8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200" w:type="dxa"/>
            <w:vAlign w:val="bottom"/>
          </w:tcPr>
          <w:p>
            <w:pPr>
              <w:jc w:val="right"/>
              <w:spacing w:after="0"/>
              <w:rPr>
                <w:sz w:val="20"/>
                <w:szCs w:val="20"/>
                <w:color w:val="auto"/>
              </w:rPr>
            </w:pPr>
            <w:r>
              <w:rPr>
                <w:rFonts w:ascii="Arial" w:cs="Arial" w:eastAsia="Arial" w:hAnsi="Arial"/>
                <w:sz w:val="18"/>
                <w:szCs w:val="18"/>
                <w:color w:val="auto"/>
              </w:rPr>
              <w:t>264,311</w:t>
            </w:r>
          </w:p>
        </w:tc>
        <w:tc>
          <w:tcPr>
            <w:tcW w:w="1220" w:type="dxa"/>
            <w:vAlign w:val="bottom"/>
          </w:tcPr>
          <w:p>
            <w:pPr>
              <w:jc w:val="right"/>
              <w:spacing w:after="0"/>
              <w:rPr>
                <w:sz w:val="20"/>
                <w:szCs w:val="20"/>
                <w:color w:val="auto"/>
              </w:rPr>
            </w:pPr>
            <w:r>
              <w:rPr>
                <w:rFonts w:ascii="Arial" w:cs="Arial" w:eastAsia="Arial" w:hAnsi="Arial"/>
                <w:sz w:val="18"/>
                <w:szCs w:val="18"/>
                <w:color w:val="auto"/>
              </w:rPr>
              <w:t>243,744</w:t>
            </w:r>
          </w:p>
        </w:tc>
        <w:tc>
          <w:tcPr>
            <w:tcW w:w="1240" w:type="dxa"/>
            <w:vAlign w:val="bottom"/>
          </w:tcPr>
          <w:p>
            <w:pPr>
              <w:jc w:val="right"/>
              <w:spacing w:after="0"/>
              <w:rPr>
                <w:sz w:val="20"/>
                <w:szCs w:val="20"/>
                <w:color w:val="auto"/>
              </w:rPr>
            </w:pPr>
            <w:r>
              <w:rPr>
                <w:rFonts w:ascii="Arial" w:cs="Arial" w:eastAsia="Arial" w:hAnsi="Arial"/>
                <w:sz w:val="18"/>
                <w:szCs w:val="18"/>
                <w:color w:val="auto"/>
              </w:rPr>
              <w:t>690,584</w:t>
            </w:r>
          </w:p>
        </w:tc>
        <w:tc>
          <w:tcPr>
            <w:tcW w:w="1180" w:type="dxa"/>
            <w:vAlign w:val="bottom"/>
          </w:tcPr>
          <w:p>
            <w:pPr>
              <w:jc w:val="right"/>
              <w:spacing w:after="0"/>
              <w:rPr>
                <w:sz w:val="20"/>
                <w:szCs w:val="20"/>
                <w:color w:val="auto"/>
              </w:rPr>
            </w:pPr>
            <w:r>
              <w:rPr>
                <w:rFonts w:ascii="Arial" w:cs="Arial" w:eastAsia="Arial" w:hAnsi="Arial"/>
                <w:sz w:val="18"/>
                <w:szCs w:val="18"/>
                <w:color w:val="auto"/>
              </w:rPr>
              <w:t>591,873</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3"/>
        </w:trPr>
        <w:tc>
          <w:tcPr>
            <w:tcW w:w="840" w:type="dxa"/>
            <w:vAlign w:val="bottom"/>
          </w:tcPr>
          <w:p>
            <w:pPr>
              <w:spacing w:after="0"/>
              <w:rPr>
                <w:sz w:val="21"/>
                <w:szCs w:val="21"/>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Interest income</w:t>
            </w:r>
          </w:p>
        </w:tc>
        <w:tc>
          <w:tcPr>
            <w:tcW w:w="1200" w:type="dxa"/>
            <w:vAlign w:val="bottom"/>
          </w:tcPr>
          <w:p>
            <w:pPr>
              <w:jc w:val="right"/>
              <w:spacing w:after="0"/>
              <w:rPr>
                <w:sz w:val="20"/>
                <w:szCs w:val="20"/>
                <w:color w:val="auto"/>
              </w:rPr>
            </w:pPr>
            <w:r>
              <w:rPr>
                <w:rFonts w:ascii="Arial" w:cs="Arial" w:eastAsia="Arial" w:hAnsi="Arial"/>
                <w:sz w:val="18"/>
                <w:szCs w:val="18"/>
                <w:color w:val="auto"/>
              </w:rPr>
              <w:t>1,273</w:t>
            </w:r>
          </w:p>
        </w:tc>
        <w:tc>
          <w:tcPr>
            <w:tcW w:w="1220" w:type="dxa"/>
            <w:vAlign w:val="bottom"/>
          </w:tcPr>
          <w:p>
            <w:pPr>
              <w:jc w:val="right"/>
              <w:spacing w:after="0"/>
              <w:rPr>
                <w:sz w:val="20"/>
                <w:szCs w:val="20"/>
                <w:color w:val="auto"/>
              </w:rPr>
            </w:pPr>
            <w:r>
              <w:rPr>
                <w:rFonts w:ascii="Arial" w:cs="Arial" w:eastAsia="Arial" w:hAnsi="Arial"/>
                <w:sz w:val="18"/>
                <w:szCs w:val="18"/>
                <w:color w:val="auto"/>
              </w:rPr>
              <w:t>1,434</w:t>
            </w:r>
          </w:p>
        </w:tc>
        <w:tc>
          <w:tcPr>
            <w:tcW w:w="1240" w:type="dxa"/>
            <w:vAlign w:val="bottom"/>
          </w:tcPr>
          <w:p>
            <w:pPr>
              <w:jc w:val="right"/>
              <w:spacing w:after="0"/>
              <w:rPr>
                <w:sz w:val="20"/>
                <w:szCs w:val="20"/>
                <w:color w:val="auto"/>
              </w:rPr>
            </w:pPr>
            <w:r>
              <w:rPr>
                <w:rFonts w:ascii="Arial" w:cs="Arial" w:eastAsia="Arial" w:hAnsi="Arial"/>
                <w:sz w:val="18"/>
                <w:szCs w:val="18"/>
                <w:color w:val="auto"/>
              </w:rPr>
              <w:t>3,294</w:t>
            </w:r>
          </w:p>
        </w:tc>
        <w:tc>
          <w:tcPr>
            <w:tcW w:w="1180" w:type="dxa"/>
            <w:vAlign w:val="bottom"/>
          </w:tcPr>
          <w:p>
            <w:pPr>
              <w:jc w:val="right"/>
              <w:spacing w:after="0"/>
              <w:rPr>
                <w:sz w:val="20"/>
                <w:szCs w:val="20"/>
                <w:color w:val="auto"/>
              </w:rPr>
            </w:pPr>
            <w:r>
              <w:rPr>
                <w:rFonts w:ascii="Arial" w:cs="Arial" w:eastAsia="Arial" w:hAnsi="Arial"/>
                <w:sz w:val="18"/>
                <w:szCs w:val="18"/>
                <w:color w:val="auto"/>
              </w:rPr>
              <w:t>1,727</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0"/>
        </w:trPr>
        <w:tc>
          <w:tcPr>
            <w:tcW w:w="840" w:type="dxa"/>
            <w:vAlign w:val="bottom"/>
          </w:tcPr>
          <w:p>
            <w:pPr>
              <w:spacing w:after="0"/>
              <w:rPr>
                <w:sz w:val="21"/>
                <w:szCs w:val="21"/>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(83,908)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(63,010)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(255,665)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(154,546)</w:t>
            </w:r>
          </w:p>
        </w:tc>
        <w:tc>
          <w:tcPr>
            <w:tcW w:w="20" w:type="dxa"/>
            <w:vAlign w:val="bottom"/>
            <w:tcBorders>
              <w:bottom w:val="single" w:sz="8" w:color="auto"/>
            </w:tcBorders>
          </w:tcPr>
          <w:p>
            <w:pPr>
              <w:spacing w:after="0"/>
              <w:rPr>
                <w:sz w:val="21"/>
                <w:szCs w:val="21"/>
                <w:color w:val="auto"/>
              </w:rPr>
            </w:pPr>
          </w:p>
        </w:tc>
        <w:tc>
          <w:tcPr>
            <w:tcW w:w="820" w:type="dxa"/>
            <w:vAlign w:val="bottom"/>
          </w:tcPr>
          <w:p>
            <w:pPr>
              <w:spacing w:after="0"/>
              <w:rPr>
                <w:sz w:val="21"/>
                <w:szCs w:val="21"/>
                <w:color w:val="auto"/>
              </w:rPr>
            </w:pPr>
          </w:p>
        </w:tc>
      </w:tr>
      <w:tr>
        <w:trPr>
          <w:trHeight w:val="473"/>
        </w:trPr>
        <w:tc>
          <w:tcPr>
            <w:tcW w:w="8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200" w:type="dxa"/>
            <w:vAlign w:val="bottom"/>
          </w:tcPr>
          <w:p>
            <w:pPr>
              <w:jc w:val="right"/>
              <w:spacing w:after="0"/>
              <w:rPr>
                <w:sz w:val="20"/>
                <w:szCs w:val="20"/>
                <w:color w:val="auto"/>
              </w:rPr>
            </w:pPr>
            <w:r>
              <w:rPr>
                <w:rFonts w:ascii="Arial" w:cs="Arial" w:eastAsia="Arial" w:hAnsi="Arial"/>
                <w:sz w:val="18"/>
                <w:szCs w:val="18"/>
                <w:color w:val="auto"/>
              </w:rPr>
              <w:t>181,676</w:t>
            </w:r>
          </w:p>
        </w:tc>
        <w:tc>
          <w:tcPr>
            <w:tcW w:w="1220" w:type="dxa"/>
            <w:vAlign w:val="bottom"/>
          </w:tcPr>
          <w:p>
            <w:pPr>
              <w:jc w:val="right"/>
              <w:spacing w:after="0"/>
              <w:rPr>
                <w:sz w:val="20"/>
                <w:szCs w:val="20"/>
                <w:color w:val="auto"/>
              </w:rPr>
            </w:pPr>
            <w:r>
              <w:rPr>
                <w:rFonts w:ascii="Arial" w:cs="Arial" w:eastAsia="Arial" w:hAnsi="Arial"/>
                <w:sz w:val="18"/>
                <w:szCs w:val="18"/>
                <w:color w:val="auto"/>
              </w:rPr>
              <w:t>182,168</w:t>
            </w:r>
          </w:p>
        </w:tc>
        <w:tc>
          <w:tcPr>
            <w:tcW w:w="1240" w:type="dxa"/>
            <w:vAlign w:val="bottom"/>
          </w:tcPr>
          <w:p>
            <w:pPr>
              <w:jc w:val="right"/>
              <w:spacing w:after="0"/>
              <w:rPr>
                <w:sz w:val="20"/>
                <w:szCs w:val="20"/>
                <w:color w:val="auto"/>
              </w:rPr>
            </w:pPr>
            <w:r>
              <w:rPr>
                <w:rFonts w:ascii="Arial" w:cs="Arial" w:eastAsia="Arial" w:hAnsi="Arial"/>
                <w:sz w:val="18"/>
                <w:szCs w:val="18"/>
                <w:color w:val="auto"/>
              </w:rPr>
              <w:t>438,213</w:t>
            </w:r>
          </w:p>
        </w:tc>
        <w:tc>
          <w:tcPr>
            <w:tcW w:w="1180" w:type="dxa"/>
            <w:vAlign w:val="bottom"/>
          </w:tcPr>
          <w:p>
            <w:pPr>
              <w:jc w:val="right"/>
              <w:spacing w:after="0"/>
              <w:rPr>
                <w:sz w:val="20"/>
                <w:szCs w:val="20"/>
                <w:color w:val="auto"/>
              </w:rPr>
            </w:pPr>
            <w:r>
              <w:rPr>
                <w:rFonts w:ascii="Arial" w:cs="Arial" w:eastAsia="Arial" w:hAnsi="Arial"/>
                <w:sz w:val="18"/>
                <w:szCs w:val="18"/>
                <w:color w:val="auto"/>
              </w:rPr>
              <w:t>439,054</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840" w:type="dxa"/>
            <w:vAlign w:val="bottom"/>
          </w:tcPr>
          <w:p>
            <w:pPr>
              <w:spacing w:after="0"/>
              <w:rPr>
                <w:sz w:val="21"/>
                <w:szCs w:val="21"/>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(41,913)</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(48,552)</w:t>
            </w:r>
          </w:p>
        </w:tc>
        <w:tc>
          <w:tcPr>
            <w:tcW w:w="820" w:type="dxa"/>
            <w:vAlign w:val="bottom"/>
          </w:tcPr>
          <w:p>
            <w:pPr>
              <w:spacing w:after="0"/>
              <w:rPr>
                <w:sz w:val="21"/>
                <w:szCs w:val="21"/>
                <w:color w:val="auto"/>
              </w:rPr>
            </w:pPr>
          </w:p>
        </w:tc>
      </w:tr>
      <w:tr>
        <w:trPr>
          <w:trHeight w:val="473"/>
        </w:trPr>
        <w:tc>
          <w:tcPr>
            <w:tcW w:w="8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w w:val="90"/>
              </w:rPr>
              <w:t>Income before share of earnings from equity method investments</w:t>
            </w:r>
          </w:p>
        </w:tc>
        <w:tc>
          <w:tcPr>
            <w:tcW w:w="1200" w:type="dxa"/>
            <w:vAlign w:val="bottom"/>
          </w:tcPr>
          <w:p>
            <w:pPr>
              <w:jc w:val="right"/>
              <w:spacing w:after="0"/>
              <w:rPr>
                <w:sz w:val="20"/>
                <w:szCs w:val="20"/>
                <w:color w:val="auto"/>
              </w:rPr>
            </w:pPr>
            <w:r>
              <w:rPr>
                <w:rFonts w:ascii="Arial" w:cs="Arial" w:eastAsia="Arial" w:hAnsi="Arial"/>
                <w:sz w:val="18"/>
                <w:szCs w:val="18"/>
                <w:color w:val="auto"/>
              </w:rPr>
              <w:t>163,665</w:t>
            </w:r>
          </w:p>
        </w:tc>
        <w:tc>
          <w:tcPr>
            <w:tcW w:w="1220" w:type="dxa"/>
            <w:vAlign w:val="bottom"/>
          </w:tcPr>
          <w:p>
            <w:pPr>
              <w:jc w:val="right"/>
              <w:spacing w:after="0"/>
              <w:rPr>
                <w:sz w:val="20"/>
                <w:szCs w:val="20"/>
                <w:color w:val="auto"/>
              </w:rPr>
            </w:pPr>
            <w:r>
              <w:rPr>
                <w:rFonts w:ascii="Arial" w:cs="Arial" w:eastAsia="Arial" w:hAnsi="Arial"/>
                <w:sz w:val="18"/>
                <w:szCs w:val="18"/>
                <w:color w:val="auto"/>
              </w:rPr>
              <w:t>161,156</w:t>
            </w:r>
          </w:p>
        </w:tc>
        <w:tc>
          <w:tcPr>
            <w:tcW w:w="1240" w:type="dxa"/>
            <w:vAlign w:val="bottom"/>
          </w:tcPr>
          <w:p>
            <w:pPr>
              <w:jc w:val="right"/>
              <w:spacing w:after="0"/>
              <w:rPr>
                <w:sz w:val="20"/>
                <w:szCs w:val="20"/>
                <w:color w:val="auto"/>
              </w:rPr>
            </w:pPr>
            <w:r>
              <w:rPr>
                <w:rFonts w:ascii="Arial" w:cs="Arial" w:eastAsia="Arial" w:hAnsi="Arial"/>
                <w:sz w:val="18"/>
                <w:szCs w:val="18"/>
                <w:color w:val="auto"/>
              </w:rPr>
              <w:t>396,300</w:t>
            </w:r>
          </w:p>
        </w:tc>
        <w:tc>
          <w:tcPr>
            <w:tcW w:w="1180" w:type="dxa"/>
            <w:vAlign w:val="bottom"/>
          </w:tcPr>
          <w:p>
            <w:pPr>
              <w:jc w:val="right"/>
              <w:spacing w:after="0"/>
              <w:rPr>
                <w:sz w:val="20"/>
                <w:szCs w:val="20"/>
                <w:color w:val="auto"/>
              </w:rPr>
            </w:pPr>
            <w:r>
              <w:rPr>
                <w:rFonts w:ascii="Arial" w:cs="Arial" w:eastAsia="Arial" w:hAnsi="Arial"/>
                <w:sz w:val="18"/>
                <w:szCs w:val="18"/>
                <w:color w:val="auto"/>
              </w:rPr>
              <w:t>390,502</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3"/>
        </w:trPr>
        <w:tc>
          <w:tcPr>
            <w:tcW w:w="840" w:type="dxa"/>
            <w:vAlign w:val="bottom"/>
          </w:tcPr>
          <w:p>
            <w:pPr>
              <w:spacing w:after="0"/>
              <w:rPr>
                <w:sz w:val="21"/>
                <w:szCs w:val="21"/>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Share of losses in equity method investments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(1,002)</w:t>
            </w:r>
          </w:p>
        </w:tc>
        <w:tc>
          <w:tcPr>
            <w:tcW w:w="1240" w:type="dxa"/>
            <w:vAlign w:val="bottom"/>
          </w:tcPr>
          <w:p>
            <w:pPr>
              <w:jc w:val="right"/>
              <w:spacing w:after="0"/>
              <w:rPr>
                <w:sz w:val="20"/>
                <w:szCs w:val="20"/>
                <w:color w:val="auto"/>
              </w:rPr>
            </w:pPr>
            <w:r>
              <w:rPr>
                <w:rFonts w:ascii="Arial" w:cs="Arial" w:eastAsia="Arial" w:hAnsi="Arial"/>
                <w:sz w:val="18"/>
                <w:szCs w:val="18"/>
                <w:color w:val="auto"/>
              </w:rPr>
              <w:t>(383)</w:t>
            </w:r>
          </w:p>
        </w:tc>
        <w:tc>
          <w:tcPr>
            <w:tcW w:w="1180" w:type="dxa"/>
            <w:vAlign w:val="bottom"/>
          </w:tcPr>
          <w:p>
            <w:pPr>
              <w:jc w:val="right"/>
              <w:spacing w:after="0"/>
              <w:rPr>
                <w:sz w:val="20"/>
                <w:szCs w:val="20"/>
                <w:color w:val="auto"/>
              </w:rPr>
            </w:pPr>
            <w:r>
              <w:rPr>
                <w:rFonts w:ascii="Arial" w:cs="Arial" w:eastAsia="Arial" w:hAnsi="Arial"/>
                <w:sz w:val="18"/>
                <w:szCs w:val="18"/>
                <w:color w:val="auto"/>
              </w:rPr>
              <w:t>(2,643)</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6"/>
        </w:trPr>
        <w:tc>
          <w:tcPr>
            <w:tcW w:w="840" w:type="dxa"/>
            <w:vAlign w:val="bottom"/>
          </w:tcPr>
          <w:p>
            <w:pPr>
              <w:spacing w:after="0"/>
              <w:rPr>
                <w:sz w:val="22"/>
                <w:szCs w:val="22"/>
                <w:color w:val="auto"/>
              </w:rPr>
            </w:pPr>
          </w:p>
        </w:tc>
        <w:tc>
          <w:tcPr>
            <w:tcW w:w="47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20" w:type="dxa"/>
            <w:vAlign w:val="bottom"/>
          </w:tcPr>
          <w:p>
            <w:pPr>
              <w:spacing w:after="0"/>
              <w:rPr>
                <w:sz w:val="22"/>
                <w:szCs w:val="22"/>
                <w:color w:val="auto"/>
              </w:rPr>
            </w:pPr>
          </w:p>
        </w:tc>
      </w:tr>
      <w:tr>
        <w:trPr>
          <w:trHeight w:val="230"/>
        </w:trPr>
        <w:tc>
          <w:tcPr>
            <w:tcW w:w="84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the Group</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$ 163,665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$ 160,154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$ 395,917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$ 387,859</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0"/>
        </w:trPr>
        <w:tc>
          <w:tcPr>
            <w:tcW w:w="840" w:type="dxa"/>
            <w:vAlign w:val="bottom"/>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59"/>
        </w:trPr>
        <w:tc>
          <w:tcPr>
            <w:tcW w:w="8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income per Ordinary Share attributable to the Group:</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93"/>
        </w:trPr>
        <w:tc>
          <w:tcPr>
            <w:tcW w:w="84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$ 1.99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$ 1.96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$ 4.83</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$ 4.76</w:t>
            </w:r>
          </w:p>
        </w:tc>
        <w:tc>
          <w:tcPr>
            <w:tcW w:w="820" w:type="dxa"/>
            <w:vAlign w:val="bottom"/>
          </w:tcPr>
          <w:p>
            <w:pPr>
              <w:spacing w:after="0"/>
              <w:rPr>
                <w:sz w:val="24"/>
                <w:szCs w:val="24"/>
                <w:color w:val="auto"/>
              </w:rPr>
            </w:pPr>
          </w:p>
        </w:tc>
      </w:tr>
      <w:tr>
        <w:trPr>
          <w:trHeight w:val="237"/>
        </w:trPr>
        <w:tc>
          <w:tcPr>
            <w:tcW w:w="8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Diluted</w:t>
            </w:r>
          </w:p>
        </w:tc>
        <w:tc>
          <w:tcPr>
            <w:tcW w:w="1200" w:type="dxa"/>
            <w:vAlign w:val="bottom"/>
          </w:tcPr>
          <w:p>
            <w:pPr>
              <w:jc w:val="right"/>
              <w:spacing w:after="0"/>
              <w:rPr>
                <w:sz w:val="20"/>
                <w:szCs w:val="20"/>
                <w:color w:val="auto"/>
              </w:rPr>
            </w:pPr>
            <w:r>
              <w:rPr>
                <w:rFonts w:ascii="Arial" w:cs="Arial" w:eastAsia="Arial" w:hAnsi="Arial"/>
                <w:sz w:val="18"/>
                <w:szCs w:val="18"/>
                <w:color w:val="auto"/>
              </w:rPr>
              <w:t>$ 1.97</w:t>
            </w:r>
          </w:p>
        </w:tc>
        <w:tc>
          <w:tcPr>
            <w:tcW w:w="1220" w:type="dxa"/>
            <w:vAlign w:val="bottom"/>
          </w:tcPr>
          <w:p>
            <w:pPr>
              <w:jc w:val="right"/>
              <w:spacing w:after="0"/>
              <w:rPr>
                <w:sz w:val="20"/>
                <w:szCs w:val="20"/>
                <w:color w:val="auto"/>
              </w:rPr>
            </w:pPr>
            <w:r>
              <w:rPr>
                <w:rFonts w:ascii="Arial" w:cs="Arial" w:eastAsia="Arial" w:hAnsi="Arial"/>
                <w:sz w:val="18"/>
                <w:szCs w:val="18"/>
                <w:color w:val="auto"/>
              </w:rPr>
              <w:t>$ 1.94</w:t>
            </w:r>
          </w:p>
        </w:tc>
        <w:tc>
          <w:tcPr>
            <w:tcW w:w="1240" w:type="dxa"/>
            <w:vAlign w:val="bottom"/>
          </w:tcPr>
          <w:p>
            <w:pPr>
              <w:jc w:val="right"/>
              <w:spacing w:after="0"/>
              <w:rPr>
                <w:sz w:val="20"/>
                <w:szCs w:val="20"/>
                <w:color w:val="auto"/>
              </w:rPr>
            </w:pPr>
            <w:r>
              <w:rPr>
                <w:rFonts w:ascii="Arial" w:cs="Arial" w:eastAsia="Arial" w:hAnsi="Arial"/>
                <w:sz w:val="18"/>
                <w:szCs w:val="18"/>
                <w:color w:val="auto"/>
              </w:rPr>
              <w:t>$ 4.79</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$ 4.70</w:t>
            </w:r>
          </w:p>
        </w:tc>
        <w:tc>
          <w:tcPr>
            <w:tcW w:w="820" w:type="dxa"/>
            <w:vAlign w:val="bottom"/>
          </w:tcPr>
          <w:p>
            <w:pPr>
              <w:spacing w:after="0"/>
              <w:rPr>
                <w:sz w:val="20"/>
                <w:szCs w:val="20"/>
                <w:color w:val="auto"/>
              </w:rPr>
            </w:pPr>
          </w:p>
        </w:tc>
      </w:tr>
      <w:tr>
        <w:trPr>
          <w:trHeight w:val="20"/>
        </w:trPr>
        <w:tc>
          <w:tcPr>
            <w:tcW w:w="840" w:type="dxa"/>
            <w:vAlign w:val="bottom"/>
          </w:tcPr>
          <w:p>
            <w:pPr>
              <w:spacing w:after="0" w:line="20" w:lineRule="exact"/>
              <w:rPr>
                <w:sz w:val="1"/>
                <w:szCs w:val="1"/>
                <w:color w:val="auto"/>
              </w:rPr>
            </w:pPr>
          </w:p>
        </w:tc>
        <w:tc>
          <w:tcPr>
            <w:tcW w:w="4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59"/>
        </w:trPr>
        <w:tc>
          <w:tcPr>
            <w:tcW w:w="8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w w:val="99"/>
              </w:rPr>
              <w:t>Weighted average number of Ordinary Shares outstanding:</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93"/>
        </w:trPr>
        <w:tc>
          <w:tcPr>
            <w:tcW w:w="84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82,215,627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81,582,375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82,001,500</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81,481,686</w:t>
            </w:r>
          </w:p>
        </w:tc>
        <w:tc>
          <w:tcPr>
            <w:tcW w:w="82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4"/>
        </w:trPr>
        <w:tc>
          <w:tcPr>
            <w:tcW w:w="840" w:type="dxa"/>
            <w:vAlign w:val="bottom"/>
          </w:tcPr>
          <w:p>
            <w:pPr>
              <w:spacing w:after="0"/>
              <w:rPr>
                <w:sz w:val="19"/>
                <w:szCs w:val="19"/>
                <w:color w:val="auto"/>
              </w:rPr>
            </w:pPr>
          </w:p>
        </w:tc>
        <w:tc>
          <w:tcPr>
            <w:tcW w:w="4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82,972,888</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82,493,211</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82,737,073</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82,473,521</w:t>
            </w:r>
          </w:p>
        </w:tc>
        <w:tc>
          <w:tcPr>
            <w:tcW w:w="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9"/>
        </w:trPr>
        <w:tc>
          <w:tcPr>
            <w:tcW w:w="840" w:type="dxa"/>
            <w:vAlign w:val="bottom"/>
            <w:tcBorders>
              <w:bottom w:val="single" w:sz="8" w:color="auto"/>
            </w:tcBorders>
          </w:tcPr>
          <w:p>
            <w:pPr>
              <w:spacing w:after="0"/>
              <w:rPr>
                <w:sz w:val="14"/>
                <w:szCs w:val="14"/>
                <w:color w:val="auto"/>
              </w:rPr>
            </w:pPr>
          </w:p>
        </w:tc>
        <w:tc>
          <w:tcPr>
            <w:tcW w:w="47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297"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5860" w:type="dxa"/>
            <w:vAlign w:val="bottom"/>
          </w:tcPr>
          <w:p>
            <w:pPr>
              <w:jc w:val="center"/>
              <w:ind w:left="2270"/>
              <w:spacing w:after="0"/>
              <w:rPr>
                <w:sz w:val="20"/>
                <w:szCs w:val="20"/>
                <w:color w:val="auto"/>
              </w:rPr>
            </w:pPr>
            <w:r>
              <w:rPr>
                <w:rFonts w:ascii="Arial" w:cs="Arial" w:eastAsia="Arial" w:hAnsi="Arial"/>
                <w:sz w:val="18"/>
                <w:szCs w:val="18"/>
                <w:b w:val="1"/>
                <w:bCs w:val="1"/>
                <w:color w:val="auto"/>
                <w:w w:val="97"/>
              </w:rPr>
              <w:t>ICON plc</w:t>
            </w: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05"/>
        </w:trPr>
        <w:tc>
          <w:tcPr>
            <w:tcW w:w="1520" w:type="dxa"/>
            <w:vAlign w:val="bottom"/>
          </w:tcPr>
          <w:p>
            <w:pPr>
              <w:spacing w:after="0"/>
              <w:rPr>
                <w:sz w:val="24"/>
                <w:szCs w:val="24"/>
                <w:color w:val="auto"/>
              </w:rPr>
            </w:pPr>
          </w:p>
        </w:tc>
        <w:tc>
          <w:tcPr>
            <w:tcW w:w="7060" w:type="dxa"/>
            <w:vAlign w:val="bottom"/>
            <w:gridSpan w:val="2"/>
          </w:tcPr>
          <w:p>
            <w:pPr>
              <w:jc w:val="center"/>
              <w:ind w:left="10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92"/>
        </w:trPr>
        <w:tc>
          <w:tcPr>
            <w:tcW w:w="1520" w:type="dxa"/>
            <w:vAlign w:val="bottom"/>
          </w:tcPr>
          <w:p>
            <w:pPr>
              <w:spacing w:after="0"/>
              <w:rPr>
                <w:sz w:val="24"/>
                <w:szCs w:val="24"/>
                <w:color w:val="auto"/>
              </w:rPr>
            </w:pPr>
          </w:p>
        </w:tc>
        <w:tc>
          <w:tcPr>
            <w:tcW w:w="7060" w:type="dxa"/>
            <w:vAlign w:val="bottom"/>
            <w:gridSpan w:val="2"/>
          </w:tcPr>
          <w:p>
            <w:pPr>
              <w:jc w:val="center"/>
              <w:ind w:left="1070"/>
              <w:spacing w:after="0"/>
              <w:rPr>
                <w:sz w:val="20"/>
                <w:szCs w:val="20"/>
                <w:color w:val="auto"/>
              </w:rPr>
            </w:pPr>
            <w:r>
              <w:rPr>
                <w:rFonts w:ascii="Arial" w:cs="Arial" w:eastAsia="Arial" w:hAnsi="Arial"/>
                <w:sz w:val="18"/>
                <w:szCs w:val="18"/>
                <w:b w:val="1"/>
                <w:bCs w:val="1"/>
                <w:color w:val="auto"/>
                <w:w w:val="95"/>
              </w:rPr>
              <w:t>AS AT SEPTEMBER 30, 2023 AND DECEMBER 31, 2022</w:t>
            </w:r>
          </w:p>
        </w:tc>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05"/>
        </w:trPr>
        <w:tc>
          <w:tcPr>
            <w:tcW w:w="15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(Audited)</w:t>
            </w:r>
          </w:p>
        </w:tc>
        <w:tc>
          <w:tcPr>
            <w:tcW w:w="1500" w:type="dxa"/>
            <w:vAlign w:val="bottom"/>
          </w:tcPr>
          <w:p>
            <w:pPr>
              <w:spacing w:after="0"/>
              <w:rPr>
                <w:sz w:val="24"/>
                <w:szCs w:val="24"/>
                <w:color w:val="auto"/>
              </w:rPr>
            </w:pPr>
          </w:p>
        </w:tc>
      </w:tr>
      <w:tr>
        <w:trPr>
          <w:trHeight w:val="225"/>
        </w:trPr>
        <w:tc>
          <w:tcPr>
            <w:tcW w:w="15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September 30,</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1500" w:type="dxa"/>
            <w:vAlign w:val="bottom"/>
          </w:tcPr>
          <w:p>
            <w:pPr>
              <w:spacing w:after="0"/>
              <w:rPr>
                <w:sz w:val="19"/>
                <w:szCs w:val="19"/>
                <w:color w:val="auto"/>
              </w:rPr>
            </w:pPr>
          </w:p>
        </w:tc>
      </w:tr>
      <w:tr>
        <w:trPr>
          <w:trHeight w:val="234"/>
        </w:trPr>
        <w:tc>
          <w:tcPr>
            <w:tcW w:w="15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500" w:type="dxa"/>
            <w:vAlign w:val="bottom"/>
          </w:tcPr>
          <w:p>
            <w:pPr>
              <w:spacing w:after="0"/>
              <w:rPr>
                <w:sz w:val="20"/>
                <w:szCs w:val="20"/>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36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(in thousands)</w:t>
            </w: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Current Assets:</w:t>
            </w:r>
          </w:p>
        </w:tc>
        <w:tc>
          <w:tcPr>
            <w:tcW w:w="1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tcPr>
          <w:p>
            <w:pPr>
              <w:jc w:val="right"/>
              <w:spacing w:after="0"/>
              <w:rPr>
                <w:sz w:val="20"/>
                <w:szCs w:val="20"/>
                <w:color w:val="auto"/>
              </w:rPr>
            </w:pPr>
            <w:r>
              <w:rPr>
                <w:rFonts w:ascii="Arial" w:cs="Arial" w:eastAsia="Arial" w:hAnsi="Arial"/>
                <w:sz w:val="18"/>
                <w:szCs w:val="18"/>
                <w:color w:val="auto"/>
              </w:rPr>
              <w:t>$ 313,065</w:t>
            </w:r>
          </w:p>
        </w:tc>
        <w:tc>
          <w:tcPr>
            <w:tcW w:w="1160" w:type="dxa"/>
            <w:vAlign w:val="bottom"/>
          </w:tcPr>
          <w:p>
            <w:pPr>
              <w:jc w:val="right"/>
              <w:spacing w:after="0"/>
              <w:rPr>
                <w:sz w:val="20"/>
                <w:szCs w:val="20"/>
                <w:color w:val="auto"/>
              </w:rPr>
            </w:pPr>
            <w:r>
              <w:rPr>
                <w:rFonts w:ascii="Arial" w:cs="Arial" w:eastAsia="Arial" w:hAnsi="Arial"/>
                <w:sz w:val="18"/>
                <w:szCs w:val="18"/>
                <w:color w:val="auto"/>
              </w:rPr>
              <w:t>$ 288,768</w:t>
            </w: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Available for sale investments</w:t>
            </w:r>
          </w:p>
        </w:tc>
        <w:tc>
          <w:tcPr>
            <w:tcW w:w="1200" w:type="dxa"/>
            <w:vAlign w:val="bottom"/>
          </w:tcPr>
          <w:p>
            <w:pPr>
              <w:jc w:val="right"/>
              <w:spacing w:after="0"/>
              <w:rPr>
                <w:sz w:val="20"/>
                <w:szCs w:val="20"/>
                <w:color w:val="auto"/>
              </w:rPr>
            </w:pPr>
            <w:r>
              <w:rPr>
                <w:rFonts w:ascii="Arial" w:cs="Arial" w:eastAsia="Arial" w:hAnsi="Arial"/>
                <w:sz w:val="18"/>
                <w:szCs w:val="18"/>
                <w:color w:val="auto"/>
              </w:rPr>
              <w:t>1,954</w:t>
            </w:r>
          </w:p>
        </w:tc>
        <w:tc>
          <w:tcPr>
            <w:tcW w:w="1160" w:type="dxa"/>
            <w:vAlign w:val="bottom"/>
          </w:tcPr>
          <w:p>
            <w:pPr>
              <w:jc w:val="right"/>
              <w:spacing w:after="0"/>
              <w:rPr>
                <w:sz w:val="20"/>
                <w:szCs w:val="20"/>
                <w:color w:val="auto"/>
              </w:rPr>
            </w:pPr>
            <w:r>
              <w:rPr>
                <w:rFonts w:ascii="Arial" w:cs="Arial" w:eastAsia="Arial" w:hAnsi="Arial"/>
                <w:sz w:val="18"/>
                <w:szCs w:val="18"/>
                <w:color w:val="auto"/>
              </w:rPr>
              <w:t>1,713</w:t>
            </w: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Accounts receivable, net of allowance for credit losses</w:t>
            </w:r>
          </w:p>
        </w:tc>
        <w:tc>
          <w:tcPr>
            <w:tcW w:w="1200" w:type="dxa"/>
            <w:vAlign w:val="bottom"/>
          </w:tcPr>
          <w:p>
            <w:pPr>
              <w:jc w:val="right"/>
              <w:spacing w:after="0"/>
              <w:rPr>
                <w:sz w:val="20"/>
                <w:szCs w:val="20"/>
                <w:color w:val="auto"/>
              </w:rPr>
            </w:pPr>
            <w:r>
              <w:rPr>
                <w:rFonts w:ascii="Arial" w:cs="Arial" w:eastAsia="Arial" w:hAnsi="Arial"/>
                <w:sz w:val="18"/>
                <w:szCs w:val="18"/>
                <w:color w:val="auto"/>
              </w:rPr>
              <w:t>1,850,362</w:t>
            </w:r>
          </w:p>
        </w:tc>
        <w:tc>
          <w:tcPr>
            <w:tcW w:w="1160" w:type="dxa"/>
            <w:vAlign w:val="bottom"/>
          </w:tcPr>
          <w:p>
            <w:pPr>
              <w:jc w:val="right"/>
              <w:spacing w:after="0"/>
              <w:rPr>
                <w:sz w:val="20"/>
                <w:szCs w:val="20"/>
                <w:color w:val="auto"/>
              </w:rPr>
            </w:pPr>
            <w:r>
              <w:rPr>
                <w:rFonts w:ascii="Arial" w:cs="Arial" w:eastAsia="Arial" w:hAnsi="Arial"/>
                <w:sz w:val="18"/>
                <w:szCs w:val="18"/>
                <w:color w:val="auto"/>
              </w:rPr>
              <w:t>1,731,388</w:t>
            </w: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Unbilled revenue</w:t>
            </w:r>
          </w:p>
        </w:tc>
        <w:tc>
          <w:tcPr>
            <w:tcW w:w="1200" w:type="dxa"/>
            <w:vAlign w:val="bottom"/>
          </w:tcPr>
          <w:p>
            <w:pPr>
              <w:jc w:val="right"/>
              <w:spacing w:after="0"/>
              <w:rPr>
                <w:sz w:val="20"/>
                <w:szCs w:val="20"/>
                <w:color w:val="auto"/>
              </w:rPr>
            </w:pPr>
            <w:r>
              <w:rPr>
                <w:rFonts w:ascii="Arial" w:cs="Arial" w:eastAsia="Arial" w:hAnsi="Arial"/>
                <w:sz w:val="18"/>
                <w:szCs w:val="18"/>
                <w:color w:val="auto"/>
              </w:rPr>
              <w:t>941,884</w:t>
            </w:r>
          </w:p>
        </w:tc>
        <w:tc>
          <w:tcPr>
            <w:tcW w:w="1160" w:type="dxa"/>
            <w:vAlign w:val="bottom"/>
          </w:tcPr>
          <w:p>
            <w:pPr>
              <w:jc w:val="right"/>
              <w:spacing w:after="0"/>
              <w:rPr>
                <w:sz w:val="20"/>
                <w:szCs w:val="20"/>
                <w:color w:val="auto"/>
              </w:rPr>
            </w:pPr>
            <w:r>
              <w:rPr>
                <w:rFonts w:ascii="Arial" w:cs="Arial" w:eastAsia="Arial" w:hAnsi="Arial"/>
                <w:sz w:val="18"/>
                <w:szCs w:val="18"/>
                <w:color w:val="auto"/>
              </w:rPr>
              <w:t>957,655</w:t>
            </w: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receivables</w:t>
            </w:r>
          </w:p>
        </w:tc>
        <w:tc>
          <w:tcPr>
            <w:tcW w:w="1200" w:type="dxa"/>
            <w:vAlign w:val="bottom"/>
          </w:tcPr>
          <w:p>
            <w:pPr>
              <w:jc w:val="right"/>
              <w:spacing w:after="0"/>
              <w:rPr>
                <w:sz w:val="20"/>
                <w:szCs w:val="20"/>
                <w:color w:val="auto"/>
              </w:rPr>
            </w:pPr>
            <w:r>
              <w:rPr>
                <w:rFonts w:ascii="Arial" w:cs="Arial" w:eastAsia="Arial" w:hAnsi="Arial"/>
                <w:sz w:val="18"/>
                <w:szCs w:val="18"/>
                <w:color w:val="auto"/>
              </w:rPr>
              <w:t>121,687</w:t>
            </w:r>
          </w:p>
        </w:tc>
        <w:tc>
          <w:tcPr>
            <w:tcW w:w="1160" w:type="dxa"/>
            <w:vAlign w:val="bottom"/>
          </w:tcPr>
          <w:p>
            <w:pPr>
              <w:jc w:val="right"/>
              <w:spacing w:after="0"/>
              <w:rPr>
                <w:sz w:val="20"/>
                <w:szCs w:val="20"/>
                <w:color w:val="auto"/>
              </w:rPr>
            </w:pPr>
            <w:r>
              <w:rPr>
                <w:rFonts w:ascii="Arial" w:cs="Arial" w:eastAsia="Arial" w:hAnsi="Arial"/>
                <w:sz w:val="18"/>
                <w:szCs w:val="18"/>
                <w:color w:val="auto"/>
              </w:rPr>
              <w:t>63,658</w:t>
            </w: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1200" w:type="dxa"/>
            <w:vAlign w:val="bottom"/>
          </w:tcPr>
          <w:p>
            <w:pPr>
              <w:jc w:val="right"/>
              <w:spacing w:after="0"/>
              <w:rPr>
                <w:sz w:val="20"/>
                <w:szCs w:val="20"/>
                <w:color w:val="auto"/>
              </w:rPr>
            </w:pPr>
            <w:r>
              <w:rPr>
                <w:rFonts w:ascii="Arial" w:cs="Arial" w:eastAsia="Arial" w:hAnsi="Arial"/>
                <w:sz w:val="18"/>
                <w:szCs w:val="18"/>
                <w:color w:val="auto"/>
              </w:rPr>
              <w:t>150,193</w:t>
            </w:r>
          </w:p>
        </w:tc>
        <w:tc>
          <w:tcPr>
            <w:tcW w:w="1160" w:type="dxa"/>
            <w:vAlign w:val="bottom"/>
          </w:tcPr>
          <w:p>
            <w:pPr>
              <w:jc w:val="right"/>
              <w:spacing w:after="0"/>
              <w:rPr>
                <w:sz w:val="20"/>
                <w:szCs w:val="20"/>
                <w:color w:val="auto"/>
              </w:rPr>
            </w:pPr>
            <w:r>
              <w:rPr>
                <w:rFonts w:ascii="Arial" w:cs="Arial" w:eastAsia="Arial" w:hAnsi="Arial"/>
                <w:sz w:val="18"/>
                <w:szCs w:val="18"/>
                <w:color w:val="auto"/>
              </w:rPr>
              <w:t>137,094</w:t>
            </w:r>
          </w:p>
        </w:tc>
        <w:tc>
          <w:tcPr>
            <w:tcW w:w="1500" w:type="dxa"/>
            <w:vAlign w:val="bottom"/>
          </w:tcPr>
          <w:p>
            <w:pPr>
              <w:spacing w:after="0"/>
              <w:rPr>
                <w:sz w:val="21"/>
                <w:szCs w:val="21"/>
                <w:color w:val="auto"/>
              </w:rPr>
            </w:pPr>
          </w:p>
        </w:tc>
      </w:tr>
      <w:tr>
        <w:trPr>
          <w:trHeight w:val="250"/>
        </w:trPr>
        <w:tc>
          <w:tcPr>
            <w:tcW w:w="1520" w:type="dxa"/>
            <w:vAlign w:val="bottom"/>
          </w:tcPr>
          <w:p>
            <w:pPr>
              <w:spacing w:after="0"/>
              <w:rPr>
                <w:sz w:val="21"/>
                <w:szCs w:val="21"/>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 receivable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48,790</w:t>
            </w:r>
          </w:p>
        </w:tc>
        <w:tc>
          <w:tcPr>
            <w:tcW w:w="1500" w:type="dxa"/>
            <w:vAlign w:val="bottom"/>
          </w:tcPr>
          <w:p>
            <w:pPr>
              <w:spacing w:after="0"/>
              <w:rPr>
                <w:sz w:val="21"/>
                <w:szCs w:val="21"/>
                <w:color w:val="auto"/>
              </w:rPr>
            </w:pPr>
          </w:p>
        </w:tc>
      </w:tr>
      <w:tr>
        <w:trPr>
          <w:trHeight w:val="230"/>
        </w:trPr>
        <w:tc>
          <w:tcPr>
            <w:tcW w:w="152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0" w:type="dxa"/>
            <w:vAlign w:val="bottom"/>
          </w:tcPr>
          <w:p>
            <w:pPr>
              <w:jc w:val="right"/>
              <w:spacing w:after="0"/>
              <w:rPr>
                <w:sz w:val="20"/>
                <w:szCs w:val="20"/>
                <w:color w:val="auto"/>
              </w:rPr>
            </w:pPr>
            <w:r>
              <w:rPr>
                <w:rFonts w:ascii="Arial" w:cs="Arial" w:eastAsia="Arial" w:hAnsi="Arial"/>
                <w:sz w:val="18"/>
                <w:szCs w:val="18"/>
                <w:color w:val="auto"/>
              </w:rPr>
              <w:t>3,421,184</w:t>
            </w:r>
          </w:p>
        </w:tc>
        <w:tc>
          <w:tcPr>
            <w:tcW w:w="1160" w:type="dxa"/>
            <w:vAlign w:val="bottom"/>
          </w:tcPr>
          <w:p>
            <w:pPr>
              <w:jc w:val="right"/>
              <w:spacing w:after="0"/>
              <w:rPr>
                <w:sz w:val="20"/>
                <w:szCs w:val="20"/>
                <w:color w:val="auto"/>
              </w:rPr>
            </w:pPr>
            <w:r>
              <w:rPr>
                <w:rFonts w:ascii="Arial" w:cs="Arial" w:eastAsia="Arial" w:hAnsi="Arial"/>
                <w:sz w:val="18"/>
                <w:szCs w:val="18"/>
                <w:color w:val="auto"/>
              </w:rPr>
              <w:t>3,229,066</w:t>
            </w:r>
          </w:p>
        </w:tc>
        <w:tc>
          <w:tcPr>
            <w:tcW w:w="1500" w:type="dxa"/>
            <w:vAlign w:val="bottom"/>
          </w:tcPr>
          <w:p>
            <w:pPr>
              <w:spacing w:after="0"/>
              <w:rPr>
                <w:sz w:val="20"/>
                <w:szCs w:val="20"/>
                <w:color w:val="auto"/>
              </w:rPr>
            </w:pPr>
          </w:p>
        </w:tc>
      </w:tr>
      <w:tr>
        <w:trPr>
          <w:trHeight w:val="485"/>
        </w:trPr>
        <w:tc>
          <w:tcPr>
            <w:tcW w:w="1520" w:type="dxa"/>
            <w:vAlign w:val="bottom"/>
          </w:tcPr>
          <w:p>
            <w:pPr>
              <w:spacing w:after="0"/>
              <w:rPr>
                <w:sz w:val="24"/>
                <w:szCs w:val="24"/>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Non-current Assets:</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0" w:type="dxa"/>
            <w:vAlign w:val="bottom"/>
          </w:tcPr>
          <w:p>
            <w:pPr>
              <w:jc w:val="right"/>
              <w:spacing w:after="0"/>
              <w:rPr>
                <w:sz w:val="20"/>
                <w:szCs w:val="20"/>
                <w:color w:val="auto"/>
              </w:rPr>
            </w:pPr>
            <w:r>
              <w:rPr>
                <w:rFonts w:ascii="Arial" w:cs="Arial" w:eastAsia="Arial" w:hAnsi="Arial"/>
                <w:sz w:val="18"/>
                <w:szCs w:val="18"/>
                <w:color w:val="auto"/>
              </w:rPr>
              <w:t>342,262</w:t>
            </w:r>
          </w:p>
        </w:tc>
        <w:tc>
          <w:tcPr>
            <w:tcW w:w="1160" w:type="dxa"/>
            <w:vAlign w:val="bottom"/>
          </w:tcPr>
          <w:p>
            <w:pPr>
              <w:jc w:val="right"/>
              <w:spacing w:after="0"/>
              <w:rPr>
                <w:sz w:val="20"/>
                <w:szCs w:val="20"/>
                <w:color w:val="auto"/>
              </w:rPr>
            </w:pPr>
            <w:r>
              <w:rPr>
                <w:rFonts w:ascii="Arial" w:cs="Arial" w:eastAsia="Arial" w:hAnsi="Arial"/>
                <w:sz w:val="18"/>
                <w:szCs w:val="18"/>
                <w:color w:val="auto"/>
              </w:rPr>
              <w:t>350,320</w:t>
            </w: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Goodwill</w:t>
            </w:r>
          </w:p>
        </w:tc>
        <w:tc>
          <w:tcPr>
            <w:tcW w:w="1200" w:type="dxa"/>
            <w:vAlign w:val="bottom"/>
          </w:tcPr>
          <w:p>
            <w:pPr>
              <w:jc w:val="right"/>
              <w:spacing w:after="0"/>
              <w:rPr>
                <w:sz w:val="20"/>
                <w:szCs w:val="20"/>
                <w:color w:val="auto"/>
              </w:rPr>
            </w:pPr>
            <w:r>
              <w:rPr>
                <w:rFonts w:ascii="Arial" w:cs="Arial" w:eastAsia="Arial" w:hAnsi="Arial"/>
                <w:sz w:val="18"/>
                <w:szCs w:val="18"/>
                <w:color w:val="auto"/>
              </w:rPr>
              <w:t>8,982,896</w:t>
            </w:r>
          </w:p>
        </w:tc>
        <w:tc>
          <w:tcPr>
            <w:tcW w:w="1160" w:type="dxa"/>
            <w:vAlign w:val="bottom"/>
          </w:tcPr>
          <w:p>
            <w:pPr>
              <w:jc w:val="right"/>
              <w:spacing w:after="0"/>
              <w:rPr>
                <w:sz w:val="20"/>
                <w:szCs w:val="20"/>
                <w:color w:val="auto"/>
              </w:rPr>
            </w:pPr>
            <w:r>
              <w:rPr>
                <w:rFonts w:ascii="Arial" w:cs="Arial" w:eastAsia="Arial" w:hAnsi="Arial"/>
                <w:sz w:val="18"/>
                <w:szCs w:val="18"/>
                <w:color w:val="auto"/>
              </w:rPr>
              <w:t>8,971,670</w:t>
            </w: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Intangible assets</w:t>
            </w:r>
          </w:p>
        </w:tc>
        <w:tc>
          <w:tcPr>
            <w:tcW w:w="1200" w:type="dxa"/>
            <w:vAlign w:val="bottom"/>
          </w:tcPr>
          <w:p>
            <w:pPr>
              <w:jc w:val="right"/>
              <w:spacing w:after="0"/>
              <w:rPr>
                <w:sz w:val="20"/>
                <w:szCs w:val="20"/>
                <w:color w:val="auto"/>
              </w:rPr>
            </w:pPr>
            <w:r>
              <w:rPr>
                <w:rFonts w:ascii="Arial" w:cs="Arial" w:eastAsia="Arial" w:hAnsi="Arial"/>
                <w:sz w:val="18"/>
                <w:szCs w:val="18"/>
                <w:color w:val="auto"/>
              </w:rPr>
              <w:t>3,934,673</w:t>
            </w:r>
          </w:p>
        </w:tc>
        <w:tc>
          <w:tcPr>
            <w:tcW w:w="1160" w:type="dxa"/>
            <w:vAlign w:val="bottom"/>
          </w:tcPr>
          <w:p>
            <w:pPr>
              <w:jc w:val="right"/>
              <w:spacing w:after="0"/>
              <w:rPr>
                <w:sz w:val="20"/>
                <w:szCs w:val="20"/>
                <w:color w:val="auto"/>
              </w:rPr>
            </w:pPr>
            <w:r>
              <w:rPr>
                <w:rFonts w:ascii="Arial" w:cs="Arial" w:eastAsia="Arial" w:hAnsi="Arial"/>
                <w:sz w:val="18"/>
                <w:szCs w:val="18"/>
                <w:color w:val="auto"/>
              </w:rPr>
              <w:t>4,278,659</w:t>
            </w: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Operating right-of-use assets</w:t>
            </w:r>
          </w:p>
        </w:tc>
        <w:tc>
          <w:tcPr>
            <w:tcW w:w="1200" w:type="dxa"/>
            <w:vAlign w:val="bottom"/>
          </w:tcPr>
          <w:p>
            <w:pPr>
              <w:jc w:val="right"/>
              <w:spacing w:after="0"/>
              <w:rPr>
                <w:sz w:val="20"/>
                <w:szCs w:val="20"/>
                <w:color w:val="auto"/>
              </w:rPr>
            </w:pPr>
            <w:r>
              <w:rPr>
                <w:rFonts w:ascii="Arial" w:cs="Arial" w:eastAsia="Arial" w:hAnsi="Arial"/>
                <w:sz w:val="18"/>
                <w:szCs w:val="18"/>
                <w:color w:val="auto"/>
              </w:rPr>
              <w:t>132,319</w:t>
            </w:r>
          </w:p>
        </w:tc>
        <w:tc>
          <w:tcPr>
            <w:tcW w:w="1160" w:type="dxa"/>
            <w:vAlign w:val="bottom"/>
          </w:tcPr>
          <w:p>
            <w:pPr>
              <w:jc w:val="right"/>
              <w:spacing w:after="0"/>
              <w:rPr>
                <w:sz w:val="20"/>
                <w:szCs w:val="20"/>
                <w:color w:val="auto"/>
              </w:rPr>
            </w:pPr>
            <w:r>
              <w:rPr>
                <w:rFonts w:ascii="Arial" w:cs="Arial" w:eastAsia="Arial" w:hAnsi="Arial"/>
                <w:sz w:val="18"/>
                <w:szCs w:val="18"/>
                <w:color w:val="auto"/>
              </w:rPr>
              <w:t>153,832</w:t>
            </w: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receivables</w:t>
            </w:r>
          </w:p>
        </w:tc>
        <w:tc>
          <w:tcPr>
            <w:tcW w:w="1200" w:type="dxa"/>
            <w:vAlign w:val="bottom"/>
          </w:tcPr>
          <w:p>
            <w:pPr>
              <w:jc w:val="right"/>
              <w:spacing w:after="0"/>
              <w:rPr>
                <w:sz w:val="20"/>
                <w:szCs w:val="20"/>
                <w:color w:val="auto"/>
              </w:rPr>
            </w:pPr>
            <w:r>
              <w:rPr>
                <w:rFonts w:ascii="Arial" w:cs="Arial" w:eastAsia="Arial" w:hAnsi="Arial"/>
                <w:sz w:val="18"/>
                <w:szCs w:val="18"/>
                <w:color w:val="auto"/>
              </w:rPr>
              <w:t>52,797</w:t>
            </w:r>
          </w:p>
        </w:tc>
        <w:tc>
          <w:tcPr>
            <w:tcW w:w="1160" w:type="dxa"/>
            <w:vAlign w:val="bottom"/>
          </w:tcPr>
          <w:p>
            <w:pPr>
              <w:jc w:val="right"/>
              <w:spacing w:after="0"/>
              <w:rPr>
                <w:sz w:val="20"/>
                <w:szCs w:val="20"/>
                <w:color w:val="auto"/>
              </w:rPr>
            </w:pPr>
            <w:r>
              <w:rPr>
                <w:rFonts w:ascii="Arial" w:cs="Arial" w:eastAsia="Arial" w:hAnsi="Arial"/>
                <w:sz w:val="18"/>
                <w:szCs w:val="18"/>
                <w:color w:val="auto"/>
              </w:rPr>
              <w:t>70,790</w:t>
            </w: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1200" w:type="dxa"/>
            <w:vAlign w:val="bottom"/>
          </w:tcPr>
          <w:p>
            <w:pPr>
              <w:jc w:val="right"/>
              <w:spacing w:after="0"/>
              <w:rPr>
                <w:sz w:val="20"/>
                <w:szCs w:val="20"/>
                <w:color w:val="auto"/>
              </w:rPr>
            </w:pPr>
            <w:r>
              <w:rPr>
                <w:rFonts w:ascii="Arial" w:cs="Arial" w:eastAsia="Arial" w:hAnsi="Arial"/>
                <w:sz w:val="18"/>
                <w:szCs w:val="18"/>
                <w:color w:val="auto"/>
              </w:rPr>
              <w:t>40,481</w:t>
            </w:r>
          </w:p>
        </w:tc>
        <w:tc>
          <w:tcPr>
            <w:tcW w:w="1160" w:type="dxa"/>
            <w:vAlign w:val="bottom"/>
          </w:tcPr>
          <w:p>
            <w:pPr>
              <w:jc w:val="right"/>
              <w:spacing w:after="0"/>
              <w:rPr>
                <w:sz w:val="20"/>
                <w:szCs w:val="20"/>
                <w:color w:val="auto"/>
              </w:rPr>
            </w:pPr>
            <w:r>
              <w:rPr>
                <w:rFonts w:ascii="Arial" w:cs="Arial" w:eastAsia="Arial" w:hAnsi="Arial"/>
                <w:sz w:val="18"/>
                <w:szCs w:val="18"/>
                <w:color w:val="auto"/>
              </w:rPr>
              <w:t>21,380</w:t>
            </w: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Deferred tax asset</w:t>
            </w:r>
          </w:p>
        </w:tc>
        <w:tc>
          <w:tcPr>
            <w:tcW w:w="1200" w:type="dxa"/>
            <w:vAlign w:val="bottom"/>
          </w:tcPr>
          <w:p>
            <w:pPr>
              <w:jc w:val="right"/>
              <w:spacing w:after="0"/>
              <w:rPr>
                <w:sz w:val="20"/>
                <w:szCs w:val="20"/>
                <w:color w:val="auto"/>
              </w:rPr>
            </w:pPr>
            <w:r>
              <w:rPr>
                <w:rFonts w:ascii="Arial" w:cs="Arial" w:eastAsia="Arial" w:hAnsi="Arial"/>
                <w:sz w:val="18"/>
                <w:szCs w:val="18"/>
                <w:color w:val="auto"/>
              </w:rPr>
              <w:t>83,095</w:t>
            </w:r>
          </w:p>
        </w:tc>
        <w:tc>
          <w:tcPr>
            <w:tcW w:w="1160" w:type="dxa"/>
            <w:vAlign w:val="bottom"/>
          </w:tcPr>
          <w:p>
            <w:pPr>
              <w:jc w:val="right"/>
              <w:spacing w:after="0"/>
              <w:rPr>
                <w:sz w:val="20"/>
                <w:szCs w:val="20"/>
                <w:color w:val="auto"/>
              </w:rPr>
            </w:pPr>
            <w:r>
              <w:rPr>
                <w:rFonts w:ascii="Arial" w:cs="Arial" w:eastAsia="Arial" w:hAnsi="Arial"/>
                <w:sz w:val="18"/>
                <w:szCs w:val="18"/>
                <w:color w:val="auto"/>
              </w:rPr>
              <w:t>76,930</w:t>
            </w:r>
          </w:p>
        </w:tc>
        <w:tc>
          <w:tcPr>
            <w:tcW w:w="1500" w:type="dxa"/>
            <w:vAlign w:val="bottom"/>
          </w:tcPr>
          <w:p>
            <w:pPr>
              <w:spacing w:after="0"/>
              <w:rPr>
                <w:sz w:val="21"/>
                <w:szCs w:val="21"/>
                <w:color w:val="auto"/>
              </w:rPr>
            </w:pPr>
          </w:p>
        </w:tc>
      </w:tr>
      <w:tr>
        <w:trPr>
          <w:trHeight w:val="250"/>
        </w:trPr>
        <w:tc>
          <w:tcPr>
            <w:tcW w:w="1520" w:type="dxa"/>
            <w:vAlign w:val="bottom"/>
          </w:tcPr>
          <w:p>
            <w:pPr>
              <w:spacing w:after="0"/>
              <w:rPr>
                <w:sz w:val="21"/>
                <w:szCs w:val="21"/>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Investments in equity- long term</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32,631</w:t>
            </w:r>
          </w:p>
        </w:tc>
        <w:tc>
          <w:tcPr>
            <w:tcW w:w="1500" w:type="dxa"/>
            <w:vAlign w:val="bottom"/>
          </w:tcPr>
          <w:p>
            <w:pPr>
              <w:spacing w:after="0"/>
              <w:rPr>
                <w:sz w:val="21"/>
                <w:szCs w:val="21"/>
                <w:color w:val="auto"/>
              </w:rPr>
            </w:pPr>
          </w:p>
        </w:tc>
      </w:tr>
      <w:tr>
        <w:trPr>
          <w:trHeight w:val="237"/>
        </w:trPr>
        <w:tc>
          <w:tcPr>
            <w:tcW w:w="1520" w:type="dxa"/>
            <w:vAlign w:val="bottom"/>
          </w:tcPr>
          <w:p>
            <w:pPr>
              <w:spacing w:after="0"/>
              <w:rPr>
                <w:sz w:val="20"/>
                <w:szCs w:val="20"/>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$ 17,031,497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$ 17,185,278</w:t>
            </w:r>
          </w:p>
        </w:tc>
        <w:tc>
          <w:tcPr>
            <w:tcW w:w="1500" w:type="dxa"/>
            <w:vAlign w:val="bottom"/>
          </w:tcPr>
          <w:p>
            <w:pPr>
              <w:spacing w:after="0"/>
              <w:rPr>
                <w:sz w:val="20"/>
                <w:szCs w:val="20"/>
                <w:color w:val="auto"/>
              </w:rPr>
            </w:pPr>
          </w:p>
        </w:tc>
      </w:tr>
      <w:tr>
        <w:trPr>
          <w:trHeight w:val="234"/>
        </w:trPr>
        <w:tc>
          <w:tcPr>
            <w:tcW w:w="152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38"/>
        </w:trPr>
        <w:tc>
          <w:tcPr>
            <w:tcW w:w="152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Accounts payable</w:t>
            </w:r>
          </w:p>
        </w:tc>
        <w:tc>
          <w:tcPr>
            <w:tcW w:w="1200" w:type="dxa"/>
            <w:vAlign w:val="bottom"/>
          </w:tcPr>
          <w:p>
            <w:pPr>
              <w:jc w:val="right"/>
              <w:spacing w:after="0"/>
              <w:rPr>
                <w:sz w:val="20"/>
                <w:szCs w:val="20"/>
                <w:color w:val="auto"/>
              </w:rPr>
            </w:pPr>
            <w:r>
              <w:rPr>
                <w:rFonts w:ascii="Arial" w:cs="Arial" w:eastAsia="Arial" w:hAnsi="Arial"/>
                <w:sz w:val="18"/>
                <w:szCs w:val="18"/>
                <w:color w:val="auto"/>
              </w:rPr>
              <w:t>$ 87,317</w:t>
            </w:r>
          </w:p>
        </w:tc>
        <w:tc>
          <w:tcPr>
            <w:tcW w:w="1160" w:type="dxa"/>
            <w:vAlign w:val="bottom"/>
          </w:tcPr>
          <w:p>
            <w:pPr>
              <w:jc w:val="right"/>
              <w:spacing w:after="0"/>
              <w:rPr>
                <w:sz w:val="20"/>
                <w:szCs w:val="20"/>
                <w:color w:val="auto"/>
              </w:rPr>
            </w:pPr>
            <w:r>
              <w:rPr>
                <w:rFonts w:ascii="Arial" w:cs="Arial" w:eastAsia="Arial" w:hAnsi="Arial"/>
                <w:sz w:val="18"/>
                <w:szCs w:val="18"/>
                <w:color w:val="auto"/>
              </w:rPr>
              <w:t>$ 81,194</w:t>
            </w: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Unearned revenue</w:t>
            </w:r>
          </w:p>
        </w:tc>
        <w:tc>
          <w:tcPr>
            <w:tcW w:w="1200" w:type="dxa"/>
            <w:vAlign w:val="bottom"/>
          </w:tcPr>
          <w:p>
            <w:pPr>
              <w:jc w:val="right"/>
              <w:spacing w:after="0"/>
              <w:rPr>
                <w:sz w:val="20"/>
                <w:szCs w:val="20"/>
                <w:color w:val="auto"/>
              </w:rPr>
            </w:pPr>
            <w:r>
              <w:rPr>
                <w:rFonts w:ascii="Arial" w:cs="Arial" w:eastAsia="Arial" w:hAnsi="Arial"/>
                <w:sz w:val="18"/>
                <w:szCs w:val="18"/>
                <w:color w:val="auto"/>
              </w:rPr>
              <w:t>1,663,183</w:t>
            </w:r>
          </w:p>
        </w:tc>
        <w:tc>
          <w:tcPr>
            <w:tcW w:w="1160" w:type="dxa"/>
            <w:vAlign w:val="bottom"/>
          </w:tcPr>
          <w:p>
            <w:pPr>
              <w:jc w:val="right"/>
              <w:spacing w:after="0"/>
              <w:rPr>
                <w:sz w:val="20"/>
                <w:szCs w:val="20"/>
                <w:color w:val="auto"/>
              </w:rPr>
            </w:pPr>
            <w:r>
              <w:rPr>
                <w:rFonts w:ascii="Arial" w:cs="Arial" w:eastAsia="Arial" w:hAnsi="Arial"/>
                <w:sz w:val="18"/>
                <w:szCs w:val="18"/>
                <w:color w:val="auto"/>
              </w:rPr>
              <w:t>1,507,449</w:t>
            </w: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liabilities</w:t>
            </w:r>
          </w:p>
        </w:tc>
        <w:tc>
          <w:tcPr>
            <w:tcW w:w="1200" w:type="dxa"/>
            <w:vAlign w:val="bottom"/>
          </w:tcPr>
          <w:p>
            <w:pPr>
              <w:jc w:val="right"/>
              <w:spacing w:after="0"/>
              <w:rPr>
                <w:sz w:val="20"/>
                <w:szCs w:val="20"/>
                <w:color w:val="auto"/>
              </w:rPr>
            </w:pPr>
            <w:r>
              <w:rPr>
                <w:rFonts w:ascii="Arial" w:cs="Arial" w:eastAsia="Arial" w:hAnsi="Arial"/>
                <w:sz w:val="18"/>
                <w:szCs w:val="18"/>
                <w:color w:val="auto"/>
              </w:rPr>
              <w:t>948,829</w:t>
            </w:r>
          </w:p>
        </w:tc>
        <w:tc>
          <w:tcPr>
            <w:tcW w:w="1160" w:type="dxa"/>
            <w:vAlign w:val="bottom"/>
          </w:tcPr>
          <w:p>
            <w:pPr>
              <w:jc w:val="right"/>
              <w:spacing w:after="0"/>
              <w:rPr>
                <w:sz w:val="20"/>
                <w:szCs w:val="20"/>
                <w:color w:val="auto"/>
              </w:rPr>
            </w:pPr>
            <w:r>
              <w:rPr>
                <w:rFonts w:ascii="Arial" w:cs="Arial" w:eastAsia="Arial" w:hAnsi="Arial"/>
                <w:sz w:val="18"/>
                <w:szCs w:val="18"/>
                <w:color w:val="auto"/>
              </w:rPr>
              <w:t>1,005,025</w:t>
            </w: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Income taxes payable</w:t>
            </w:r>
          </w:p>
        </w:tc>
        <w:tc>
          <w:tcPr>
            <w:tcW w:w="1200" w:type="dxa"/>
            <w:vAlign w:val="bottom"/>
          </w:tcPr>
          <w:p>
            <w:pPr>
              <w:jc w:val="right"/>
              <w:spacing w:after="0"/>
              <w:rPr>
                <w:sz w:val="20"/>
                <w:szCs w:val="20"/>
                <w:color w:val="auto"/>
              </w:rPr>
            </w:pPr>
            <w:r>
              <w:rPr>
                <w:rFonts w:ascii="Arial" w:cs="Arial" w:eastAsia="Arial" w:hAnsi="Arial"/>
                <w:sz w:val="18"/>
                <w:szCs w:val="18"/>
                <w:color w:val="auto"/>
              </w:rPr>
              <w:t>41,518</w:t>
            </w:r>
          </w:p>
        </w:tc>
        <w:tc>
          <w:tcPr>
            <w:tcW w:w="1160" w:type="dxa"/>
            <w:vAlign w:val="bottom"/>
          </w:tcPr>
          <w:p>
            <w:pPr>
              <w:jc w:val="right"/>
              <w:spacing w:after="0"/>
              <w:rPr>
                <w:sz w:val="20"/>
                <w:szCs w:val="20"/>
                <w:color w:val="auto"/>
              </w:rPr>
            </w:pPr>
            <w:r>
              <w:rPr>
                <w:rFonts w:ascii="Arial" w:cs="Arial" w:eastAsia="Arial" w:hAnsi="Arial"/>
                <w:sz w:val="18"/>
                <w:szCs w:val="18"/>
                <w:color w:val="auto"/>
              </w:rPr>
              <w:t>41,783</w:t>
            </w:r>
          </w:p>
        </w:tc>
        <w:tc>
          <w:tcPr>
            <w:tcW w:w="1500" w:type="dxa"/>
            <w:vAlign w:val="bottom"/>
          </w:tcPr>
          <w:p>
            <w:pPr>
              <w:spacing w:after="0"/>
              <w:rPr>
                <w:sz w:val="21"/>
                <w:szCs w:val="21"/>
                <w:color w:val="auto"/>
              </w:rPr>
            </w:pPr>
          </w:p>
        </w:tc>
      </w:tr>
      <w:tr>
        <w:trPr>
          <w:trHeight w:val="250"/>
        </w:trPr>
        <w:tc>
          <w:tcPr>
            <w:tcW w:w="1520" w:type="dxa"/>
            <w:vAlign w:val="bottom"/>
          </w:tcPr>
          <w:p>
            <w:pPr>
              <w:spacing w:after="0"/>
              <w:rPr>
                <w:sz w:val="21"/>
                <w:szCs w:val="21"/>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bank credit lines and loan facilities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130,150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55,150</w:t>
            </w:r>
          </w:p>
        </w:tc>
        <w:tc>
          <w:tcPr>
            <w:tcW w:w="1500" w:type="dxa"/>
            <w:vAlign w:val="bottom"/>
          </w:tcPr>
          <w:p>
            <w:pPr>
              <w:spacing w:after="0"/>
              <w:rPr>
                <w:sz w:val="21"/>
                <w:szCs w:val="21"/>
                <w:color w:val="auto"/>
              </w:rPr>
            </w:pPr>
          </w:p>
        </w:tc>
      </w:tr>
      <w:tr>
        <w:trPr>
          <w:trHeight w:val="230"/>
        </w:trPr>
        <w:tc>
          <w:tcPr>
            <w:tcW w:w="152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0" w:type="dxa"/>
            <w:vAlign w:val="bottom"/>
          </w:tcPr>
          <w:p>
            <w:pPr>
              <w:jc w:val="right"/>
              <w:spacing w:after="0"/>
              <w:rPr>
                <w:sz w:val="20"/>
                <w:szCs w:val="20"/>
                <w:color w:val="auto"/>
              </w:rPr>
            </w:pPr>
            <w:r>
              <w:rPr>
                <w:rFonts w:ascii="Arial" w:cs="Arial" w:eastAsia="Arial" w:hAnsi="Arial"/>
                <w:sz w:val="18"/>
                <w:szCs w:val="18"/>
                <w:color w:val="auto"/>
              </w:rPr>
              <w:t>2,870,997</w:t>
            </w:r>
          </w:p>
        </w:tc>
        <w:tc>
          <w:tcPr>
            <w:tcW w:w="1160" w:type="dxa"/>
            <w:vAlign w:val="bottom"/>
          </w:tcPr>
          <w:p>
            <w:pPr>
              <w:jc w:val="right"/>
              <w:spacing w:after="0"/>
              <w:rPr>
                <w:sz w:val="20"/>
                <w:szCs w:val="20"/>
                <w:color w:val="auto"/>
              </w:rPr>
            </w:pPr>
            <w:r>
              <w:rPr>
                <w:rFonts w:ascii="Arial" w:cs="Arial" w:eastAsia="Arial" w:hAnsi="Arial"/>
                <w:sz w:val="18"/>
                <w:szCs w:val="18"/>
                <w:color w:val="auto"/>
              </w:rPr>
              <w:t>2,690,601</w:t>
            </w:r>
          </w:p>
        </w:tc>
        <w:tc>
          <w:tcPr>
            <w:tcW w:w="1500" w:type="dxa"/>
            <w:vAlign w:val="bottom"/>
          </w:tcPr>
          <w:p>
            <w:pPr>
              <w:spacing w:after="0"/>
              <w:rPr>
                <w:sz w:val="20"/>
                <w:szCs w:val="20"/>
                <w:color w:val="auto"/>
              </w:rPr>
            </w:pPr>
          </w:p>
        </w:tc>
      </w:tr>
      <w:tr>
        <w:trPr>
          <w:trHeight w:val="242"/>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Non-current bank credit lines and loan facilities</w:t>
            </w:r>
          </w:p>
        </w:tc>
        <w:tc>
          <w:tcPr>
            <w:tcW w:w="1200" w:type="dxa"/>
            <w:vAlign w:val="bottom"/>
          </w:tcPr>
          <w:p>
            <w:pPr>
              <w:jc w:val="right"/>
              <w:spacing w:after="0"/>
              <w:rPr>
                <w:sz w:val="20"/>
                <w:szCs w:val="20"/>
                <w:color w:val="auto"/>
              </w:rPr>
            </w:pPr>
            <w:r>
              <w:rPr>
                <w:rFonts w:ascii="Arial" w:cs="Arial" w:eastAsia="Arial" w:hAnsi="Arial"/>
                <w:sz w:val="18"/>
                <w:szCs w:val="18"/>
                <w:color w:val="auto"/>
              </w:rPr>
              <w:t>3,911,522</w:t>
            </w:r>
          </w:p>
        </w:tc>
        <w:tc>
          <w:tcPr>
            <w:tcW w:w="1160" w:type="dxa"/>
            <w:vAlign w:val="bottom"/>
          </w:tcPr>
          <w:p>
            <w:pPr>
              <w:jc w:val="right"/>
              <w:spacing w:after="0"/>
              <w:rPr>
                <w:sz w:val="20"/>
                <w:szCs w:val="20"/>
                <w:color w:val="auto"/>
              </w:rPr>
            </w:pPr>
            <w:r>
              <w:rPr>
                <w:rFonts w:ascii="Arial" w:cs="Arial" w:eastAsia="Arial" w:hAnsi="Arial"/>
                <w:sz w:val="18"/>
                <w:szCs w:val="18"/>
                <w:color w:val="auto"/>
              </w:rPr>
              <w:t>4,599,037</w:t>
            </w: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Lease liabilities</w:t>
            </w:r>
          </w:p>
        </w:tc>
        <w:tc>
          <w:tcPr>
            <w:tcW w:w="1200" w:type="dxa"/>
            <w:vAlign w:val="bottom"/>
          </w:tcPr>
          <w:p>
            <w:pPr>
              <w:jc w:val="right"/>
              <w:spacing w:after="0"/>
              <w:rPr>
                <w:sz w:val="20"/>
                <w:szCs w:val="20"/>
                <w:color w:val="auto"/>
              </w:rPr>
            </w:pPr>
            <w:r>
              <w:rPr>
                <w:rFonts w:ascii="Arial" w:cs="Arial" w:eastAsia="Arial" w:hAnsi="Arial"/>
                <w:sz w:val="18"/>
                <w:szCs w:val="18"/>
                <w:color w:val="auto"/>
              </w:rPr>
              <w:t>121,424</w:t>
            </w:r>
          </w:p>
        </w:tc>
        <w:tc>
          <w:tcPr>
            <w:tcW w:w="1160" w:type="dxa"/>
            <w:vAlign w:val="bottom"/>
          </w:tcPr>
          <w:p>
            <w:pPr>
              <w:jc w:val="right"/>
              <w:spacing w:after="0"/>
              <w:rPr>
                <w:sz w:val="20"/>
                <w:szCs w:val="20"/>
                <w:color w:val="auto"/>
              </w:rPr>
            </w:pPr>
            <w:r>
              <w:rPr>
                <w:rFonts w:ascii="Arial" w:cs="Arial" w:eastAsia="Arial" w:hAnsi="Arial"/>
                <w:sz w:val="18"/>
                <w:szCs w:val="18"/>
                <w:color w:val="auto"/>
              </w:rPr>
              <w:t>131,644</w:t>
            </w: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Non-current other liabilities</w:t>
            </w:r>
          </w:p>
        </w:tc>
        <w:tc>
          <w:tcPr>
            <w:tcW w:w="1200" w:type="dxa"/>
            <w:vAlign w:val="bottom"/>
          </w:tcPr>
          <w:p>
            <w:pPr>
              <w:jc w:val="right"/>
              <w:spacing w:after="0"/>
              <w:rPr>
                <w:sz w:val="20"/>
                <w:szCs w:val="20"/>
                <w:color w:val="auto"/>
              </w:rPr>
            </w:pPr>
            <w:r>
              <w:rPr>
                <w:rFonts w:ascii="Arial" w:cs="Arial" w:eastAsia="Arial" w:hAnsi="Arial"/>
                <w:sz w:val="18"/>
                <w:szCs w:val="18"/>
                <w:color w:val="auto"/>
              </w:rPr>
              <w:t>41,661</w:t>
            </w:r>
          </w:p>
        </w:tc>
        <w:tc>
          <w:tcPr>
            <w:tcW w:w="1160" w:type="dxa"/>
            <w:vAlign w:val="bottom"/>
          </w:tcPr>
          <w:p>
            <w:pPr>
              <w:jc w:val="right"/>
              <w:spacing w:after="0"/>
              <w:rPr>
                <w:sz w:val="20"/>
                <w:szCs w:val="20"/>
                <w:color w:val="auto"/>
              </w:rPr>
            </w:pPr>
            <w:r>
              <w:rPr>
                <w:rFonts w:ascii="Arial" w:cs="Arial" w:eastAsia="Arial" w:hAnsi="Arial"/>
                <w:sz w:val="18"/>
                <w:szCs w:val="18"/>
                <w:color w:val="auto"/>
              </w:rPr>
              <w:t>38,260</w:t>
            </w: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Non-current income taxes payable</w:t>
            </w:r>
          </w:p>
        </w:tc>
        <w:tc>
          <w:tcPr>
            <w:tcW w:w="1200" w:type="dxa"/>
            <w:vAlign w:val="bottom"/>
          </w:tcPr>
          <w:p>
            <w:pPr>
              <w:jc w:val="right"/>
              <w:spacing w:after="0"/>
              <w:rPr>
                <w:sz w:val="20"/>
                <w:szCs w:val="20"/>
                <w:color w:val="auto"/>
              </w:rPr>
            </w:pPr>
            <w:r>
              <w:rPr>
                <w:rFonts w:ascii="Arial" w:cs="Arial" w:eastAsia="Arial" w:hAnsi="Arial"/>
                <w:sz w:val="18"/>
                <w:szCs w:val="18"/>
                <w:color w:val="auto"/>
              </w:rPr>
              <w:t>242,972</w:t>
            </w:r>
          </w:p>
        </w:tc>
        <w:tc>
          <w:tcPr>
            <w:tcW w:w="1160" w:type="dxa"/>
            <w:vAlign w:val="bottom"/>
          </w:tcPr>
          <w:p>
            <w:pPr>
              <w:jc w:val="right"/>
              <w:spacing w:after="0"/>
              <w:rPr>
                <w:sz w:val="20"/>
                <w:szCs w:val="20"/>
                <w:color w:val="auto"/>
              </w:rPr>
            </w:pPr>
            <w:r>
              <w:rPr>
                <w:rFonts w:ascii="Arial" w:cs="Arial" w:eastAsia="Arial" w:hAnsi="Arial"/>
                <w:sz w:val="18"/>
                <w:szCs w:val="18"/>
                <w:color w:val="auto"/>
              </w:rPr>
              <w:t>239,188</w:t>
            </w:r>
          </w:p>
        </w:tc>
        <w:tc>
          <w:tcPr>
            <w:tcW w:w="1500" w:type="dxa"/>
            <w:vAlign w:val="bottom"/>
          </w:tcPr>
          <w:p>
            <w:pPr>
              <w:spacing w:after="0"/>
              <w:rPr>
                <w:sz w:val="21"/>
                <w:szCs w:val="21"/>
                <w:color w:val="auto"/>
              </w:rPr>
            </w:pPr>
          </w:p>
        </w:tc>
      </w:tr>
      <w:tr>
        <w:trPr>
          <w:trHeight w:val="250"/>
        </w:trPr>
        <w:tc>
          <w:tcPr>
            <w:tcW w:w="1520" w:type="dxa"/>
            <w:vAlign w:val="bottom"/>
          </w:tcPr>
          <w:p>
            <w:pPr>
              <w:spacing w:after="0"/>
              <w:rPr>
                <w:sz w:val="21"/>
                <w:szCs w:val="21"/>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liability</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883,887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988,585</w:t>
            </w:r>
          </w:p>
        </w:tc>
        <w:tc>
          <w:tcPr>
            <w:tcW w:w="1500" w:type="dxa"/>
            <w:vAlign w:val="bottom"/>
          </w:tcPr>
          <w:p>
            <w:pPr>
              <w:spacing w:after="0"/>
              <w:rPr>
                <w:sz w:val="21"/>
                <w:szCs w:val="21"/>
                <w:color w:val="auto"/>
              </w:rPr>
            </w:pPr>
          </w:p>
        </w:tc>
      </w:tr>
      <w:tr>
        <w:trPr>
          <w:trHeight w:val="237"/>
        </w:trPr>
        <w:tc>
          <w:tcPr>
            <w:tcW w:w="1520" w:type="dxa"/>
            <w:vAlign w:val="bottom"/>
          </w:tcPr>
          <w:p>
            <w:pPr>
              <w:spacing w:after="0"/>
              <w:rPr>
                <w:sz w:val="20"/>
                <w:szCs w:val="20"/>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8,072,463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8,687,315</w:t>
            </w:r>
          </w:p>
        </w:tc>
        <w:tc>
          <w:tcPr>
            <w:tcW w:w="1500" w:type="dxa"/>
            <w:vAlign w:val="bottom"/>
          </w:tcPr>
          <w:p>
            <w:pPr>
              <w:spacing w:after="0"/>
              <w:rPr>
                <w:sz w:val="20"/>
                <w:szCs w:val="20"/>
                <w:color w:val="auto"/>
              </w:rPr>
            </w:pPr>
          </w:p>
        </w:tc>
      </w:tr>
      <w:tr>
        <w:trPr>
          <w:trHeight w:val="472"/>
        </w:trPr>
        <w:tc>
          <w:tcPr>
            <w:tcW w:w="1520" w:type="dxa"/>
            <w:vAlign w:val="bottom"/>
          </w:tcPr>
          <w:p>
            <w:pPr>
              <w:spacing w:after="0"/>
              <w:rPr>
                <w:sz w:val="24"/>
                <w:szCs w:val="24"/>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Shareholders' Equity:</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w w:val="88"/>
              </w:rPr>
              <w:t>Ordinary shares, par value 6 euro cents per share; 100,000,000 shares authorized,</w:t>
            </w:r>
          </w:p>
        </w:tc>
        <w:tc>
          <w:tcPr>
            <w:tcW w:w="1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82,326,976 shares issued and outstanding at September 30, 2023 and</w:t>
            </w:r>
          </w:p>
        </w:tc>
        <w:tc>
          <w:tcPr>
            <w:tcW w:w="1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81,723,555 shares issued and outstanding at December 31, 2022</w:t>
            </w:r>
          </w:p>
        </w:tc>
        <w:tc>
          <w:tcPr>
            <w:tcW w:w="1200" w:type="dxa"/>
            <w:vAlign w:val="bottom"/>
          </w:tcPr>
          <w:p>
            <w:pPr>
              <w:jc w:val="right"/>
              <w:spacing w:after="0"/>
              <w:rPr>
                <w:sz w:val="20"/>
                <w:szCs w:val="20"/>
                <w:color w:val="auto"/>
              </w:rPr>
            </w:pPr>
            <w:r>
              <w:rPr>
                <w:rFonts w:ascii="Arial" w:cs="Arial" w:eastAsia="Arial" w:hAnsi="Arial"/>
                <w:sz w:val="18"/>
                <w:szCs w:val="18"/>
                <w:color w:val="auto"/>
              </w:rPr>
              <w:t>6,688</w:t>
            </w:r>
          </w:p>
        </w:tc>
        <w:tc>
          <w:tcPr>
            <w:tcW w:w="1160" w:type="dxa"/>
            <w:vAlign w:val="bottom"/>
          </w:tcPr>
          <w:p>
            <w:pPr>
              <w:jc w:val="right"/>
              <w:spacing w:after="0"/>
              <w:rPr>
                <w:sz w:val="20"/>
                <w:szCs w:val="20"/>
                <w:color w:val="auto"/>
              </w:rPr>
            </w:pPr>
            <w:r>
              <w:rPr>
                <w:rFonts w:ascii="Arial" w:cs="Arial" w:eastAsia="Arial" w:hAnsi="Arial"/>
                <w:sz w:val="18"/>
                <w:szCs w:val="18"/>
                <w:color w:val="auto"/>
              </w:rPr>
              <w:t>6,649</w:t>
            </w: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1200" w:type="dxa"/>
            <w:vAlign w:val="bottom"/>
          </w:tcPr>
          <w:p>
            <w:pPr>
              <w:jc w:val="right"/>
              <w:spacing w:after="0"/>
              <w:rPr>
                <w:sz w:val="20"/>
                <w:szCs w:val="20"/>
                <w:color w:val="auto"/>
              </w:rPr>
            </w:pPr>
            <w:r>
              <w:rPr>
                <w:rFonts w:ascii="Arial" w:cs="Arial" w:eastAsia="Arial" w:hAnsi="Arial"/>
                <w:sz w:val="18"/>
                <w:szCs w:val="18"/>
                <w:color w:val="auto"/>
              </w:rPr>
              <w:t>6,924,073</w:t>
            </w:r>
          </w:p>
        </w:tc>
        <w:tc>
          <w:tcPr>
            <w:tcW w:w="1160" w:type="dxa"/>
            <w:vAlign w:val="bottom"/>
          </w:tcPr>
          <w:p>
            <w:pPr>
              <w:jc w:val="right"/>
              <w:spacing w:after="0"/>
              <w:rPr>
                <w:sz w:val="20"/>
                <w:szCs w:val="20"/>
                <w:color w:val="auto"/>
              </w:rPr>
            </w:pPr>
            <w:r>
              <w:rPr>
                <w:rFonts w:ascii="Arial" w:cs="Arial" w:eastAsia="Arial" w:hAnsi="Arial"/>
                <w:sz w:val="18"/>
                <w:szCs w:val="18"/>
                <w:color w:val="auto"/>
              </w:rPr>
              <w:t>6,840,306</w:t>
            </w: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undenominated capital</w:t>
            </w:r>
          </w:p>
        </w:tc>
        <w:tc>
          <w:tcPr>
            <w:tcW w:w="1200" w:type="dxa"/>
            <w:vAlign w:val="bottom"/>
          </w:tcPr>
          <w:p>
            <w:pPr>
              <w:jc w:val="right"/>
              <w:spacing w:after="0"/>
              <w:rPr>
                <w:sz w:val="20"/>
                <w:szCs w:val="20"/>
                <w:color w:val="auto"/>
              </w:rPr>
            </w:pPr>
            <w:r>
              <w:rPr>
                <w:rFonts w:ascii="Arial" w:cs="Arial" w:eastAsia="Arial" w:hAnsi="Arial"/>
                <w:sz w:val="18"/>
                <w:szCs w:val="18"/>
                <w:color w:val="auto"/>
              </w:rPr>
              <w:t>1,162</w:t>
            </w:r>
          </w:p>
        </w:tc>
        <w:tc>
          <w:tcPr>
            <w:tcW w:w="1160" w:type="dxa"/>
            <w:vAlign w:val="bottom"/>
          </w:tcPr>
          <w:p>
            <w:pPr>
              <w:jc w:val="right"/>
              <w:spacing w:after="0"/>
              <w:rPr>
                <w:sz w:val="20"/>
                <w:szCs w:val="20"/>
                <w:color w:val="auto"/>
              </w:rPr>
            </w:pPr>
            <w:r>
              <w:rPr>
                <w:rFonts w:ascii="Arial" w:cs="Arial" w:eastAsia="Arial" w:hAnsi="Arial"/>
                <w:sz w:val="18"/>
                <w:szCs w:val="18"/>
                <w:color w:val="auto"/>
              </w:rPr>
              <w:t>1,162</w:t>
            </w:r>
          </w:p>
        </w:tc>
        <w:tc>
          <w:tcPr>
            <w:tcW w:w="150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200" w:type="dxa"/>
            <w:vAlign w:val="bottom"/>
          </w:tcPr>
          <w:p>
            <w:pPr>
              <w:jc w:val="right"/>
              <w:spacing w:after="0"/>
              <w:rPr>
                <w:sz w:val="20"/>
                <w:szCs w:val="20"/>
                <w:color w:val="auto"/>
              </w:rPr>
            </w:pPr>
            <w:r>
              <w:rPr>
                <w:rFonts w:ascii="Arial" w:cs="Arial" w:eastAsia="Arial" w:hAnsi="Arial"/>
                <w:sz w:val="18"/>
                <w:szCs w:val="18"/>
                <w:color w:val="auto"/>
              </w:rPr>
              <w:t>(190,190)</w:t>
            </w:r>
          </w:p>
        </w:tc>
        <w:tc>
          <w:tcPr>
            <w:tcW w:w="1160" w:type="dxa"/>
            <w:vAlign w:val="bottom"/>
          </w:tcPr>
          <w:p>
            <w:pPr>
              <w:jc w:val="right"/>
              <w:spacing w:after="0"/>
              <w:rPr>
                <w:sz w:val="20"/>
                <w:szCs w:val="20"/>
                <w:color w:val="auto"/>
              </w:rPr>
            </w:pPr>
            <w:r>
              <w:rPr>
                <w:rFonts w:ascii="Arial" w:cs="Arial" w:eastAsia="Arial" w:hAnsi="Arial"/>
                <w:sz w:val="18"/>
                <w:szCs w:val="18"/>
                <w:color w:val="auto"/>
              </w:rPr>
              <w:t>(171,538)</w:t>
            </w:r>
          </w:p>
        </w:tc>
        <w:tc>
          <w:tcPr>
            <w:tcW w:w="1500" w:type="dxa"/>
            <w:vAlign w:val="bottom"/>
          </w:tcPr>
          <w:p>
            <w:pPr>
              <w:spacing w:after="0"/>
              <w:rPr>
                <w:sz w:val="21"/>
                <w:szCs w:val="21"/>
                <w:color w:val="auto"/>
              </w:rPr>
            </w:pPr>
          </w:p>
        </w:tc>
      </w:tr>
      <w:tr>
        <w:trPr>
          <w:trHeight w:val="250"/>
        </w:trPr>
        <w:tc>
          <w:tcPr>
            <w:tcW w:w="1520" w:type="dxa"/>
            <w:vAlign w:val="bottom"/>
          </w:tcPr>
          <w:p>
            <w:pPr>
              <w:spacing w:after="0"/>
              <w:rPr>
                <w:sz w:val="21"/>
                <w:szCs w:val="21"/>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Retained earnings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2,217,301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1,821,384</w:t>
            </w:r>
          </w:p>
        </w:tc>
        <w:tc>
          <w:tcPr>
            <w:tcW w:w="1500" w:type="dxa"/>
            <w:vAlign w:val="bottom"/>
          </w:tcPr>
          <w:p>
            <w:pPr>
              <w:spacing w:after="0"/>
              <w:rPr>
                <w:sz w:val="21"/>
                <w:szCs w:val="21"/>
                <w:color w:val="auto"/>
              </w:rPr>
            </w:pPr>
          </w:p>
        </w:tc>
      </w:tr>
      <w:tr>
        <w:trPr>
          <w:trHeight w:val="237"/>
        </w:trPr>
        <w:tc>
          <w:tcPr>
            <w:tcW w:w="1520" w:type="dxa"/>
            <w:vAlign w:val="bottom"/>
          </w:tcPr>
          <w:p>
            <w:pPr>
              <w:spacing w:after="0"/>
              <w:rPr>
                <w:sz w:val="20"/>
                <w:szCs w:val="20"/>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8,959,034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8,497,963</w:t>
            </w:r>
          </w:p>
        </w:tc>
        <w:tc>
          <w:tcPr>
            <w:tcW w:w="1500" w:type="dxa"/>
            <w:vAlign w:val="bottom"/>
          </w:tcPr>
          <w:p>
            <w:pPr>
              <w:spacing w:after="0"/>
              <w:rPr>
                <w:sz w:val="20"/>
                <w:szCs w:val="20"/>
                <w:color w:val="auto"/>
              </w:rPr>
            </w:pPr>
          </w:p>
        </w:tc>
      </w:tr>
      <w:tr>
        <w:trPr>
          <w:trHeight w:val="236"/>
        </w:trPr>
        <w:tc>
          <w:tcPr>
            <w:tcW w:w="1520" w:type="dxa"/>
            <w:vAlign w:val="bottom"/>
          </w:tcPr>
          <w:p>
            <w:pPr>
              <w:spacing w:after="0"/>
              <w:rPr>
                <w:sz w:val="20"/>
                <w:szCs w:val="20"/>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Equity</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$ 17,031,497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$ 17,185,278</w:t>
            </w:r>
          </w:p>
        </w:tc>
        <w:tc>
          <w:tcPr>
            <w:tcW w:w="1500" w:type="dxa"/>
            <w:vAlign w:val="bottom"/>
          </w:tcPr>
          <w:p>
            <w:pPr>
              <w:spacing w:after="0"/>
              <w:rPr>
                <w:sz w:val="20"/>
                <w:szCs w:val="20"/>
                <w:color w:val="auto"/>
              </w:rPr>
            </w:pPr>
          </w:p>
        </w:tc>
      </w:tr>
      <w:tr>
        <w:trPr>
          <w:trHeight w:val="682"/>
        </w:trPr>
        <w:tc>
          <w:tcPr>
            <w:tcW w:w="152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9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ICON plc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2023 AND SEPTEMBER 30,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5840" w:type="dxa"/>
            <w:vAlign w:val="bottom"/>
          </w:tcPr>
          <w:p>
            <w:pPr>
              <w:ind w:left="3540"/>
              <w:spacing w:after="0"/>
              <w:rPr>
                <w:sz w:val="20"/>
                <w:szCs w:val="20"/>
                <w:color w:val="auto"/>
              </w:rPr>
            </w:pPr>
            <w:r>
              <w:rPr>
                <w:rFonts w:ascii="Arial" w:cs="Arial" w:eastAsia="Arial" w:hAnsi="Arial"/>
                <w:sz w:val="18"/>
                <w:szCs w:val="18"/>
                <w:b w:val="1"/>
                <w:bCs w:val="1"/>
                <w:color w:val="auto"/>
              </w:rPr>
              <w:t>(UNAUDITED)</w:t>
            </w: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18"/>
        </w:trPr>
        <w:tc>
          <w:tcPr>
            <w:tcW w:w="14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4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Nine Months Ended</w:t>
            </w:r>
          </w:p>
        </w:tc>
        <w:tc>
          <w:tcPr>
            <w:tcW w:w="1520" w:type="dxa"/>
            <w:vAlign w:val="bottom"/>
          </w:tcPr>
          <w:p>
            <w:pPr>
              <w:spacing w:after="0"/>
              <w:rPr>
                <w:sz w:val="24"/>
                <w:szCs w:val="24"/>
                <w:color w:val="auto"/>
              </w:rPr>
            </w:pPr>
          </w:p>
        </w:tc>
      </w:tr>
      <w:tr>
        <w:trPr>
          <w:trHeight w:val="225"/>
        </w:trPr>
        <w:tc>
          <w:tcPr>
            <w:tcW w:w="148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September 30,</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89"/>
              </w:rPr>
              <w:t>September 30,</w:t>
            </w:r>
          </w:p>
        </w:tc>
        <w:tc>
          <w:tcPr>
            <w:tcW w:w="1520" w:type="dxa"/>
            <w:vAlign w:val="bottom"/>
          </w:tcPr>
          <w:p>
            <w:pPr>
              <w:spacing w:after="0"/>
              <w:rPr>
                <w:sz w:val="19"/>
                <w:szCs w:val="19"/>
                <w:color w:val="auto"/>
              </w:rPr>
            </w:pPr>
          </w:p>
        </w:tc>
      </w:tr>
      <w:tr>
        <w:trPr>
          <w:trHeight w:val="234"/>
        </w:trPr>
        <w:tc>
          <w:tcPr>
            <w:tcW w:w="148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1520" w:type="dxa"/>
            <w:vAlign w:val="bottom"/>
          </w:tcPr>
          <w:p>
            <w:pPr>
              <w:spacing w:after="0"/>
              <w:rPr>
                <w:sz w:val="20"/>
                <w:szCs w:val="20"/>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240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(in thousands)</w:t>
            </w: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1200" w:type="dxa"/>
            <w:vAlign w:val="bottom"/>
          </w:tcPr>
          <w:p>
            <w:pPr>
              <w:jc w:val="right"/>
              <w:spacing w:after="0"/>
              <w:rPr>
                <w:sz w:val="20"/>
                <w:szCs w:val="20"/>
                <w:color w:val="auto"/>
              </w:rPr>
            </w:pPr>
            <w:r>
              <w:rPr>
                <w:rFonts w:ascii="Arial" w:cs="Arial" w:eastAsia="Arial" w:hAnsi="Arial"/>
                <w:sz w:val="18"/>
                <w:szCs w:val="18"/>
                <w:color w:val="auto"/>
              </w:rPr>
              <w:t>$ 395,917</w:t>
            </w:r>
          </w:p>
        </w:tc>
        <w:tc>
          <w:tcPr>
            <w:tcW w:w="1200" w:type="dxa"/>
            <w:vAlign w:val="bottom"/>
          </w:tcPr>
          <w:p>
            <w:pPr>
              <w:jc w:val="right"/>
              <w:spacing w:after="0"/>
              <w:rPr>
                <w:sz w:val="20"/>
                <w:szCs w:val="20"/>
                <w:color w:val="auto"/>
              </w:rPr>
            </w:pPr>
            <w:r>
              <w:rPr>
                <w:rFonts w:ascii="Arial" w:cs="Arial" w:eastAsia="Arial" w:hAnsi="Arial"/>
                <w:sz w:val="18"/>
                <w:szCs w:val="18"/>
                <w:color w:val="auto"/>
              </w:rPr>
              <w:t>$ 387,859</w:t>
            </w: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w w:val="91"/>
              </w:rPr>
              <w:t>Adjustments to reconcile net income to net cash provided by operating activities:</w:t>
            </w:r>
          </w:p>
        </w:tc>
        <w:tc>
          <w:tcPr>
            <w:tcW w:w="1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200" w:type="dxa"/>
            <w:vAlign w:val="bottom"/>
          </w:tcPr>
          <w:p>
            <w:pPr>
              <w:jc w:val="right"/>
              <w:spacing w:after="0"/>
              <w:rPr>
                <w:sz w:val="20"/>
                <w:szCs w:val="20"/>
                <w:color w:val="auto"/>
              </w:rPr>
            </w:pPr>
            <w:r>
              <w:rPr>
                <w:rFonts w:ascii="Arial" w:cs="Arial" w:eastAsia="Arial" w:hAnsi="Arial"/>
                <w:sz w:val="18"/>
                <w:szCs w:val="18"/>
                <w:color w:val="auto"/>
              </w:rPr>
              <w:t>436,217</w:t>
            </w:r>
          </w:p>
        </w:tc>
        <w:tc>
          <w:tcPr>
            <w:tcW w:w="1200" w:type="dxa"/>
            <w:vAlign w:val="bottom"/>
          </w:tcPr>
          <w:p>
            <w:pPr>
              <w:jc w:val="right"/>
              <w:spacing w:after="0"/>
              <w:rPr>
                <w:sz w:val="20"/>
                <w:szCs w:val="20"/>
                <w:color w:val="auto"/>
              </w:rPr>
            </w:pPr>
            <w:r>
              <w:rPr>
                <w:rFonts w:ascii="Arial" w:cs="Arial" w:eastAsia="Arial" w:hAnsi="Arial"/>
                <w:sz w:val="18"/>
                <w:szCs w:val="18"/>
                <w:color w:val="auto"/>
              </w:rPr>
              <w:t>427,285</w:t>
            </w: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Impairment of long lived assets</w:t>
            </w:r>
          </w:p>
        </w:tc>
        <w:tc>
          <w:tcPr>
            <w:tcW w:w="1200" w:type="dxa"/>
            <w:vAlign w:val="bottom"/>
          </w:tcPr>
          <w:p>
            <w:pPr>
              <w:jc w:val="right"/>
              <w:spacing w:after="0"/>
              <w:rPr>
                <w:sz w:val="20"/>
                <w:szCs w:val="20"/>
                <w:color w:val="auto"/>
              </w:rPr>
            </w:pPr>
            <w:r>
              <w:rPr>
                <w:rFonts w:ascii="Arial" w:cs="Arial" w:eastAsia="Arial" w:hAnsi="Arial"/>
                <w:sz w:val="18"/>
                <w:szCs w:val="18"/>
                <w:color w:val="auto"/>
              </w:rPr>
              <w:t>8,845</w:t>
            </w:r>
          </w:p>
        </w:tc>
        <w:tc>
          <w:tcPr>
            <w:tcW w:w="1200" w:type="dxa"/>
            <w:vAlign w:val="bottom"/>
          </w:tcPr>
          <w:p>
            <w:pPr>
              <w:jc w:val="right"/>
              <w:spacing w:after="0"/>
              <w:rPr>
                <w:sz w:val="20"/>
                <w:szCs w:val="20"/>
                <w:color w:val="auto"/>
              </w:rPr>
            </w:pPr>
            <w:r>
              <w:rPr>
                <w:rFonts w:ascii="Arial" w:cs="Arial" w:eastAsia="Arial" w:hAnsi="Arial"/>
                <w:sz w:val="18"/>
                <w:szCs w:val="18"/>
                <w:color w:val="auto"/>
              </w:rPr>
              <w:t>27,727</w:t>
            </w: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Reduction in carrying value of operating right-of-use assets</w:t>
            </w:r>
          </w:p>
        </w:tc>
        <w:tc>
          <w:tcPr>
            <w:tcW w:w="1200" w:type="dxa"/>
            <w:vAlign w:val="bottom"/>
          </w:tcPr>
          <w:p>
            <w:pPr>
              <w:jc w:val="right"/>
              <w:spacing w:after="0"/>
              <w:rPr>
                <w:sz w:val="20"/>
                <w:szCs w:val="20"/>
                <w:color w:val="auto"/>
              </w:rPr>
            </w:pPr>
            <w:r>
              <w:rPr>
                <w:rFonts w:ascii="Arial" w:cs="Arial" w:eastAsia="Arial" w:hAnsi="Arial"/>
                <w:sz w:val="18"/>
                <w:szCs w:val="18"/>
                <w:color w:val="auto"/>
              </w:rPr>
              <w:t>33,979</w:t>
            </w:r>
          </w:p>
        </w:tc>
        <w:tc>
          <w:tcPr>
            <w:tcW w:w="1200" w:type="dxa"/>
            <w:vAlign w:val="bottom"/>
          </w:tcPr>
          <w:p>
            <w:pPr>
              <w:jc w:val="right"/>
              <w:spacing w:after="0"/>
              <w:rPr>
                <w:sz w:val="20"/>
                <w:szCs w:val="20"/>
                <w:color w:val="auto"/>
              </w:rPr>
            </w:pPr>
            <w:r>
              <w:rPr>
                <w:rFonts w:ascii="Arial" w:cs="Arial" w:eastAsia="Arial" w:hAnsi="Arial"/>
                <w:sz w:val="18"/>
                <w:szCs w:val="18"/>
                <w:color w:val="auto"/>
              </w:rPr>
              <w:t>35,238</w:t>
            </w: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Loss on equity method investments</w:t>
            </w:r>
          </w:p>
        </w:tc>
        <w:tc>
          <w:tcPr>
            <w:tcW w:w="1200" w:type="dxa"/>
            <w:vAlign w:val="bottom"/>
          </w:tcPr>
          <w:p>
            <w:pPr>
              <w:jc w:val="right"/>
              <w:spacing w:after="0"/>
              <w:rPr>
                <w:sz w:val="20"/>
                <w:szCs w:val="20"/>
                <w:color w:val="auto"/>
              </w:rPr>
            </w:pPr>
            <w:r>
              <w:rPr>
                <w:rFonts w:ascii="Arial" w:cs="Arial" w:eastAsia="Arial" w:hAnsi="Arial"/>
                <w:sz w:val="18"/>
                <w:szCs w:val="18"/>
                <w:color w:val="auto"/>
              </w:rPr>
              <w:t>383</w:t>
            </w:r>
          </w:p>
        </w:tc>
        <w:tc>
          <w:tcPr>
            <w:tcW w:w="1200" w:type="dxa"/>
            <w:vAlign w:val="bottom"/>
          </w:tcPr>
          <w:p>
            <w:pPr>
              <w:jc w:val="right"/>
              <w:spacing w:after="0"/>
              <w:rPr>
                <w:sz w:val="20"/>
                <w:szCs w:val="20"/>
                <w:color w:val="auto"/>
              </w:rPr>
            </w:pPr>
            <w:r>
              <w:rPr>
                <w:rFonts w:ascii="Arial" w:cs="Arial" w:eastAsia="Arial" w:hAnsi="Arial"/>
                <w:sz w:val="18"/>
                <w:szCs w:val="18"/>
                <w:color w:val="auto"/>
              </w:rPr>
              <w:t>2,643</w:t>
            </w: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Acquisition related gain</w:t>
            </w:r>
          </w:p>
        </w:tc>
        <w:tc>
          <w:tcPr>
            <w:tcW w:w="1200" w:type="dxa"/>
            <w:vAlign w:val="bottom"/>
          </w:tcPr>
          <w:p>
            <w:pPr>
              <w:jc w:val="right"/>
              <w:spacing w:after="0"/>
              <w:rPr>
                <w:sz w:val="20"/>
                <w:szCs w:val="20"/>
                <w:color w:val="auto"/>
              </w:rPr>
            </w:pPr>
            <w:r>
              <w:rPr>
                <w:rFonts w:ascii="Arial" w:cs="Arial" w:eastAsia="Arial" w:hAnsi="Arial"/>
                <w:sz w:val="18"/>
                <w:szCs w:val="18"/>
                <w:color w:val="auto"/>
              </w:rPr>
              <w:t>(6,160)</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Charge on cash flow hedge</w:t>
            </w:r>
          </w:p>
        </w:tc>
        <w:tc>
          <w:tcPr>
            <w:tcW w:w="1200" w:type="dxa"/>
            <w:vAlign w:val="bottom"/>
          </w:tcPr>
          <w:p>
            <w:pPr>
              <w:jc w:val="right"/>
              <w:spacing w:after="0"/>
              <w:rPr>
                <w:sz w:val="20"/>
                <w:szCs w:val="20"/>
                <w:color w:val="auto"/>
              </w:rPr>
            </w:pPr>
            <w:r>
              <w:rPr>
                <w:rFonts w:ascii="Arial" w:cs="Arial" w:eastAsia="Arial" w:hAnsi="Arial"/>
                <w:sz w:val="18"/>
                <w:szCs w:val="18"/>
                <w:color w:val="auto"/>
              </w:rPr>
              <w:t>3,335</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Amortization of financing costs and debt discount</w:t>
            </w:r>
          </w:p>
        </w:tc>
        <w:tc>
          <w:tcPr>
            <w:tcW w:w="1200" w:type="dxa"/>
            <w:vAlign w:val="bottom"/>
          </w:tcPr>
          <w:p>
            <w:pPr>
              <w:jc w:val="right"/>
              <w:spacing w:after="0"/>
              <w:rPr>
                <w:sz w:val="20"/>
                <w:szCs w:val="20"/>
                <w:color w:val="auto"/>
              </w:rPr>
            </w:pPr>
            <w:r>
              <w:rPr>
                <w:rFonts w:ascii="Arial" w:cs="Arial" w:eastAsia="Arial" w:hAnsi="Arial"/>
                <w:sz w:val="18"/>
                <w:szCs w:val="18"/>
                <w:color w:val="auto"/>
              </w:rPr>
              <w:t>12,485</w:t>
            </w:r>
          </w:p>
        </w:tc>
        <w:tc>
          <w:tcPr>
            <w:tcW w:w="1200" w:type="dxa"/>
            <w:vAlign w:val="bottom"/>
          </w:tcPr>
          <w:p>
            <w:pPr>
              <w:jc w:val="right"/>
              <w:spacing w:after="0"/>
              <w:rPr>
                <w:sz w:val="20"/>
                <w:szCs w:val="20"/>
                <w:color w:val="auto"/>
              </w:rPr>
            </w:pPr>
            <w:r>
              <w:rPr>
                <w:rFonts w:ascii="Arial" w:cs="Arial" w:eastAsia="Arial" w:hAnsi="Arial"/>
                <w:sz w:val="18"/>
                <w:szCs w:val="18"/>
                <w:color w:val="auto"/>
              </w:rPr>
              <w:t>13,544</w:t>
            </w: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200" w:type="dxa"/>
            <w:vAlign w:val="bottom"/>
          </w:tcPr>
          <w:p>
            <w:pPr>
              <w:jc w:val="right"/>
              <w:spacing w:after="0"/>
              <w:rPr>
                <w:sz w:val="20"/>
                <w:szCs w:val="20"/>
                <w:color w:val="auto"/>
              </w:rPr>
            </w:pPr>
            <w:r>
              <w:rPr>
                <w:rFonts w:ascii="Arial" w:cs="Arial" w:eastAsia="Arial" w:hAnsi="Arial"/>
                <w:sz w:val="18"/>
                <w:szCs w:val="18"/>
                <w:color w:val="auto"/>
              </w:rPr>
              <w:t>47,303</w:t>
            </w:r>
          </w:p>
        </w:tc>
        <w:tc>
          <w:tcPr>
            <w:tcW w:w="1200" w:type="dxa"/>
            <w:vAlign w:val="bottom"/>
          </w:tcPr>
          <w:p>
            <w:pPr>
              <w:jc w:val="right"/>
              <w:spacing w:after="0"/>
              <w:rPr>
                <w:sz w:val="20"/>
                <w:szCs w:val="20"/>
                <w:color w:val="auto"/>
              </w:rPr>
            </w:pPr>
            <w:r>
              <w:rPr>
                <w:rFonts w:ascii="Arial" w:cs="Arial" w:eastAsia="Arial" w:hAnsi="Arial"/>
                <w:sz w:val="18"/>
                <w:szCs w:val="18"/>
                <w:color w:val="auto"/>
              </w:rPr>
              <w:t>55,703</w:t>
            </w: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Deferred taxes</w:t>
            </w:r>
          </w:p>
        </w:tc>
        <w:tc>
          <w:tcPr>
            <w:tcW w:w="1200" w:type="dxa"/>
            <w:vAlign w:val="bottom"/>
          </w:tcPr>
          <w:p>
            <w:pPr>
              <w:jc w:val="right"/>
              <w:spacing w:after="0"/>
              <w:rPr>
                <w:sz w:val="20"/>
                <w:szCs w:val="20"/>
                <w:color w:val="auto"/>
              </w:rPr>
            </w:pPr>
            <w:r>
              <w:rPr>
                <w:rFonts w:ascii="Arial" w:cs="Arial" w:eastAsia="Arial" w:hAnsi="Arial"/>
                <w:sz w:val="18"/>
                <w:szCs w:val="18"/>
                <w:color w:val="auto"/>
              </w:rPr>
              <w:t>(114,487)</w:t>
            </w:r>
          </w:p>
        </w:tc>
        <w:tc>
          <w:tcPr>
            <w:tcW w:w="1200" w:type="dxa"/>
            <w:vAlign w:val="bottom"/>
          </w:tcPr>
          <w:p>
            <w:pPr>
              <w:jc w:val="right"/>
              <w:spacing w:after="0"/>
              <w:rPr>
                <w:sz w:val="20"/>
                <w:szCs w:val="20"/>
                <w:color w:val="auto"/>
              </w:rPr>
            </w:pPr>
            <w:r>
              <w:rPr>
                <w:rFonts w:ascii="Arial" w:cs="Arial" w:eastAsia="Arial" w:hAnsi="Arial"/>
                <w:sz w:val="18"/>
                <w:szCs w:val="18"/>
                <w:color w:val="auto"/>
              </w:rPr>
              <w:t>(126,620)</w:t>
            </w: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Foreign exchange movements</w:t>
            </w:r>
          </w:p>
        </w:tc>
        <w:tc>
          <w:tcPr>
            <w:tcW w:w="1200" w:type="dxa"/>
            <w:vAlign w:val="bottom"/>
          </w:tcPr>
          <w:p>
            <w:pPr>
              <w:jc w:val="right"/>
              <w:spacing w:after="0"/>
              <w:rPr>
                <w:sz w:val="20"/>
                <w:szCs w:val="20"/>
                <w:color w:val="auto"/>
              </w:rPr>
            </w:pPr>
            <w:r>
              <w:rPr>
                <w:rFonts w:ascii="Arial" w:cs="Arial" w:eastAsia="Arial" w:hAnsi="Arial"/>
                <w:sz w:val="18"/>
                <w:szCs w:val="18"/>
                <w:color w:val="auto"/>
              </w:rPr>
              <w:t>(7,670)</w:t>
            </w:r>
          </w:p>
        </w:tc>
        <w:tc>
          <w:tcPr>
            <w:tcW w:w="1200" w:type="dxa"/>
            <w:vAlign w:val="bottom"/>
          </w:tcPr>
          <w:p>
            <w:pPr>
              <w:jc w:val="right"/>
              <w:spacing w:after="0"/>
              <w:rPr>
                <w:sz w:val="20"/>
                <w:szCs w:val="20"/>
                <w:color w:val="auto"/>
              </w:rPr>
            </w:pPr>
            <w:r>
              <w:rPr>
                <w:rFonts w:ascii="Arial" w:cs="Arial" w:eastAsia="Arial" w:hAnsi="Arial"/>
                <w:sz w:val="18"/>
                <w:szCs w:val="18"/>
                <w:color w:val="auto"/>
              </w:rPr>
              <w:t>(52,334)</w:t>
            </w: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 non-cash items</w:t>
            </w:r>
          </w:p>
        </w:tc>
        <w:tc>
          <w:tcPr>
            <w:tcW w:w="1200" w:type="dxa"/>
            <w:vAlign w:val="bottom"/>
          </w:tcPr>
          <w:p>
            <w:pPr>
              <w:jc w:val="right"/>
              <w:spacing w:after="0"/>
              <w:rPr>
                <w:sz w:val="20"/>
                <w:szCs w:val="20"/>
                <w:color w:val="auto"/>
              </w:rPr>
            </w:pPr>
            <w:r>
              <w:rPr>
                <w:rFonts w:ascii="Arial" w:cs="Arial" w:eastAsia="Arial" w:hAnsi="Arial"/>
                <w:sz w:val="18"/>
                <w:szCs w:val="18"/>
                <w:color w:val="auto"/>
              </w:rPr>
              <w:t>21,966</w:t>
            </w:r>
          </w:p>
        </w:tc>
        <w:tc>
          <w:tcPr>
            <w:tcW w:w="1200" w:type="dxa"/>
            <w:vAlign w:val="bottom"/>
          </w:tcPr>
          <w:p>
            <w:pPr>
              <w:jc w:val="right"/>
              <w:spacing w:after="0"/>
              <w:rPr>
                <w:sz w:val="20"/>
                <w:szCs w:val="20"/>
                <w:color w:val="auto"/>
              </w:rPr>
            </w:pPr>
            <w:r>
              <w:rPr>
                <w:rFonts w:ascii="Arial" w:cs="Arial" w:eastAsia="Arial" w:hAnsi="Arial"/>
                <w:sz w:val="18"/>
                <w:szCs w:val="18"/>
                <w:color w:val="auto"/>
              </w:rPr>
              <w:t>18,595</w:t>
            </w: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1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Accounts receivable</w:t>
            </w:r>
          </w:p>
        </w:tc>
        <w:tc>
          <w:tcPr>
            <w:tcW w:w="1200" w:type="dxa"/>
            <w:vAlign w:val="bottom"/>
          </w:tcPr>
          <w:p>
            <w:pPr>
              <w:jc w:val="right"/>
              <w:spacing w:after="0"/>
              <w:rPr>
                <w:sz w:val="20"/>
                <w:szCs w:val="20"/>
                <w:color w:val="auto"/>
              </w:rPr>
            </w:pPr>
            <w:r>
              <w:rPr>
                <w:rFonts w:ascii="Arial" w:cs="Arial" w:eastAsia="Arial" w:hAnsi="Arial"/>
                <w:sz w:val="18"/>
                <w:szCs w:val="18"/>
                <w:color w:val="auto"/>
              </w:rPr>
              <w:t>(139,096)</w:t>
            </w:r>
          </w:p>
        </w:tc>
        <w:tc>
          <w:tcPr>
            <w:tcW w:w="1200" w:type="dxa"/>
            <w:vAlign w:val="bottom"/>
          </w:tcPr>
          <w:p>
            <w:pPr>
              <w:jc w:val="right"/>
              <w:spacing w:after="0"/>
              <w:rPr>
                <w:sz w:val="20"/>
                <w:szCs w:val="20"/>
                <w:color w:val="auto"/>
              </w:rPr>
            </w:pPr>
            <w:r>
              <w:rPr>
                <w:rFonts w:ascii="Arial" w:cs="Arial" w:eastAsia="Arial" w:hAnsi="Arial"/>
                <w:sz w:val="18"/>
                <w:szCs w:val="18"/>
                <w:color w:val="auto"/>
              </w:rPr>
              <w:t>(140,760)</w:t>
            </w: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Unbilled revenue</w:t>
            </w:r>
          </w:p>
        </w:tc>
        <w:tc>
          <w:tcPr>
            <w:tcW w:w="1200" w:type="dxa"/>
            <w:vAlign w:val="bottom"/>
          </w:tcPr>
          <w:p>
            <w:pPr>
              <w:jc w:val="right"/>
              <w:spacing w:after="0"/>
              <w:rPr>
                <w:sz w:val="20"/>
                <w:szCs w:val="20"/>
                <w:color w:val="auto"/>
              </w:rPr>
            </w:pPr>
            <w:r>
              <w:rPr>
                <w:rFonts w:ascii="Arial" w:cs="Arial" w:eastAsia="Arial" w:hAnsi="Arial"/>
                <w:sz w:val="18"/>
                <w:szCs w:val="18"/>
                <w:color w:val="auto"/>
              </w:rPr>
              <w:t>14,370</w:t>
            </w:r>
          </w:p>
        </w:tc>
        <w:tc>
          <w:tcPr>
            <w:tcW w:w="1200" w:type="dxa"/>
            <w:vAlign w:val="bottom"/>
          </w:tcPr>
          <w:p>
            <w:pPr>
              <w:jc w:val="right"/>
              <w:spacing w:after="0"/>
              <w:rPr>
                <w:sz w:val="20"/>
                <w:szCs w:val="20"/>
                <w:color w:val="auto"/>
              </w:rPr>
            </w:pPr>
            <w:r>
              <w:rPr>
                <w:rFonts w:ascii="Arial" w:cs="Arial" w:eastAsia="Arial" w:hAnsi="Arial"/>
                <w:sz w:val="18"/>
                <w:szCs w:val="18"/>
                <w:color w:val="auto"/>
              </w:rPr>
              <w:t>(221,104)</w:t>
            </w: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Unearned revenue</w:t>
            </w:r>
          </w:p>
        </w:tc>
        <w:tc>
          <w:tcPr>
            <w:tcW w:w="1200" w:type="dxa"/>
            <w:vAlign w:val="bottom"/>
          </w:tcPr>
          <w:p>
            <w:pPr>
              <w:jc w:val="right"/>
              <w:spacing w:after="0"/>
              <w:rPr>
                <w:sz w:val="20"/>
                <w:szCs w:val="20"/>
                <w:color w:val="auto"/>
              </w:rPr>
            </w:pPr>
            <w:r>
              <w:rPr>
                <w:rFonts w:ascii="Arial" w:cs="Arial" w:eastAsia="Arial" w:hAnsi="Arial"/>
                <w:sz w:val="18"/>
                <w:szCs w:val="18"/>
                <w:color w:val="auto"/>
              </w:rPr>
              <w:t>158,269</w:t>
            </w:r>
          </w:p>
        </w:tc>
        <w:tc>
          <w:tcPr>
            <w:tcW w:w="1200" w:type="dxa"/>
            <w:vAlign w:val="bottom"/>
          </w:tcPr>
          <w:p>
            <w:pPr>
              <w:jc w:val="right"/>
              <w:spacing w:after="0"/>
              <w:rPr>
                <w:sz w:val="20"/>
                <w:szCs w:val="20"/>
                <w:color w:val="auto"/>
              </w:rPr>
            </w:pPr>
            <w:r>
              <w:rPr>
                <w:rFonts w:ascii="Arial" w:cs="Arial" w:eastAsia="Arial" w:hAnsi="Arial"/>
                <w:sz w:val="18"/>
                <w:szCs w:val="18"/>
                <w:color w:val="auto"/>
              </w:rPr>
              <w:t>28,352</w:t>
            </w:r>
          </w:p>
        </w:tc>
        <w:tc>
          <w:tcPr>
            <w:tcW w:w="1520" w:type="dxa"/>
            <w:vAlign w:val="bottom"/>
          </w:tcPr>
          <w:p>
            <w:pPr>
              <w:spacing w:after="0"/>
              <w:rPr>
                <w:sz w:val="21"/>
                <w:szCs w:val="21"/>
                <w:color w:val="auto"/>
              </w:rPr>
            </w:pPr>
          </w:p>
        </w:tc>
      </w:tr>
      <w:tr>
        <w:trPr>
          <w:trHeight w:val="250"/>
        </w:trPr>
        <w:tc>
          <w:tcPr>
            <w:tcW w:w="1480" w:type="dxa"/>
            <w:vAlign w:val="bottom"/>
          </w:tcPr>
          <w:p>
            <w:pPr>
              <w:spacing w:after="0"/>
              <w:rPr>
                <w:sz w:val="21"/>
                <w:szCs w:val="21"/>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 assets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(144,760)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166,613</w:t>
            </w:r>
          </w:p>
        </w:tc>
        <w:tc>
          <w:tcPr>
            <w:tcW w:w="1520" w:type="dxa"/>
            <w:vAlign w:val="bottom"/>
          </w:tcPr>
          <w:p>
            <w:pPr>
              <w:spacing w:after="0"/>
              <w:rPr>
                <w:sz w:val="21"/>
                <w:szCs w:val="21"/>
                <w:color w:val="auto"/>
              </w:rPr>
            </w:pPr>
          </w:p>
        </w:tc>
      </w:tr>
      <w:tr>
        <w:trPr>
          <w:trHeight w:val="230"/>
        </w:trPr>
        <w:tc>
          <w:tcPr>
            <w:tcW w:w="14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200" w:type="dxa"/>
            <w:vAlign w:val="bottom"/>
          </w:tcPr>
          <w:p>
            <w:pPr>
              <w:jc w:val="right"/>
              <w:spacing w:after="0"/>
              <w:rPr>
                <w:sz w:val="20"/>
                <w:szCs w:val="20"/>
                <w:color w:val="auto"/>
              </w:rPr>
            </w:pPr>
            <w:r>
              <w:rPr>
                <w:rFonts w:ascii="Arial" w:cs="Arial" w:eastAsia="Arial" w:hAnsi="Arial"/>
                <w:sz w:val="18"/>
                <w:szCs w:val="18"/>
                <w:color w:val="auto"/>
              </w:rPr>
              <w:t>720,896</w:t>
            </w:r>
          </w:p>
        </w:tc>
        <w:tc>
          <w:tcPr>
            <w:tcW w:w="1200" w:type="dxa"/>
            <w:vAlign w:val="bottom"/>
          </w:tcPr>
          <w:p>
            <w:pPr>
              <w:jc w:val="right"/>
              <w:spacing w:after="0"/>
              <w:rPr>
                <w:sz w:val="20"/>
                <w:szCs w:val="20"/>
                <w:color w:val="auto"/>
              </w:rPr>
            </w:pPr>
            <w:r>
              <w:rPr>
                <w:rFonts w:ascii="Arial" w:cs="Arial" w:eastAsia="Arial" w:hAnsi="Arial"/>
                <w:sz w:val="18"/>
                <w:szCs w:val="18"/>
                <w:color w:val="auto"/>
              </w:rPr>
              <w:t>622,741</w:t>
            </w:r>
          </w:p>
        </w:tc>
        <w:tc>
          <w:tcPr>
            <w:tcW w:w="1520" w:type="dxa"/>
            <w:vAlign w:val="bottom"/>
          </w:tcPr>
          <w:p>
            <w:pPr>
              <w:spacing w:after="0"/>
              <w:rPr>
                <w:sz w:val="20"/>
                <w:szCs w:val="20"/>
                <w:color w:val="auto"/>
              </w:rPr>
            </w:pPr>
          </w:p>
        </w:tc>
      </w:tr>
      <w:tr>
        <w:trPr>
          <w:trHeight w:val="242"/>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1200" w:type="dxa"/>
            <w:vAlign w:val="bottom"/>
          </w:tcPr>
          <w:p>
            <w:pPr>
              <w:jc w:val="right"/>
              <w:spacing w:after="0"/>
              <w:rPr>
                <w:sz w:val="20"/>
                <w:szCs w:val="20"/>
                <w:color w:val="auto"/>
              </w:rPr>
            </w:pPr>
            <w:r>
              <w:rPr>
                <w:rFonts w:ascii="Arial" w:cs="Arial" w:eastAsia="Arial" w:hAnsi="Arial"/>
                <w:sz w:val="18"/>
                <w:szCs w:val="18"/>
                <w:color w:val="auto"/>
              </w:rPr>
              <w:t>(87,980)</w:t>
            </w:r>
          </w:p>
        </w:tc>
        <w:tc>
          <w:tcPr>
            <w:tcW w:w="1200" w:type="dxa"/>
            <w:vAlign w:val="bottom"/>
          </w:tcPr>
          <w:p>
            <w:pPr>
              <w:jc w:val="right"/>
              <w:spacing w:after="0"/>
              <w:rPr>
                <w:sz w:val="20"/>
                <w:szCs w:val="20"/>
                <w:color w:val="auto"/>
              </w:rPr>
            </w:pPr>
            <w:r>
              <w:rPr>
                <w:rFonts w:ascii="Arial" w:cs="Arial" w:eastAsia="Arial" w:hAnsi="Arial"/>
                <w:sz w:val="18"/>
                <w:szCs w:val="18"/>
                <w:color w:val="auto"/>
              </w:rPr>
              <w:t>(85,145)</w:t>
            </w: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Purchase of subsidiary undertakings</w:t>
            </w:r>
          </w:p>
        </w:tc>
        <w:tc>
          <w:tcPr>
            <w:tcW w:w="1200" w:type="dxa"/>
            <w:vAlign w:val="bottom"/>
          </w:tcPr>
          <w:p>
            <w:pPr>
              <w:jc w:val="right"/>
              <w:spacing w:after="0"/>
              <w:rPr>
                <w:sz w:val="20"/>
                <w:szCs w:val="20"/>
                <w:color w:val="auto"/>
              </w:rPr>
            </w:pPr>
            <w:r>
              <w:rPr>
                <w:rFonts w:ascii="Arial" w:cs="Arial" w:eastAsia="Arial" w:hAnsi="Arial"/>
                <w:sz w:val="18"/>
                <w:szCs w:val="18"/>
                <w:color w:val="auto"/>
              </w:rPr>
              <w:t>(5,100)</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Purchase of investments in equity - long term</w:t>
            </w:r>
          </w:p>
        </w:tc>
        <w:tc>
          <w:tcPr>
            <w:tcW w:w="1200" w:type="dxa"/>
            <w:vAlign w:val="bottom"/>
          </w:tcPr>
          <w:p>
            <w:pPr>
              <w:jc w:val="right"/>
              <w:spacing w:after="0"/>
              <w:rPr>
                <w:sz w:val="20"/>
                <w:szCs w:val="20"/>
                <w:color w:val="auto"/>
              </w:rPr>
            </w:pPr>
            <w:r>
              <w:rPr>
                <w:rFonts w:ascii="Arial" w:cs="Arial" w:eastAsia="Arial" w:hAnsi="Arial"/>
                <w:sz w:val="18"/>
                <w:szCs w:val="18"/>
                <w:color w:val="auto"/>
              </w:rPr>
              <w:t>(10,829)</w:t>
            </w:r>
          </w:p>
        </w:tc>
        <w:tc>
          <w:tcPr>
            <w:tcW w:w="1200" w:type="dxa"/>
            <w:vAlign w:val="bottom"/>
          </w:tcPr>
          <w:p>
            <w:pPr>
              <w:jc w:val="right"/>
              <w:spacing w:after="0"/>
              <w:rPr>
                <w:sz w:val="20"/>
                <w:szCs w:val="20"/>
                <w:color w:val="auto"/>
              </w:rPr>
            </w:pPr>
            <w:r>
              <w:rPr>
                <w:rFonts w:ascii="Arial" w:cs="Arial" w:eastAsia="Arial" w:hAnsi="Arial"/>
                <w:sz w:val="18"/>
                <w:szCs w:val="18"/>
                <w:color w:val="auto"/>
              </w:rPr>
              <w:t>(1,840)</w:t>
            </w: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Sale of available for sale investments</w:t>
            </w:r>
          </w:p>
        </w:tc>
        <w:tc>
          <w:tcPr>
            <w:tcW w:w="1200" w:type="dxa"/>
            <w:vAlign w:val="bottom"/>
          </w:tcPr>
          <w:p>
            <w:pPr>
              <w:jc w:val="right"/>
              <w:spacing w:after="0"/>
              <w:rPr>
                <w:sz w:val="20"/>
                <w:szCs w:val="20"/>
                <w:color w:val="auto"/>
              </w:rPr>
            </w:pPr>
            <w:r>
              <w:rPr>
                <w:rFonts w:ascii="Arial" w:cs="Arial" w:eastAsia="Arial" w:hAnsi="Arial"/>
                <w:sz w:val="18"/>
                <w:szCs w:val="18"/>
                <w:color w:val="auto"/>
              </w:rPr>
              <w:t>1,611</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21"/>
                <w:szCs w:val="21"/>
                <w:color w:val="auto"/>
              </w:rPr>
            </w:pPr>
          </w:p>
        </w:tc>
      </w:tr>
      <w:tr>
        <w:trPr>
          <w:trHeight w:val="250"/>
        </w:trPr>
        <w:tc>
          <w:tcPr>
            <w:tcW w:w="1480" w:type="dxa"/>
            <w:vAlign w:val="bottom"/>
          </w:tcPr>
          <w:p>
            <w:pPr>
              <w:spacing w:after="0"/>
              <w:rPr>
                <w:sz w:val="21"/>
                <w:szCs w:val="21"/>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of available for sale investments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21"/>
                <w:szCs w:val="21"/>
                <w:color w:val="auto"/>
              </w:rPr>
            </w:pPr>
          </w:p>
        </w:tc>
      </w:tr>
      <w:tr>
        <w:trPr>
          <w:trHeight w:val="230"/>
        </w:trPr>
        <w:tc>
          <w:tcPr>
            <w:tcW w:w="14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tcPr>
          <w:p>
            <w:pPr>
              <w:jc w:val="right"/>
              <w:spacing w:after="0"/>
              <w:rPr>
                <w:sz w:val="20"/>
                <w:szCs w:val="20"/>
                <w:color w:val="auto"/>
              </w:rPr>
            </w:pPr>
            <w:r>
              <w:rPr>
                <w:rFonts w:ascii="Arial" w:cs="Arial" w:eastAsia="Arial" w:hAnsi="Arial"/>
                <w:sz w:val="18"/>
                <w:szCs w:val="18"/>
                <w:color w:val="auto"/>
              </w:rPr>
              <w:t>(104,150)</w:t>
            </w:r>
          </w:p>
        </w:tc>
        <w:tc>
          <w:tcPr>
            <w:tcW w:w="1200" w:type="dxa"/>
            <w:vAlign w:val="bottom"/>
          </w:tcPr>
          <w:p>
            <w:pPr>
              <w:jc w:val="right"/>
              <w:spacing w:after="0"/>
              <w:rPr>
                <w:sz w:val="20"/>
                <w:szCs w:val="20"/>
                <w:color w:val="auto"/>
              </w:rPr>
            </w:pPr>
            <w:r>
              <w:rPr>
                <w:rFonts w:ascii="Arial" w:cs="Arial" w:eastAsia="Arial" w:hAnsi="Arial"/>
                <w:sz w:val="18"/>
                <w:szCs w:val="18"/>
                <w:color w:val="auto"/>
              </w:rPr>
              <w:t>(86,985)</w:t>
            </w:r>
          </w:p>
        </w:tc>
        <w:tc>
          <w:tcPr>
            <w:tcW w:w="1520" w:type="dxa"/>
            <w:vAlign w:val="bottom"/>
          </w:tcPr>
          <w:p>
            <w:pPr>
              <w:spacing w:after="0"/>
              <w:rPr>
                <w:sz w:val="20"/>
                <w:szCs w:val="20"/>
                <w:color w:val="auto"/>
              </w:rPr>
            </w:pPr>
          </w:p>
        </w:tc>
      </w:tr>
      <w:tr>
        <w:trPr>
          <w:trHeight w:val="242"/>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Drawdown of bank credit lines and loan facilities</w:t>
            </w:r>
          </w:p>
        </w:tc>
        <w:tc>
          <w:tcPr>
            <w:tcW w:w="1200" w:type="dxa"/>
            <w:vAlign w:val="bottom"/>
          </w:tcPr>
          <w:p>
            <w:pPr>
              <w:jc w:val="right"/>
              <w:spacing w:after="0"/>
              <w:rPr>
                <w:sz w:val="20"/>
                <w:szCs w:val="20"/>
                <w:color w:val="auto"/>
              </w:rPr>
            </w:pPr>
            <w:r>
              <w:rPr>
                <w:rFonts w:ascii="Arial" w:cs="Arial" w:eastAsia="Arial" w:hAnsi="Arial"/>
                <w:sz w:val="18"/>
                <w:szCs w:val="18"/>
                <w:color w:val="auto"/>
              </w:rPr>
              <w:t>305,000</w:t>
            </w:r>
          </w:p>
        </w:tc>
        <w:tc>
          <w:tcPr>
            <w:tcW w:w="1200" w:type="dxa"/>
            <w:vAlign w:val="bottom"/>
          </w:tcPr>
          <w:p>
            <w:pPr>
              <w:jc w:val="right"/>
              <w:spacing w:after="0"/>
              <w:rPr>
                <w:sz w:val="20"/>
                <w:szCs w:val="20"/>
                <w:color w:val="auto"/>
              </w:rPr>
            </w:pPr>
            <w:r>
              <w:rPr>
                <w:rFonts w:ascii="Arial" w:cs="Arial" w:eastAsia="Arial" w:hAnsi="Arial"/>
                <w:sz w:val="18"/>
                <w:szCs w:val="18"/>
                <w:color w:val="auto"/>
              </w:rPr>
              <w:t>25,000</w:t>
            </w: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Repayment of bank credit lines and loan facilities</w:t>
            </w:r>
          </w:p>
        </w:tc>
        <w:tc>
          <w:tcPr>
            <w:tcW w:w="1200" w:type="dxa"/>
            <w:vAlign w:val="bottom"/>
          </w:tcPr>
          <w:p>
            <w:pPr>
              <w:jc w:val="right"/>
              <w:spacing w:after="0"/>
              <w:rPr>
                <w:sz w:val="20"/>
                <w:szCs w:val="20"/>
                <w:color w:val="auto"/>
              </w:rPr>
            </w:pPr>
            <w:r>
              <w:rPr>
                <w:rFonts w:ascii="Arial" w:cs="Arial" w:eastAsia="Arial" w:hAnsi="Arial"/>
                <w:sz w:val="18"/>
                <w:szCs w:val="18"/>
                <w:color w:val="auto"/>
              </w:rPr>
              <w:t>(930,000)</w:t>
            </w:r>
          </w:p>
        </w:tc>
        <w:tc>
          <w:tcPr>
            <w:tcW w:w="1200" w:type="dxa"/>
            <w:vAlign w:val="bottom"/>
          </w:tcPr>
          <w:p>
            <w:pPr>
              <w:jc w:val="right"/>
              <w:spacing w:after="0"/>
              <w:rPr>
                <w:sz w:val="20"/>
                <w:szCs w:val="20"/>
                <w:color w:val="auto"/>
              </w:rPr>
            </w:pPr>
            <w:r>
              <w:rPr>
                <w:rFonts w:ascii="Arial" w:cs="Arial" w:eastAsia="Arial" w:hAnsi="Arial"/>
                <w:sz w:val="18"/>
                <w:szCs w:val="18"/>
                <w:color w:val="auto"/>
              </w:rPr>
              <w:t>(625,000)</w:t>
            </w: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Proceeds from exercise of equity compensation</w:t>
            </w:r>
          </w:p>
        </w:tc>
        <w:tc>
          <w:tcPr>
            <w:tcW w:w="1200" w:type="dxa"/>
            <w:vAlign w:val="bottom"/>
          </w:tcPr>
          <w:p>
            <w:pPr>
              <w:jc w:val="right"/>
              <w:spacing w:after="0"/>
              <w:rPr>
                <w:sz w:val="20"/>
                <w:szCs w:val="20"/>
                <w:color w:val="auto"/>
              </w:rPr>
            </w:pPr>
            <w:r>
              <w:rPr>
                <w:rFonts w:ascii="Arial" w:cs="Arial" w:eastAsia="Arial" w:hAnsi="Arial"/>
                <w:sz w:val="18"/>
                <w:szCs w:val="18"/>
                <w:color w:val="auto"/>
              </w:rPr>
              <w:t>36,517</w:t>
            </w:r>
          </w:p>
        </w:tc>
        <w:tc>
          <w:tcPr>
            <w:tcW w:w="1200" w:type="dxa"/>
            <w:vAlign w:val="bottom"/>
          </w:tcPr>
          <w:p>
            <w:pPr>
              <w:jc w:val="right"/>
              <w:spacing w:after="0"/>
              <w:rPr>
                <w:sz w:val="20"/>
                <w:szCs w:val="20"/>
                <w:color w:val="auto"/>
              </w:rPr>
            </w:pPr>
            <w:r>
              <w:rPr>
                <w:rFonts w:ascii="Arial" w:cs="Arial" w:eastAsia="Arial" w:hAnsi="Arial"/>
                <w:sz w:val="18"/>
                <w:szCs w:val="18"/>
                <w:color w:val="auto"/>
              </w:rPr>
              <w:t>28,967</w:t>
            </w: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Share issue costs</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520" w:type="dxa"/>
            <w:vAlign w:val="bottom"/>
          </w:tcPr>
          <w:p>
            <w:pPr>
              <w:spacing w:after="0"/>
              <w:rPr>
                <w:sz w:val="21"/>
                <w:szCs w:val="21"/>
                <w:color w:val="auto"/>
              </w:rPr>
            </w:pPr>
          </w:p>
        </w:tc>
      </w:tr>
      <w:tr>
        <w:trPr>
          <w:trHeight w:val="243"/>
        </w:trPr>
        <w:tc>
          <w:tcPr>
            <w:tcW w:w="148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Repurchase of ordinary shares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(99,983)</w:t>
            </w:r>
          </w:p>
        </w:tc>
        <w:tc>
          <w:tcPr>
            <w:tcW w:w="1520" w:type="dxa"/>
            <w:vAlign w:val="bottom"/>
          </w:tcPr>
          <w:p>
            <w:pPr>
              <w:spacing w:after="0"/>
              <w:rPr>
                <w:sz w:val="21"/>
                <w:szCs w:val="21"/>
                <w:color w:val="auto"/>
              </w:rPr>
            </w:pPr>
          </w:p>
        </w:tc>
      </w:tr>
      <w:tr>
        <w:trPr>
          <w:trHeight w:val="250"/>
        </w:trPr>
        <w:tc>
          <w:tcPr>
            <w:tcW w:w="1480" w:type="dxa"/>
            <w:vAlign w:val="bottom"/>
          </w:tcPr>
          <w:p>
            <w:pPr>
              <w:spacing w:after="0"/>
              <w:rPr>
                <w:sz w:val="21"/>
                <w:szCs w:val="21"/>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repurchase costs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520" w:type="dxa"/>
            <w:vAlign w:val="bottom"/>
          </w:tcPr>
          <w:p>
            <w:pPr>
              <w:spacing w:after="0"/>
              <w:rPr>
                <w:sz w:val="21"/>
                <w:szCs w:val="21"/>
                <w:color w:val="auto"/>
              </w:rPr>
            </w:pPr>
          </w:p>
        </w:tc>
      </w:tr>
      <w:tr>
        <w:trPr>
          <w:trHeight w:val="230"/>
        </w:trPr>
        <w:tc>
          <w:tcPr>
            <w:tcW w:w="14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200" w:type="dxa"/>
            <w:vAlign w:val="bottom"/>
          </w:tcPr>
          <w:p>
            <w:pPr>
              <w:jc w:val="right"/>
              <w:spacing w:after="0"/>
              <w:rPr>
                <w:sz w:val="20"/>
                <w:szCs w:val="20"/>
                <w:color w:val="auto"/>
              </w:rPr>
            </w:pPr>
            <w:r>
              <w:rPr>
                <w:rFonts w:ascii="Arial" w:cs="Arial" w:eastAsia="Arial" w:hAnsi="Arial"/>
                <w:sz w:val="18"/>
                <w:szCs w:val="18"/>
                <w:color w:val="auto"/>
              </w:rPr>
              <w:t>(588,497)</w:t>
            </w:r>
          </w:p>
        </w:tc>
        <w:tc>
          <w:tcPr>
            <w:tcW w:w="1200" w:type="dxa"/>
            <w:vAlign w:val="bottom"/>
          </w:tcPr>
          <w:p>
            <w:pPr>
              <w:jc w:val="right"/>
              <w:spacing w:after="0"/>
              <w:rPr>
                <w:sz w:val="20"/>
                <w:szCs w:val="20"/>
                <w:color w:val="auto"/>
              </w:rPr>
            </w:pPr>
            <w:r>
              <w:rPr>
                <w:rFonts w:ascii="Arial" w:cs="Arial" w:eastAsia="Arial" w:hAnsi="Arial"/>
                <w:sz w:val="18"/>
                <w:szCs w:val="18"/>
                <w:color w:val="auto"/>
              </w:rPr>
              <w:t>(671,036)</w:t>
            </w:r>
          </w:p>
        </w:tc>
        <w:tc>
          <w:tcPr>
            <w:tcW w:w="1520" w:type="dxa"/>
            <w:vAlign w:val="bottom"/>
          </w:tcPr>
          <w:p>
            <w:pPr>
              <w:spacing w:after="0"/>
              <w:rPr>
                <w:sz w:val="20"/>
                <w:szCs w:val="20"/>
                <w:color w:val="auto"/>
              </w:rPr>
            </w:pPr>
          </w:p>
        </w:tc>
      </w:tr>
      <w:tr>
        <w:trPr>
          <w:trHeight w:val="249"/>
        </w:trPr>
        <w:tc>
          <w:tcPr>
            <w:tcW w:w="1480" w:type="dxa"/>
            <w:vAlign w:val="bottom"/>
          </w:tcPr>
          <w:p>
            <w:pPr>
              <w:spacing w:after="0"/>
              <w:rPr>
                <w:sz w:val="21"/>
                <w:szCs w:val="21"/>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exchange rate movements on cash</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(7,775)</w:t>
            </w:r>
          </w:p>
        </w:tc>
        <w:tc>
          <w:tcPr>
            <w:tcW w:w="1520" w:type="dxa"/>
            <w:vAlign w:val="bottom"/>
          </w:tcPr>
          <w:p>
            <w:pPr>
              <w:spacing w:after="0"/>
              <w:rPr>
                <w:sz w:val="21"/>
                <w:szCs w:val="21"/>
                <w:color w:val="auto"/>
              </w:rPr>
            </w:pPr>
          </w:p>
        </w:tc>
      </w:tr>
      <w:tr>
        <w:trPr>
          <w:trHeight w:val="234"/>
        </w:trPr>
        <w:tc>
          <w:tcPr>
            <w:tcW w:w="14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24,297</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(143,055)</w:t>
            </w:r>
          </w:p>
        </w:tc>
        <w:tc>
          <w:tcPr>
            <w:tcW w:w="1520" w:type="dxa"/>
            <w:vAlign w:val="bottom"/>
          </w:tcPr>
          <w:p>
            <w:pPr>
              <w:spacing w:after="0"/>
              <w:rPr>
                <w:sz w:val="20"/>
                <w:szCs w:val="20"/>
                <w:color w:val="auto"/>
              </w:rPr>
            </w:pPr>
          </w:p>
        </w:tc>
      </w:tr>
      <w:tr>
        <w:trPr>
          <w:trHeight w:val="245"/>
        </w:trPr>
        <w:tc>
          <w:tcPr>
            <w:tcW w:w="1480" w:type="dxa"/>
            <w:vAlign w:val="bottom"/>
          </w:tcPr>
          <w:p>
            <w:pPr>
              <w:spacing w:after="0"/>
              <w:rPr>
                <w:sz w:val="21"/>
                <w:szCs w:val="21"/>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288,768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752,213</w:t>
            </w:r>
          </w:p>
        </w:tc>
        <w:tc>
          <w:tcPr>
            <w:tcW w:w="1520" w:type="dxa"/>
            <w:vAlign w:val="bottom"/>
          </w:tcPr>
          <w:p>
            <w:pPr>
              <w:spacing w:after="0"/>
              <w:rPr>
                <w:sz w:val="21"/>
                <w:szCs w:val="21"/>
                <w:color w:val="auto"/>
              </w:rPr>
            </w:pPr>
          </w:p>
        </w:tc>
      </w:tr>
      <w:tr>
        <w:trPr>
          <w:trHeight w:val="239"/>
        </w:trPr>
        <w:tc>
          <w:tcPr>
            <w:tcW w:w="1480" w:type="dxa"/>
            <w:vAlign w:val="bottom"/>
          </w:tcPr>
          <w:p>
            <w:pPr>
              <w:spacing w:after="0"/>
              <w:rPr>
                <w:sz w:val="20"/>
                <w:szCs w:val="20"/>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$ 313,065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$ 609,158</w:t>
            </w:r>
          </w:p>
        </w:tc>
        <w:tc>
          <w:tcPr>
            <w:tcW w:w="1520" w:type="dxa"/>
            <w:vAlign w:val="bottom"/>
          </w:tcPr>
          <w:p>
            <w:pPr>
              <w:spacing w:after="0"/>
              <w:rPr>
                <w:sz w:val="20"/>
                <w:szCs w:val="20"/>
                <w:color w:val="auto"/>
              </w:rPr>
            </w:pPr>
          </w:p>
        </w:tc>
      </w:tr>
      <w:tr>
        <w:trPr>
          <w:trHeight w:val="20"/>
        </w:trPr>
        <w:tc>
          <w:tcPr>
            <w:tcW w:w="1480" w:type="dxa"/>
            <w:vAlign w:val="bottom"/>
          </w:tcPr>
          <w:p>
            <w:pPr>
              <w:spacing w:after="0" w:line="20" w:lineRule="exact"/>
              <w:rPr>
                <w:sz w:val="1"/>
                <w:szCs w:val="1"/>
                <w:color w:val="auto"/>
              </w:rPr>
            </w:pPr>
          </w:p>
        </w:tc>
        <w:tc>
          <w:tcPr>
            <w:tcW w:w="5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67"/>
        </w:trPr>
        <w:tc>
          <w:tcPr>
            <w:tcW w:w="1480" w:type="dxa"/>
            <w:vAlign w:val="bottom"/>
            <w:tcBorders>
              <w:bottom w:val="single" w:sz="8" w:color="auto"/>
            </w:tcBorders>
          </w:tcPr>
          <w:p>
            <w:pPr>
              <w:spacing w:after="0"/>
              <w:rPr>
                <w:sz w:val="14"/>
                <w:szCs w:val="14"/>
                <w:color w:val="auto"/>
              </w:rPr>
            </w:pPr>
          </w:p>
        </w:tc>
        <w:tc>
          <w:tcPr>
            <w:tcW w:w="58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29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ICON plc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MEASURES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2023 AND SEPTEMBER 30,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ind w:left="5020"/>
              <w:spacing w:after="0"/>
              <w:rPr>
                <w:sz w:val="20"/>
                <w:szCs w:val="20"/>
                <w:color w:val="auto"/>
              </w:rPr>
            </w:pPr>
            <w:r>
              <w:rPr>
                <w:rFonts w:ascii="Arial" w:cs="Arial" w:eastAsia="Arial" w:hAnsi="Arial"/>
                <w:sz w:val="18"/>
                <w:szCs w:val="18"/>
                <w:b w:val="1"/>
                <w:bCs w:val="1"/>
                <w:color w:val="auto"/>
              </w:rPr>
              <w:t>(UNAUDITED)</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6700" w:type="dxa"/>
            <w:vAlign w:val="bottom"/>
          </w:tcPr>
          <w:p>
            <w:pPr>
              <w:spacing w:after="0"/>
              <w:rPr>
                <w:sz w:val="24"/>
                <w:szCs w:val="24"/>
                <w:color w:val="auto"/>
              </w:rPr>
            </w:pPr>
          </w:p>
        </w:tc>
        <w:tc>
          <w:tcPr>
            <w:tcW w:w="2360" w:type="dxa"/>
            <w:vAlign w:val="bottom"/>
            <w:gridSpan w:val="4"/>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220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67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September</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September</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September</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September</w:t>
            </w:r>
          </w:p>
        </w:tc>
      </w:tr>
      <w:tr>
        <w:trPr>
          <w:trHeight w:val="234"/>
        </w:trPr>
        <w:tc>
          <w:tcPr>
            <w:tcW w:w="6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30, 2023</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30, 2022</w:t>
            </w:r>
          </w:p>
        </w:tc>
        <w:tc>
          <w:tcPr>
            <w:tcW w:w="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30, 2023</w:t>
            </w:r>
          </w:p>
        </w:tc>
        <w:tc>
          <w:tcPr>
            <w:tcW w:w="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30, 2022</w:t>
            </w:r>
          </w:p>
        </w:tc>
        <w:tc>
          <w:tcPr>
            <w:tcW w:w="20" w:type="dxa"/>
            <w:vAlign w:val="bottom"/>
          </w:tcPr>
          <w:p>
            <w:pPr>
              <w:spacing w:after="0"/>
              <w:rPr>
                <w:sz w:val="20"/>
                <w:szCs w:val="20"/>
                <w:color w:val="auto"/>
              </w:rPr>
            </w:pPr>
          </w:p>
        </w:tc>
      </w:tr>
      <w:tr>
        <w:trPr>
          <w:trHeight w:val="243"/>
        </w:trPr>
        <w:tc>
          <w:tcPr>
            <w:tcW w:w="6700" w:type="dxa"/>
            <w:vAlign w:val="bottom"/>
          </w:tcPr>
          <w:p>
            <w:pPr>
              <w:spacing w:after="0"/>
              <w:rPr>
                <w:sz w:val="21"/>
                <w:szCs w:val="21"/>
                <w:color w:val="auto"/>
              </w:rPr>
            </w:pPr>
          </w:p>
        </w:tc>
        <w:tc>
          <w:tcPr>
            <w:tcW w:w="4560" w:type="dxa"/>
            <w:vAlign w:val="bottom"/>
            <w:gridSpan w:val="8"/>
          </w:tcPr>
          <w:p>
            <w:pPr>
              <w:jc w:val="right"/>
              <w:ind w:right="460"/>
              <w:spacing w:after="0"/>
              <w:rPr>
                <w:sz w:val="20"/>
                <w:szCs w:val="20"/>
                <w:color w:val="auto"/>
              </w:rPr>
            </w:pPr>
            <w:r>
              <w:rPr>
                <w:rFonts w:ascii="Arial" w:cs="Arial" w:eastAsia="Arial" w:hAnsi="Arial"/>
                <w:sz w:val="18"/>
                <w:szCs w:val="18"/>
                <w:b w:val="1"/>
                <w:bCs w:val="1"/>
                <w:color w:val="auto"/>
              </w:rPr>
              <w:t>(in thousands except share and per share data)</w:t>
            </w:r>
          </w:p>
        </w:tc>
      </w:tr>
      <w:tr>
        <w:trPr>
          <w:trHeight w:val="486"/>
        </w:trPr>
        <w:tc>
          <w:tcPr>
            <w:tcW w:w="670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Net income attributable to the Group</w:t>
            </w:r>
          </w:p>
        </w:tc>
        <w:tc>
          <w:tcPr>
            <w:tcW w:w="1160" w:type="dxa"/>
            <w:vAlign w:val="bottom"/>
          </w:tcPr>
          <w:p>
            <w:pPr>
              <w:jc w:val="right"/>
              <w:spacing w:after="0"/>
              <w:rPr>
                <w:sz w:val="20"/>
                <w:szCs w:val="20"/>
                <w:color w:val="auto"/>
              </w:rPr>
            </w:pPr>
            <w:r>
              <w:rPr>
                <w:rFonts w:ascii="Arial" w:cs="Arial" w:eastAsia="Arial" w:hAnsi="Arial"/>
                <w:sz w:val="18"/>
                <w:szCs w:val="18"/>
                <w:color w:val="auto"/>
              </w:rPr>
              <w:t>$ 163,665</w:t>
            </w:r>
          </w:p>
        </w:tc>
        <w:tc>
          <w:tcPr>
            <w:tcW w:w="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$ 160,154</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$ 395,917</w:t>
            </w:r>
          </w:p>
        </w:tc>
        <w:tc>
          <w:tcPr>
            <w:tcW w:w="1060" w:type="dxa"/>
            <w:vAlign w:val="bottom"/>
          </w:tcPr>
          <w:p>
            <w:pPr>
              <w:jc w:val="right"/>
              <w:spacing w:after="0"/>
              <w:rPr>
                <w:sz w:val="20"/>
                <w:szCs w:val="20"/>
                <w:color w:val="auto"/>
              </w:rPr>
            </w:pPr>
            <w:r>
              <w:rPr>
                <w:rFonts w:ascii="Arial" w:cs="Arial" w:eastAsia="Arial" w:hAnsi="Arial"/>
                <w:sz w:val="18"/>
                <w:szCs w:val="18"/>
                <w:color w:val="auto"/>
              </w:rPr>
              <w:t>$ 387,859</w:t>
            </w:r>
          </w:p>
        </w:tc>
        <w:tc>
          <w:tcPr>
            <w:tcW w:w="20" w:type="dxa"/>
            <w:vAlign w:val="bottom"/>
          </w:tcPr>
          <w:p>
            <w:pPr>
              <w:spacing w:after="0"/>
              <w:rPr>
                <w:sz w:val="21"/>
                <w:szCs w:val="21"/>
                <w:color w:val="auto"/>
              </w:rPr>
            </w:pP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Share of equity method investments</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383</w:t>
            </w:r>
          </w:p>
        </w:tc>
        <w:tc>
          <w:tcPr>
            <w:tcW w:w="1060" w:type="dxa"/>
            <w:vAlign w:val="bottom"/>
          </w:tcPr>
          <w:p>
            <w:pPr>
              <w:jc w:val="right"/>
              <w:spacing w:after="0"/>
              <w:rPr>
                <w:sz w:val="20"/>
                <w:szCs w:val="20"/>
                <w:color w:val="auto"/>
              </w:rPr>
            </w:pPr>
            <w:r>
              <w:rPr>
                <w:rFonts w:ascii="Arial" w:cs="Arial" w:eastAsia="Arial" w:hAnsi="Arial"/>
                <w:sz w:val="18"/>
                <w:szCs w:val="18"/>
                <w:color w:val="auto"/>
              </w:rPr>
              <w:t>2,643</w:t>
            </w:r>
          </w:p>
        </w:tc>
        <w:tc>
          <w:tcPr>
            <w:tcW w:w="20" w:type="dxa"/>
            <w:vAlign w:val="bottom"/>
          </w:tcPr>
          <w:p>
            <w:pPr>
              <w:spacing w:after="0"/>
              <w:rPr>
                <w:sz w:val="21"/>
                <w:szCs w:val="21"/>
                <w:color w:val="auto"/>
              </w:rPr>
            </w:pP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60" w:type="dxa"/>
            <w:vAlign w:val="bottom"/>
          </w:tcPr>
          <w:p>
            <w:pPr>
              <w:jc w:val="right"/>
              <w:spacing w:after="0"/>
              <w:rPr>
                <w:sz w:val="20"/>
                <w:szCs w:val="20"/>
                <w:color w:val="auto"/>
              </w:rPr>
            </w:pPr>
            <w:r>
              <w:rPr>
                <w:rFonts w:ascii="Arial" w:cs="Arial" w:eastAsia="Arial" w:hAnsi="Arial"/>
                <w:sz w:val="18"/>
                <w:szCs w:val="18"/>
                <w:color w:val="auto"/>
              </w:rPr>
              <w:t>18,011</w:t>
            </w:r>
          </w:p>
        </w:tc>
        <w:tc>
          <w:tcPr>
            <w:tcW w:w="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21,012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41,913</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48,552</w:t>
            </w: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Net interest expense</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82,635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61,576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252,371</w:t>
            </w:r>
          </w:p>
        </w:tc>
        <w:tc>
          <w:tcPr>
            <w:tcW w:w="1060" w:type="dxa"/>
            <w:vAlign w:val="bottom"/>
          </w:tcPr>
          <w:p>
            <w:pPr>
              <w:jc w:val="right"/>
              <w:spacing w:after="0"/>
              <w:rPr>
                <w:sz w:val="20"/>
                <w:szCs w:val="20"/>
                <w:color w:val="auto"/>
              </w:rPr>
            </w:pPr>
            <w:r>
              <w:rPr>
                <w:rFonts w:ascii="Arial" w:cs="Arial" w:eastAsia="Arial" w:hAnsi="Arial"/>
                <w:sz w:val="18"/>
                <w:szCs w:val="18"/>
                <w:color w:val="auto"/>
              </w:rPr>
              <w:t>152,819</w:t>
            </w:r>
          </w:p>
        </w:tc>
        <w:tc>
          <w:tcPr>
            <w:tcW w:w="20" w:type="dxa"/>
            <w:vAlign w:val="bottom"/>
          </w:tcPr>
          <w:p>
            <w:pPr>
              <w:spacing w:after="0"/>
              <w:rPr>
                <w:sz w:val="21"/>
                <w:szCs w:val="21"/>
                <w:color w:val="auto"/>
              </w:rPr>
            </w:pP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jc w:val="right"/>
              <w:spacing w:after="0"/>
              <w:rPr>
                <w:sz w:val="20"/>
                <w:szCs w:val="20"/>
                <w:color w:val="auto"/>
              </w:rPr>
            </w:pPr>
            <w:r>
              <w:rPr>
                <w:rFonts w:ascii="Arial" w:cs="Arial" w:eastAsia="Arial" w:hAnsi="Arial"/>
                <w:sz w:val="18"/>
                <w:szCs w:val="18"/>
                <w:color w:val="auto"/>
              </w:rPr>
              <w:t>146,032</w:t>
            </w:r>
          </w:p>
        </w:tc>
        <w:tc>
          <w:tcPr>
            <w:tcW w:w="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141,861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436,217</w:t>
            </w:r>
          </w:p>
        </w:tc>
        <w:tc>
          <w:tcPr>
            <w:tcW w:w="1060" w:type="dxa"/>
            <w:vAlign w:val="bottom"/>
          </w:tcPr>
          <w:p>
            <w:pPr>
              <w:jc w:val="right"/>
              <w:spacing w:after="0"/>
              <w:rPr>
                <w:sz w:val="20"/>
                <w:szCs w:val="20"/>
                <w:color w:val="auto"/>
              </w:rPr>
            </w:pPr>
            <w:r>
              <w:rPr>
                <w:rFonts w:ascii="Arial" w:cs="Arial" w:eastAsia="Arial" w:hAnsi="Arial"/>
                <w:sz w:val="18"/>
                <w:szCs w:val="18"/>
                <w:color w:val="auto"/>
              </w:rPr>
              <w:t>427,285</w:t>
            </w:r>
          </w:p>
        </w:tc>
        <w:tc>
          <w:tcPr>
            <w:tcW w:w="20" w:type="dxa"/>
            <w:vAlign w:val="bottom"/>
          </w:tcPr>
          <w:p>
            <w:pPr>
              <w:spacing w:after="0"/>
              <w:rPr>
                <w:sz w:val="21"/>
                <w:szCs w:val="21"/>
                <w:color w:val="auto"/>
              </w:rPr>
            </w:pPr>
          </w:p>
        </w:tc>
      </w:tr>
      <w:tr>
        <w:trPr>
          <w:trHeight w:val="246"/>
        </w:trPr>
        <w:tc>
          <w:tcPr>
            <w:tcW w:w="6700" w:type="dxa"/>
            <w:vAlign w:val="bottom"/>
          </w:tcPr>
          <w:p>
            <w:pPr>
              <w:spacing w:after="0" w:line="246" w:lineRule="exact"/>
              <w:rPr>
                <w:sz w:val="20"/>
                <w:szCs w:val="20"/>
                <w:color w:val="auto"/>
              </w:rPr>
            </w:pPr>
            <w:r>
              <w:rPr>
                <w:rFonts w:ascii="Arial" w:cs="Arial" w:eastAsia="Arial" w:hAnsi="Arial"/>
                <w:sz w:val="17"/>
                <w:szCs w:val="17"/>
                <w:color w:val="auto"/>
              </w:rPr>
              <w:t xml:space="preserve">Stock-based compensation expense </w:t>
            </w:r>
            <w:r>
              <w:rPr>
                <w:rFonts w:ascii="Arial" w:cs="Arial" w:eastAsia="Arial" w:hAnsi="Arial"/>
                <w:sz w:val="28"/>
                <w:szCs w:val="28"/>
                <w:color w:val="auto"/>
                <w:vertAlign w:val="superscript"/>
              </w:rPr>
              <w:t>(a)</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16,465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16,730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47,822</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54,843</w:t>
            </w:r>
          </w:p>
        </w:tc>
      </w:tr>
      <w:tr>
        <w:trPr>
          <w:trHeight w:val="243"/>
        </w:trPr>
        <w:tc>
          <w:tcPr>
            <w:tcW w:w="6700" w:type="dxa"/>
            <w:vAlign w:val="bottom"/>
          </w:tcPr>
          <w:p>
            <w:pPr>
              <w:spacing w:after="0" w:line="243" w:lineRule="exact"/>
              <w:rPr>
                <w:sz w:val="20"/>
                <w:szCs w:val="20"/>
                <w:color w:val="auto"/>
              </w:rPr>
            </w:pPr>
            <w:r>
              <w:rPr>
                <w:rFonts w:ascii="Arial" w:cs="Arial" w:eastAsia="Arial" w:hAnsi="Arial"/>
                <w:sz w:val="17"/>
                <w:szCs w:val="17"/>
                <w:color w:val="auto"/>
              </w:rPr>
              <w:t xml:space="preserve">Foreign currency losses (gains), net </w:t>
            </w:r>
            <w:r>
              <w:rPr>
                <w:rFonts w:ascii="Arial" w:cs="Arial" w:eastAsia="Arial" w:hAnsi="Arial"/>
                <w:sz w:val="28"/>
                <w:szCs w:val="28"/>
                <w:color w:val="auto"/>
                <w:vertAlign w:val="superscript"/>
              </w:rPr>
              <w:t>(b)</w:t>
            </w:r>
          </w:p>
        </w:tc>
        <w:tc>
          <w:tcPr>
            <w:tcW w:w="1160" w:type="dxa"/>
            <w:vAlign w:val="bottom"/>
          </w:tcPr>
          <w:p>
            <w:pPr>
              <w:jc w:val="right"/>
              <w:spacing w:after="0"/>
              <w:rPr>
                <w:sz w:val="20"/>
                <w:szCs w:val="20"/>
                <w:color w:val="auto"/>
              </w:rPr>
            </w:pPr>
            <w:r>
              <w:rPr>
                <w:rFonts w:ascii="Arial" w:cs="Arial" w:eastAsia="Arial" w:hAnsi="Arial"/>
                <w:sz w:val="18"/>
                <w:szCs w:val="18"/>
                <w:color w:val="auto"/>
              </w:rPr>
              <w:t>(4,706)</w:t>
            </w:r>
          </w:p>
        </w:tc>
        <w:tc>
          <w:tcPr>
            <w:tcW w:w="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(36,933)</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(2,465)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(61,395)</w:t>
            </w:r>
          </w:p>
        </w:tc>
      </w:tr>
      <w:tr>
        <w:trPr>
          <w:trHeight w:val="243"/>
        </w:trPr>
        <w:tc>
          <w:tcPr>
            <w:tcW w:w="6700" w:type="dxa"/>
            <w:vAlign w:val="bottom"/>
          </w:tcPr>
          <w:p>
            <w:pPr>
              <w:spacing w:after="0" w:line="243" w:lineRule="exact"/>
              <w:rPr>
                <w:sz w:val="20"/>
                <w:szCs w:val="20"/>
                <w:color w:val="auto"/>
              </w:rPr>
            </w:pPr>
            <w:r>
              <w:rPr>
                <w:rFonts w:ascii="Arial" w:cs="Arial" w:eastAsia="Arial" w:hAnsi="Arial"/>
                <w:sz w:val="17"/>
                <w:szCs w:val="17"/>
                <w:color w:val="auto"/>
              </w:rPr>
              <w:t xml:space="preserve">Oncacare (gain) </w:t>
            </w:r>
            <w:r>
              <w:rPr>
                <w:rFonts w:ascii="Arial" w:cs="Arial" w:eastAsia="Arial" w:hAnsi="Arial"/>
                <w:sz w:val="28"/>
                <w:szCs w:val="28"/>
                <w:color w:val="auto"/>
                <w:vertAlign w:val="superscript"/>
              </w:rPr>
              <w:t>(g)</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(6,160)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tcPr>
          <w:p>
            <w:pPr>
              <w:spacing w:after="0" w:line="243" w:lineRule="exact"/>
              <w:rPr>
                <w:sz w:val="20"/>
                <w:szCs w:val="20"/>
                <w:color w:val="auto"/>
              </w:rPr>
            </w:pPr>
            <w:r>
              <w:rPr>
                <w:rFonts w:ascii="Arial" w:cs="Arial" w:eastAsia="Arial" w:hAnsi="Arial"/>
                <w:sz w:val="17"/>
                <w:szCs w:val="17"/>
                <w:color w:val="auto"/>
              </w:rPr>
              <w:t xml:space="preserve">Restructuring </w:t>
            </w:r>
            <w:r>
              <w:rPr>
                <w:rFonts w:ascii="Arial" w:cs="Arial" w:eastAsia="Arial" w:hAnsi="Arial"/>
                <w:sz w:val="28"/>
                <w:szCs w:val="28"/>
                <w:color w:val="auto"/>
                <w:vertAlign w:val="superscript"/>
              </w:rPr>
              <w:t>(c)</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6,197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45,390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32,890</w:t>
            </w:r>
          </w:p>
        </w:tc>
      </w:tr>
      <w:tr>
        <w:trPr>
          <w:trHeight w:val="254"/>
        </w:trPr>
        <w:tc>
          <w:tcPr>
            <w:tcW w:w="6700" w:type="dxa"/>
            <w:vAlign w:val="bottom"/>
            <w:tcBorders>
              <w:bottom w:val="single" w:sz="8" w:color="auto"/>
            </w:tcBorders>
          </w:tcPr>
          <w:p>
            <w:pPr>
              <w:spacing w:after="0" w:line="253" w:lineRule="exact"/>
              <w:rPr>
                <w:sz w:val="20"/>
                <w:szCs w:val="20"/>
                <w:color w:val="auto"/>
              </w:rPr>
            </w:pPr>
            <w:r>
              <w:rPr>
                <w:rFonts w:ascii="Arial" w:cs="Arial" w:eastAsia="Arial" w:hAnsi="Arial"/>
                <w:sz w:val="18"/>
                <w:szCs w:val="18"/>
                <w:color w:val="auto"/>
              </w:rPr>
              <w:t xml:space="preserve">Transaction-related / integration-related costs </w:t>
            </w:r>
            <w:r>
              <w:rPr>
                <w:rFonts w:ascii="Arial" w:cs="Arial" w:eastAsia="Arial" w:hAnsi="Arial"/>
                <w:sz w:val="29"/>
                <w:szCs w:val="29"/>
                <w:color w:val="auto"/>
                <w:vertAlign w:val="superscript"/>
              </w:rPr>
              <w:t>(d)</w:t>
            </w: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10,433</w:t>
            </w: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8,001</w:t>
            </w: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34,516</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28,970</w:t>
            </w:r>
          </w:p>
        </w:tc>
      </w:tr>
      <w:tr>
        <w:trPr>
          <w:trHeight w:val="232"/>
        </w:trPr>
        <w:tc>
          <w:tcPr>
            <w:tcW w:w="670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160" w:type="dxa"/>
            <w:vAlign w:val="bottom"/>
          </w:tcPr>
          <w:p>
            <w:pPr>
              <w:jc w:val="right"/>
              <w:spacing w:after="0"/>
              <w:rPr>
                <w:sz w:val="20"/>
                <w:szCs w:val="20"/>
                <w:color w:val="auto"/>
              </w:rPr>
            </w:pPr>
            <w:r>
              <w:rPr>
                <w:rFonts w:ascii="Arial" w:cs="Arial" w:eastAsia="Arial" w:hAnsi="Arial"/>
                <w:sz w:val="18"/>
                <w:szCs w:val="18"/>
                <w:color w:val="auto"/>
              </w:rPr>
              <w:t>$ 432,535</w:t>
            </w:r>
          </w:p>
        </w:tc>
        <w:tc>
          <w:tcPr>
            <w:tcW w:w="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$ 379,600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$ 1,245,904</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$ 1,074,466</w:t>
            </w:r>
          </w:p>
        </w:tc>
      </w:tr>
      <w:tr>
        <w:trPr>
          <w:trHeight w:val="20"/>
        </w:trPr>
        <w:tc>
          <w:tcPr>
            <w:tcW w:w="6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6700" w:type="dxa"/>
            <w:vAlign w:val="bottom"/>
          </w:tcPr>
          <w:p>
            <w:pPr>
              <w:spacing w:after="0"/>
              <w:rPr>
                <w:sz w:val="20"/>
                <w:szCs w:val="20"/>
                <w:color w:val="auto"/>
              </w:rPr>
            </w:pPr>
            <w:r>
              <w:rPr>
                <w:rFonts w:ascii="Arial" w:cs="Arial" w:eastAsia="Arial" w:hAnsi="Arial"/>
                <w:sz w:val="18"/>
                <w:szCs w:val="18"/>
                <w:b w:val="1"/>
                <w:bCs w:val="1"/>
                <w:color w:val="auto"/>
                <w:w w:val="94"/>
              </w:rPr>
              <w:t>Adjusted net income attributable to the Group and adjusted diluted net income per</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6700" w:type="dxa"/>
            <w:vAlign w:val="bottom"/>
          </w:tcPr>
          <w:p>
            <w:pPr>
              <w:spacing w:after="0"/>
              <w:rPr>
                <w:sz w:val="20"/>
                <w:szCs w:val="20"/>
                <w:color w:val="auto"/>
              </w:rPr>
            </w:pPr>
            <w:r>
              <w:rPr>
                <w:rFonts w:ascii="Arial" w:cs="Arial" w:eastAsia="Arial" w:hAnsi="Arial"/>
                <w:sz w:val="18"/>
                <w:szCs w:val="18"/>
                <w:b w:val="1"/>
                <w:bCs w:val="1"/>
                <w:color w:val="auto"/>
              </w:rPr>
              <w:t>Ordinary Share attributable to the Group</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Net income attributable to the Group</w:t>
            </w:r>
          </w:p>
        </w:tc>
        <w:tc>
          <w:tcPr>
            <w:tcW w:w="1160" w:type="dxa"/>
            <w:vAlign w:val="bottom"/>
          </w:tcPr>
          <w:p>
            <w:pPr>
              <w:jc w:val="right"/>
              <w:spacing w:after="0"/>
              <w:rPr>
                <w:sz w:val="20"/>
                <w:szCs w:val="20"/>
                <w:color w:val="auto"/>
              </w:rPr>
            </w:pPr>
            <w:r>
              <w:rPr>
                <w:rFonts w:ascii="Arial" w:cs="Arial" w:eastAsia="Arial" w:hAnsi="Arial"/>
                <w:sz w:val="18"/>
                <w:szCs w:val="18"/>
                <w:color w:val="auto"/>
              </w:rPr>
              <w:t>$ 163,665</w:t>
            </w:r>
          </w:p>
        </w:tc>
        <w:tc>
          <w:tcPr>
            <w:tcW w:w="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$ 160,154</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$ 395,917</w:t>
            </w:r>
          </w:p>
        </w:tc>
        <w:tc>
          <w:tcPr>
            <w:tcW w:w="1060" w:type="dxa"/>
            <w:vAlign w:val="bottom"/>
          </w:tcPr>
          <w:p>
            <w:pPr>
              <w:jc w:val="right"/>
              <w:spacing w:after="0"/>
              <w:rPr>
                <w:sz w:val="20"/>
                <w:szCs w:val="20"/>
                <w:color w:val="auto"/>
              </w:rPr>
            </w:pPr>
            <w:r>
              <w:rPr>
                <w:rFonts w:ascii="Arial" w:cs="Arial" w:eastAsia="Arial" w:hAnsi="Arial"/>
                <w:sz w:val="18"/>
                <w:szCs w:val="18"/>
                <w:color w:val="auto"/>
              </w:rPr>
              <w:t>$ 387,859</w:t>
            </w:r>
          </w:p>
        </w:tc>
        <w:tc>
          <w:tcPr>
            <w:tcW w:w="20" w:type="dxa"/>
            <w:vAlign w:val="bottom"/>
          </w:tcPr>
          <w:p>
            <w:pPr>
              <w:spacing w:after="0"/>
              <w:rPr>
                <w:sz w:val="21"/>
                <w:szCs w:val="21"/>
                <w:color w:val="auto"/>
              </w:rPr>
            </w:pP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60" w:type="dxa"/>
            <w:vAlign w:val="bottom"/>
          </w:tcPr>
          <w:p>
            <w:pPr>
              <w:jc w:val="right"/>
              <w:spacing w:after="0"/>
              <w:rPr>
                <w:sz w:val="20"/>
                <w:szCs w:val="20"/>
                <w:color w:val="auto"/>
              </w:rPr>
            </w:pPr>
            <w:r>
              <w:rPr>
                <w:rFonts w:ascii="Arial" w:cs="Arial" w:eastAsia="Arial" w:hAnsi="Arial"/>
                <w:sz w:val="18"/>
                <w:szCs w:val="18"/>
                <w:color w:val="auto"/>
              </w:rPr>
              <w:t>18,011</w:t>
            </w:r>
          </w:p>
        </w:tc>
        <w:tc>
          <w:tcPr>
            <w:tcW w:w="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21,012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41,913</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48,552</w:t>
            </w: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Amortization</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114,573</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114,991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343,868</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348,118</w:t>
            </w:r>
          </w:p>
        </w:tc>
      </w:tr>
      <w:tr>
        <w:trPr>
          <w:trHeight w:val="246"/>
        </w:trPr>
        <w:tc>
          <w:tcPr>
            <w:tcW w:w="6700" w:type="dxa"/>
            <w:vAlign w:val="bottom"/>
          </w:tcPr>
          <w:p>
            <w:pPr>
              <w:spacing w:after="0" w:line="246" w:lineRule="exact"/>
              <w:rPr>
                <w:sz w:val="20"/>
                <w:szCs w:val="20"/>
                <w:color w:val="auto"/>
              </w:rPr>
            </w:pPr>
            <w:r>
              <w:rPr>
                <w:rFonts w:ascii="Arial" w:cs="Arial" w:eastAsia="Arial" w:hAnsi="Arial"/>
                <w:sz w:val="17"/>
                <w:szCs w:val="17"/>
                <w:color w:val="auto"/>
              </w:rPr>
              <w:t xml:space="preserve">Stock-based compensation expense </w:t>
            </w:r>
            <w:r>
              <w:rPr>
                <w:rFonts w:ascii="Arial" w:cs="Arial" w:eastAsia="Arial" w:hAnsi="Arial"/>
                <w:sz w:val="28"/>
                <w:szCs w:val="28"/>
                <w:color w:val="auto"/>
                <w:vertAlign w:val="superscript"/>
              </w:rPr>
              <w:t>(a)</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16,465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16,730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47,822</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54,843</w:t>
            </w:r>
          </w:p>
        </w:tc>
      </w:tr>
      <w:tr>
        <w:trPr>
          <w:trHeight w:val="243"/>
        </w:trPr>
        <w:tc>
          <w:tcPr>
            <w:tcW w:w="6700" w:type="dxa"/>
            <w:vAlign w:val="bottom"/>
          </w:tcPr>
          <w:p>
            <w:pPr>
              <w:spacing w:after="0" w:line="243" w:lineRule="exact"/>
              <w:rPr>
                <w:sz w:val="20"/>
                <w:szCs w:val="20"/>
                <w:color w:val="auto"/>
              </w:rPr>
            </w:pPr>
            <w:r>
              <w:rPr>
                <w:rFonts w:ascii="Arial" w:cs="Arial" w:eastAsia="Arial" w:hAnsi="Arial"/>
                <w:sz w:val="17"/>
                <w:szCs w:val="17"/>
                <w:color w:val="auto"/>
              </w:rPr>
              <w:t xml:space="preserve">Foreign currency losses (gains), net </w:t>
            </w:r>
            <w:r>
              <w:rPr>
                <w:rFonts w:ascii="Arial" w:cs="Arial" w:eastAsia="Arial" w:hAnsi="Arial"/>
                <w:sz w:val="28"/>
                <w:szCs w:val="28"/>
                <w:color w:val="auto"/>
                <w:vertAlign w:val="superscript"/>
              </w:rPr>
              <w:t>(b)</w:t>
            </w:r>
          </w:p>
        </w:tc>
        <w:tc>
          <w:tcPr>
            <w:tcW w:w="1160" w:type="dxa"/>
            <w:vAlign w:val="bottom"/>
          </w:tcPr>
          <w:p>
            <w:pPr>
              <w:jc w:val="right"/>
              <w:spacing w:after="0"/>
              <w:rPr>
                <w:sz w:val="20"/>
                <w:szCs w:val="20"/>
                <w:color w:val="auto"/>
              </w:rPr>
            </w:pPr>
            <w:r>
              <w:rPr>
                <w:rFonts w:ascii="Arial" w:cs="Arial" w:eastAsia="Arial" w:hAnsi="Arial"/>
                <w:sz w:val="18"/>
                <w:szCs w:val="18"/>
                <w:color w:val="auto"/>
              </w:rPr>
              <w:t>(4,706)</w:t>
            </w:r>
          </w:p>
        </w:tc>
        <w:tc>
          <w:tcPr>
            <w:tcW w:w="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(36,933)</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(2,465)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(61,395)</w:t>
            </w:r>
          </w:p>
        </w:tc>
      </w:tr>
      <w:tr>
        <w:trPr>
          <w:trHeight w:val="243"/>
        </w:trPr>
        <w:tc>
          <w:tcPr>
            <w:tcW w:w="6700" w:type="dxa"/>
            <w:vAlign w:val="bottom"/>
          </w:tcPr>
          <w:p>
            <w:pPr>
              <w:spacing w:after="0" w:line="243" w:lineRule="exact"/>
              <w:rPr>
                <w:sz w:val="20"/>
                <w:szCs w:val="20"/>
                <w:color w:val="auto"/>
              </w:rPr>
            </w:pPr>
            <w:r>
              <w:rPr>
                <w:rFonts w:ascii="Arial" w:cs="Arial" w:eastAsia="Arial" w:hAnsi="Arial"/>
                <w:sz w:val="17"/>
                <w:szCs w:val="17"/>
                <w:color w:val="auto"/>
              </w:rPr>
              <w:t xml:space="preserve">Restructuring </w:t>
            </w:r>
            <w:r>
              <w:rPr>
                <w:rFonts w:ascii="Arial" w:cs="Arial" w:eastAsia="Arial" w:hAnsi="Arial"/>
                <w:sz w:val="28"/>
                <w:szCs w:val="28"/>
                <w:color w:val="auto"/>
                <w:vertAlign w:val="superscript"/>
              </w:rPr>
              <w:t>(c)</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6,197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45,390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32,890</w:t>
            </w:r>
          </w:p>
        </w:tc>
      </w:tr>
      <w:tr>
        <w:trPr>
          <w:trHeight w:val="243"/>
        </w:trPr>
        <w:tc>
          <w:tcPr>
            <w:tcW w:w="6700" w:type="dxa"/>
            <w:vAlign w:val="bottom"/>
          </w:tcPr>
          <w:p>
            <w:pPr>
              <w:spacing w:after="0" w:line="243" w:lineRule="exact"/>
              <w:rPr>
                <w:sz w:val="20"/>
                <w:szCs w:val="20"/>
                <w:color w:val="auto"/>
              </w:rPr>
            </w:pPr>
            <w:r>
              <w:rPr>
                <w:rFonts w:ascii="Arial" w:cs="Arial" w:eastAsia="Arial" w:hAnsi="Arial"/>
                <w:sz w:val="17"/>
                <w:szCs w:val="17"/>
                <w:color w:val="auto"/>
              </w:rPr>
              <w:t xml:space="preserve">Oncacare (gain) </w:t>
            </w:r>
            <w:r>
              <w:rPr>
                <w:rFonts w:ascii="Arial" w:cs="Arial" w:eastAsia="Arial" w:hAnsi="Arial"/>
                <w:sz w:val="28"/>
                <w:szCs w:val="28"/>
                <w:color w:val="auto"/>
                <w:vertAlign w:val="superscript"/>
              </w:rPr>
              <w:t>(g)</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(6,160)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tcPr>
          <w:p>
            <w:pPr>
              <w:spacing w:after="0" w:line="243" w:lineRule="exact"/>
              <w:rPr>
                <w:sz w:val="20"/>
                <w:szCs w:val="20"/>
                <w:color w:val="auto"/>
              </w:rPr>
            </w:pPr>
            <w:r>
              <w:rPr>
                <w:rFonts w:ascii="Arial" w:cs="Arial" w:eastAsia="Arial" w:hAnsi="Arial"/>
                <w:sz w:val="17"/>
                <w:szCs w:val="17"/>
                <w:color w:val="auto"/>
              </w:rPr>
              <w:t xml:space="preserve">Transaction-related / integration-related costs </w:t>
            </w:r>
            <w:r>
              <w:rPr>
                <w:rFonts w:ascii="Arial" w:cs="Arial" w:eastAsia="Arial" w:hAnsi="Arial"/>
                <w:sz w:val="28"/>
                <w:szCs w:val="28"/>
                <w:color w:val="auto"/>
                <w:vertAlign w:val="superscript"/>
              </w:rPr>
              <w:t>(d)</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10,433</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8,001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34,516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28,970</w:t>
            </w:r>
          </w:p>
        </w:tc>
      </w:tr>
      <w:tr>
        <w:trPr>
          <w:trHeight w:val="243"/>
        </w:trPr>
        <w:tc>
          <w:tcPr>
            <w:tcW w:w="6700" w:type="dxa"/>
            <w:vAlign w:val="bottom"/>
          </w:tcPr>
          <w:p>
            <w:pPr>
              <w:spacing w:after="0" w:line="243" w:lineRule="exact"/>
              <w:rPr>
                <w:sz w:val="20"/>
                <w:szCs w:val="20"/>
                <w:color w:val="auto"/>
              </w:rPr>
            </w:pPr>
            <w:r>
              <w:rPr>
                <w:rFonts w:ascii="Arial" w:cs="Arial" w:eastAsia="Arial" w:hAnsi="Arial"/>
                <w:sz w:val="17"/>
                <w:szCs w:val="17"/>
                <w:color w:val="auto"/>
              </w:rPr>
              <w:t xml:space="preserve">Transaction-related financing costs </w:t>
            </w:r>
            <w:r>
              <w:rPr>
                <w:rFonts w:ascii="Arial" w:cs="Arial" w:eastAsia="Arial" w:hAnsi="Arial"/>
                <w:sz w:val="28"/>
                <w:szCs w:val="28"/>
                <w:color w:val="auto"/>
                <w:vertAlign w:val="superscript"/>
              </w:rPr>
              <w:t>(e)</w:t>
            </w:r>
          </w:p>
        </w:tc>
        <w:tc>
          <w:tcPr>
            <w:tcW w:w="1160" w:type="dxa"/>
            <w:vAlign w:val="bottom"/>
          </w:tcPr>
          <w:p>
            <w:pPr>
              <w:jc w:val="right"/>
              <w:spacing w:after="0"/>
              <w:rPr>
                <w:sz w:val="20"/>
                <w:szCs w:val="20"/>
                <w:color w:val="auto"/>
              </w:rPr>
            </w:pPr>
            <w:r>
              <w:rPr>
                <w:rFonts w:ascii="Arial" w:cs="Arial" w:eastAsia="Arial" w:hAnsi="Arial"/>
                <w:sz w:val="18"/>
                <w:szCs w:val="18"/>
                <w:color w:val="auto"/>
              </w:rPr>
              <w:t>4,587</w:t>
            </w:r>
          </w:p>
        </w:tc>
        <w:tc>
          <w:tcPr>
            <w:tcW w:w="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4,356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12,486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13,609</w:t>
            </w:r>
          </w:p>
        </w:tc>
      </w:tr>
      <w:tr>
        <w:trPr>
          <w:trHeight w:val="254"/>
        </w:trPr>
        <w:tc>
          <w:tcPr>
            <w:tcW w:w="6700" w:type="dxa"/>
            <w:vAlign w:val="bottom"/>
          </w:tcPr>
          <w:p>
            <w:pPr>
              <w:spacing w:after="0" w:line="253" w:lineRule="exact"/>
              <w:rPr>
                <w:sz w:val="20"/>
                <w:szCs w:val="20"/>
                <w:color w:val="auto"/>
              </w:rPr>
            </w:pPr>
            <w:r>
              <w:rPr>
                <w:rFonts w:ascii="Arial" w:cs="Arial" w:eastAsia="Arial" w:hAnsi="Arial"/>
                <w:sz w:val="18"/>
                <w:szCs w:val="18"/>
                <w:color w:val="auto"/>
              </w:rPr>
              <w:t xml:space="preserve">Adjusted tax expense </w:t>
            </w:r>
            <w:r>
              <w:rPr>
                <w:rFonts w:ascii="Arial" w:cs="Arial" w:eastAsia="Arial" w:hAnsi="Arial"/>
                <w:sz w:val="29"/>
                <w:szCs w:val="29"/>
                <w:color w:val="auto"/>
                <w:vertAlign w:val="superscript"/>
              </w:rPr>
              <w:t>(f)</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(49,100)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(47,284)</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(142,617)</w:t>
            </w:r>
          </w:p>
        </w:tc>
        <w:tc>
          <w:tcPr>
            <w:tcW w:w="1060" w:type="dxa"/>
            <w:vAlign w:val="bottom"/>
          </w:tcPr>
          <w:p>
            <w:pPr>
              <w:jc w:val="right"/>
              <w:spacing w:after="0"/>
              <w:rPr>
                <w:sz w:val="20"/>
                <w:szCs w:val="20"/>
                <w:color w:val="auto"/>
              </w:rPr>
            </w:pPr>
            <w:r>
              <w:rPr>
                <w:rFonts w:ascii="Arial" w:cs="Arial" w:eastAsia="Arial" w:hAnsi="Arial"/>
                <w:sz w:val="18"/>
                <w:szCs w:val="18"/>
                <w:color w:val="auto"/>
              </w:rPr>
              <w:t>(142,492)</w:t>
            </w:r>
          </w:p>
        </w:tc>
        <w:tc>
          <w:tcPr>
            <w:tcW w:w="20" w:type="dxa"/>
            <w:vAlign w:val="bottom"/>
          </w:tcPr>
          <w:p>
            <w:pPr>
              <w:spacing w:after="0"/>
              <w:rPr>
                <w:sz w:val="22"/>
                <w:szCs w:val="22"/>
                <w:color w:val="auto"/>
              </w:rPr>
            </w:pPr>
          </w:p>
        </w:tc>
      </w:tr>
      <w:tr>
        <w:trPr>
          <w:trHeight w:val="232"/>
        </w:trPr>
        <w:tc>
          <w:tcPr>
            <w:tcW w:w="6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Adjusted net income attributable to the Group</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$ 273,928</w:t>
            </w:r>
          </w:p>
        </w:tc>
        <w:tc>
          <w:tcPr>
            <w:tcW w:w="80" w:type="dxa"/>
            <w:vAlign w:val="bottom"/>
            <w:tcBorders>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$ 247,224</w:t>
            </w:r>
          </w:p>
        </w:tc>
        <w:tc>
          <w:tcPr>
            <w:tcW w:w="60" w:type="dxa"/>
            <w:vAlign w:val="bottom"/>
            <w:tcBorders>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$ 770,670</w:t>
            </w:r>
          </w:p>
        </w:tc>
        <w:tc>
          <w:tcPr>
            <w:tcW w:w="60" w:type="dxa"/>
            <w:vAlign w:val="bottom"/>
            <w:tcBorders>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$ 710,954</w:t>
            </w:r>
          </w:p>
        </w:tc>
        <w:tc>
          <w:tcPr>
            <w:tcW w:w="20" w:type="dxa"/>
            <w:vAlign w:val="bottom"/>
            <w:tcBorders>
              <w:bottom w:val="single" w:sz="8" w:color="auto"/>
            </w:tcBorders>
          </w:tcPr>
          <w:p>
            <w:pPr>
              <w:spacing w:after="0"/>
              <w:rPr>
                <w:sz w:val="20"/>
                <w:szCs w:val="20"/>
                <w:color w:val="auto"/>
              </w:rPr>
            </w:pP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7"/>
        </w:trPr>
        <w:tc>
          <w:tcPr>
            <w:tcW w:w="6700" w:type="dxa"/>
            <w:vAlign w:val="bottom"/>
          </w:tcPr>
          <w:p>
            <w:pPr>
              <w:spacing w:after="0"/>
              <w:rPr>
                <w:sz w:val="20"/>
                <w:szCs w:val="20"/>
                <w:color w:val="auto"/>
              </w:rPr>
            </w:pPr>
            <w:r>
              <w:rPr>
                <w:rFonts w:ascii="Arial" w:cs="Arial" w:eastAsia="Arial" w:hAnsi="Arial"/>
                <w:sz w:val="18"/>
                <w:szCs w:val="18"/>
                <w:color w:val="auto"/>
              </w:rPr>
              <w:t>Diluted weighted average number of Ordinary Shares outstanding</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82,972,888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82,493,211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82,737,073</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82,473,521</w:t>
            </w:r>
          </w:p>
        </w:tc>
      </w:tr>
      <w:tr>
        <w:trPr>
          <w:trHeight w:val="256"/>
        </w:trPr>
        <w:tc>
          <w:tcPr>
            <w:tcW w:w="67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spacing w:after="0"/>
              <w:rPr>
                <w:sz w:val="22"/>
                <w:szCs w:val="22"/>
                <w:color w:val="auto"/>
              </w:rPr>
            </w:pPr>
          </w:p>
        </w:tc>
        <w:tc>
          <w:tcPr>
            <w:tcW w:w="1120" w:type="dxa"/>
            <w:vAlign w:val="bottom"/>
            <w:tcBorders>
              <w:bottom w:val="single" w:sz="8" w:color="auto"/>
            </w:tcBorders>
            <w:gridSpan w:val="2"/>
          </w:tcPr>
          <w:p>
            <w:pPr>
              <w:spacing w:after="0"/>
              <w:rPr>
                <w:sz w:val="22"/>
                <w:szCs w:val="22"/>
                <w:color w:val="auto"/>
              </w:rPr>
            </w:pPr>
          </w:p>
        </w:tc>
        <w:tc>
          <w:tcPr>
            <w:tcW w:w="1120" w:type="dxa"/>
            <w:vAlign w:val="bottom"/>
            <w:tcBorders>
              <w:bottom w:val="single" w:sz="8" w:color="auto"/>
            </w:tcBorders>
            <w:gridSpan w:val="2"/>
          </w:tcPr>
          <w:p>
            <w:pPr>
              <w:spacing w:after="0"/>
              <w:rPr>
                <w:sz w:val="22"/>
                <w:szCs w:val="22"/>
                <w:color w:val="auto"/>
              </w:rPr>
            </w:pPr>
          </w:p>
        </w:tc>
        <w:tc>
          <w:tcPr>
            <w:tcW w:w="1080" w:type="dxa"/>
            <w:vAlign w:val="bottom"/>
            <w:tcBorders>
              <w:bottom w:val="single" w:sz="8" w:color="auto"/>
            </w:tcBorders>
            <w:gridSpan w:val="2"/>
          </w:tcPr>
          <w:p>
            <w:pPr>
              <w:spacing w:after="0"/>
              <w:rPr>
                <w:sz w:val="22"/>
                <w:szCs w:val="22"/>
                <w:color w:val="auto"/>
              </w:rPr>
            </w:pPr>
          </w:p>
        </w:tc>
      </w:tr>
      <w:tr>
        <w:trPr>
          <w:trHeight w:val="232"/>
        </w:trPr>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diluted net income per Ordinary Share attributable to the Group</w:t>
            </w: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$ 3.30</w:t>
            </w: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$ 3.00</w:t>
            </w: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$ 9.31</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$ 8.62</w:t>
            </w: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0"/>
        </w:trPr>
        <w:tc>
          <w:tcPr>
            <w:tcW w:w="67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297" w:right="339" w:bottom="1440" w:gutter="0" w:footer="0" w:header="0"/>
        </w:sectPr>
      </w:pPr>
    </w:p>
    <w:bookmarkStart w:id="10" w:name="page11"/>
    <w:bookmarkEnd w:id="10"/>
    <w:p>
      <w:pPr>
        <w:ind w:right="300" w:firstLine="8"/>
        <w:spacing w:after="0" w:line="277"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Stock-based compensation expense represents the amount of recurring non-cash expense related to the Company’s equity compensation programs (inclusive of employer related taxes).</w:t>
      </w:r>
    </w:p>
    <w:p>
      <w:pPr>
        <w:spacing w:after="0" w:line="143" w:lineRule="exact"/>
        <w:rPr>
          <w:rFonts w:ascii="Arial" w:cs="Arial" w:eastAsia="Arial" w:hAnsi="Arial"/>
          <w:sz w:val="18"/>
          <w:szCs w:val="18"/>
          <w:color w:val="auto"/>
        </w:rPr>
      </w:pPr>
    </w:p>
    <w:p>
      <w:pPr>
        <w:ind w:right="220" w:firstLine="8"/>
        <w:spacing w:after="0" w:line="263"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Foreign currency losses (gains), net relates to gains or losses that arise in connection with the revaluation of non-US dollar denominated assets and liabilities. We exclude these gains and losses from adjusted EBITDA and adjusted net income because fluctuations from period- to- period do not necessarily correspond to changes in our operating results.</w:t>
      </w:r>
    </w:p>
    <w:p>
      <w:pPr>
        <w:spacing w:after="0" w:line="143" w:lineRule="exact"/>
        <w:rPr>
          <w:rFonts w:ascii="Arial" w:cs="Arial" w:eastAsia="Arial" w:hAnsi="Arial"/>
          <w:sz w:val="18"/>
          <w:szCs w:val="18"/>
          <w:color w:val="auto"/>
        </w:rPr>
      </w:pPr>
    </w:p>
    <w:p>
      <w:pPr>
        <w:ind w:right="240" w:firstLine="8"/>
        <w:spacing w:after="0" w:line="277"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Restructuring charges incurred relate to charges incurred in connection with the termination of leases at locations that are no longer being used and amounts incurred in connection with the elimination of redundant positions within the organization.</w:t>
      </w:r>
    </w:p>
    <w:p>
      <w:pPr>
        <w:spacing w:after="0" w:line="129" w:lineRule="exact"/>
        <w:rPr>
          <w:rFonts w:ascii="Arial" w:cs="Arial" w:eastAsia="Arial" w:hAnsi="Arial"/>
          <w:sz w:val="18"/>
          <w:szCs w:val="18"/>
          <w:color w:val="auto"/>
        </w:rPr>
      </w:pPr>
    </w:p>
    <w:p>
      <w:pPr>
        <w:ind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Transaction-related / integration-related costs include expenses/credits associated with our acquisitions and any other costs incurred directly related to the integration of these acquisitions.</w:t>
      </w:r>
    </w:p>
    <w:p>
      <w:pPr>
        <w:spacing w:after="0" w:line="143" w:lineRule="exact"/>
        <w:rPr>
          <w:rFonts w:ascii="Arial" w:cs="Arial" w:eastAsia="Arial" w:hAnsi="Arial"/>
          <w:sz w:val="18"/>
          <w:szCs w:val="18"/>
          <w:color w:val="auto"/>
        </w:rPr>
      </w:pPr>
    </w:p>
    <w:p>
      <w:pPr>
        <w:ind w:firstLine="8"/>
        <w:spacing w:after="0" w:line="263"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Transaction-related financing costs includes costs incurred in connection with changes to our long-term debt and amortization of financing fees. We exclude these costs from adjusted EBITDA and adjusted net income because they result from financing decisions rather than from decisions made related to our ongoing operations.</w:t>
      </w:r>
    </w:p>
    <w:p>
      <w:pPr>
        <w:spacing w:after="0" w:line="143" w:lineRule="exact"/>
        <w:rPr>
          <w:rFonts w:ascii="Arial" w:cs="Arial" w:eastAsia="Arial" w:hAnsi="Arial"/>
          <w:sz w:val="18"/>
          <w:szCs w:val="18"/>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the tax effect of adjusted pre-tax income at our estimated effective tax rate.</w:t>
      </w:r>
    </w:p>
    <w:p>
      <w:pPr>
        <w:spacing w:after="0" w:line="184" w:lineRule="exact"/>
        <w:rPr>
          <w:rFonts w:ascii="Arial" w:cs="Arial" w:eastAsia="Arial" w:hAnsi="Arial"/>
          <w:sz w:val="18"/>
          <w:szCs w:val="18"/>
          <w:color w:val="auto"/>
        </w:rPr>
      </w:pPr>
    </w:p>
    <w:p>
      <w:pPr>
        <w:ind w:right="380" w:firstLine="8"/>
        <w:spacing w:after="0" w:line="342"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April 20, 2023, the Company completed the purchase of the majority investor’s 51% majority voting share capital of Oncacare Limited (“Oncacare”). This gave rise to an acquisition-related gain of $6.2 million. This gain was excluded from adjusted EBITDA and adjusted net income.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http://www.iconplc.com</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+1 888 381 7923 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Brendan Brennan Chief Financial Officer +353 1 291 2000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Kate Haven Vice President Investor Relations +1888 381 7923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at ICON</w:t>
      </w:r>
    </w:p>
    <w:sectPr>
      <w:pgSz w:w="11900" w:h="16838" w:orient="portrait"/>
      <w:cols w:equalWidth="0" w:num="1">
        <w:col w:w="11060"/>
      </w:cols>
      <w:pgMar w:left="320" w:top="30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2023-10-25T15:46:40Z</dcterms:created>
  <dcterms:modified xsi:type="dcterms:W3CDTF">2023-10-25T15:46:40Z</dcterms:modified>
</cp:coreProperties>
</file>