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month ended August, 2014</w:t>
      </w:r>
    </w:p>
    <w:p>
      <w:pPr>
        <w:spacing w:after="0" w:line="220" w:lineRule="exact"/>
        <w:rPr>
          <w:sz w:val="24"/>
          <w:szCs w:val="24"/>
          <w:color w:val="auto"/>
        </w:rPr>
      </w:pPr>
    </w:p>
    <w:p>
      <w:pPr>
        <w:ind w:left="5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800"/>
        <w:spacing w:after="0"/>
        <w:tabs>
          <w:tab w:leader="none" w:pos="662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80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80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800"/>
        <w:spacing w:after="0"/>
        <w:tabs>
          <w:tab w:leader="none" w:pos="662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59"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2014 we had approximately 11,000 employees, in 83 locations in 38 countries. During the six months ended June 30, 2014 we derived approximately 39.8%, 49.4% and 10.8% of our net revenue in the United States, Europe and Rest of World, respectively.</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7, 2014 the Company acquired 100% of the common stock of Aptiv Solutions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 In addition to boosting the Company’s service capabilities, Aptiv Solutions will also strengthen the Company’s international presence through the addition of over 850 highly qualified and experienced professionals in the United States, Europe and Japan (</w:t>
      </w:r>
      <w:r>
        <w:rPr>
          <w:rFonts w:ascii="Arial" w:cs="Arial" w:eastAsia="Arial" w:hAnsi="Arial"/>
          <w:sz w:val="18"/>
          <w:szCs w:val="18"/>
          <w:i w:val="1"/>
          <w:iCs w:val="1"/>
          <w:color w:val="auto"/>
        </w:rPr>
        <w:t>see note 3 Business Combinations for further information)</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At the Company’s Annual General Meeting on July 22, 2013, the Company was given authority to repurchase (whether by way of redemption or otherwise) up to 10% of the outstanding shares in the Company. The authority allowed the Company to repurchase shares if the market conditions were favourable. Pursuant to this authority, on May 8, 2014, the Company entered into a share repurchase plan, to acquire shares by way of redemption, in accordance with Rule 10b-18 and Rule 10b5-1 of the Securities Exchange Act of 1934. During the three months ended June 30, 2014, 291,190 ordinary shares were redeemed by the Company under the repurchase plan for a total consideration of $11.5 million. </w:t>
      </w:r>
      <w:r>
        <w:rPr>
          <w:rFonts w:ascii="Arial" w:cs="Arial" w:eastAsia="Arial" w:hAnsi="Arial"/>
          <w:sz w:val="16"/>
          <w:szCs w:val="16"/>
          <w:i w:val="1"/>
          <w:iCs w:val="1"/>
          <w:color w:val="auto"/>
        </w:rPr>
        <w:t>(See note 8 Share Capital for further information.</w:t>
      </w:r>
      <w:r>
        <w:rPr>
          <w:rFonts w:ascii="Arial" w:cs="Arial" w:eastAsia="Arial" w:hAnsi="Arial"/>
          <w:sz w:val="16"/>
          <w:szCs w:val="16"/>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JUNE 30, 2014 AND DECEMBER 31, 2013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(Unaudited)</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20"/>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24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81,313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182,519</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94,059</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138,317</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382,924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342,581</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139,739</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113,239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14,572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14,415</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Deferred tax asset</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20,653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28,644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32,176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24,664</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32,661</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9,049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798,097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853,428</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160,170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160,830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507,238</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357,523</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6,732</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income taxes receivable</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13,527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25,172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7,421</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27,694</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31,354</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1,525,740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1,442,460</w:t>
            </w: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10,903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4,594</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290,754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297,347</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194,728</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194,812</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502,586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501,169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7,717</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11,198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government grants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1,282</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1,359</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4,646</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5,288</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liability</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11,176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12,867</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61,897,155 shares issued and outstanding at June 30, 2014 and</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61,587,257 shares issued and outstanding at December 31, 2013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5,168</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302,480</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279,572</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redemption reserve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1,331</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1,960</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689,213</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623,779</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998,333</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910,579</w:t>
            </w:r>
          </w:p>
        </w:tc>
      </w:tr>
      <w:tr>
        <w:trPr>
          <w:trHeight w:val="257"/>
        </w:trPr>
        <w:tc>
          <w:tcPr>
            <w:tcW w:w="20" w:type="dxa"/>
            <w:vAlign w:val="bottom"/>
          </w:tcPr>
          <w:p>
            <w:pPr>
              <w:spacing w:after="0"/>
              <w:rPr>
                <w:sz w:val="22"/>
                <w:szCs w:val="22"/>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1,525,740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1,442,460</w:t>
            </w: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2014 AND JUNE 30,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85"/>
              </w:rPr>
              <w:t>June 30,</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17"/>
                <w:szCs w:val="17"/>
                <w:color w:val="auto"/>
              </w:rPr>
            </w:pPr>
          </w:p>
        </w:tc>
        <w:tc>
          <w:tcPr>
            <w:tcW w:w="92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20" w:type="dxa"/>
            <w:vAlign w:val="bottom"/>
            <w:gridSpan w:val="15"/>
          </w:tcPr>
          <w:p>
            <w:pPr>
              <w:jc w:val="right"/>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506,404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469,626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982,948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888,685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Reimbursable expenses</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(130,384)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(135,407)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(257,294)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(237,677)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14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376,020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334,219</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725,654</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651,008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Costs and expenses: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1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227,188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214,231</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443,328</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87,622</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77,548</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166,570</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153,112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12,922</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11,520</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24,470</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Restructuring and other items</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4,621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 costs and expenses</w:t>
            </w:r>
          </w:p>
        </w:tc>
        <w:tc>
          <w:tcPr>
            <w:tcW w:w="1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327,732</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307,920</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634,368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601,713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48,288</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26,299</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91,286</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607</w:t>
            </w:r>
          </w:p>
        </w:tc>
        <w:tc>
          <w:tcPr>
            <w:tcW w:w="40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(297)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(374)</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(554)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140" w:type="dxa"/>
            <w:vAlign w:val="bottom"/>
          </w:tcPr>
          <w:p>
            <w:pPr>
              <w:spacing w:after="0"/>
              <w:rPr>
                <w:sz w:val="18"/>
                <w:szCs w:val="18"/>
                <w:color w:val="auto"/>
              </w:rPr>
            </w:pP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48,250</w:t>
            </w:r>
          </w:p>
        </w:tc>
        <w:tc>
          <w:tcPr>
            <w:tcW w:w="300" w:type="dxa"/>
            <w:vAlign w:val="bottom"/>
          </w:tcPr>
          <w:p>
            <w:pPr>
              <w:spacing w:after="0"/>
              <w:rPr>
                <w:sz w:val="18"/>
                <w:szCs w:val="18"/>
                <w:color w:val="auto"/>
              </w:rPr>
            </w:pP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26,199</w:t>
            </w:r>
          </w:p>
        </w:tc>
        <w:tc>
          <w:tcPr>
            <w:tcW w:w="300" w:type="dxa"/>
            <w:vAlign w:val="bottom"/>
          </w:tcPr>
          <w:p>
            <w:pPr>
              <w:spacing w:after="0"/>
              <w:rPr>
                <w:sz w:val="18"/>
                <w:szCs w:val="18"/>
                <w:color w:val="auto"/>
              </w:rPr>
            </w:pPr>
          </w:p>
        </w:tc>
        <w:tc>
          <w:tcPr>
            <w:tcW w:w="1060" w:type="dxa"/>
            <w:vAlign w:val="bottom"/>
            <w:gridSpan w:val="5"/>
          </w:tcPr>
          <w:p>
            <w:pPr>
              <w:jc w:val="right"/>
              <w:ind w:right="140"/>
              <w:spacing w:after="0"/>
              <w:rPr>
                <w:sz w:val="20"/>
                <w:szCs w:val="20"/>
                <w:color w:val="auto"/>
              </w:rPr>
            </w:pPr>
            <w:r>
              <w:rPr>
                <w:rFonts w:ascii="Arial" w:cs="Arial" w:eastAsia="Arial" w:hAnsi="Arial"/>
                <w:sz w:val="18"/>
                <w:szCs w:val="18"/>
                <w:color w:val="auto"/>
              </w:rPr>
              <w:t>91,339</w:t>
            </w:r>
          </w:p>
        </w:tc>
        <w:tc>
          <w:tcPr>
            <w:tcW w:w="40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Arial" w:cs="Arial" w:eastAsia="Arial" w:hAnsi="Arial"/>
                <w:sz w:val="18"/>
                <w:szCs w:val="18"/>
                <w:color w:val="auto"/>
              </w:rPr>
              <w:t>49,010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(7,467)</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(3,720)</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(14,361)</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40,783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22,479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76,978</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41,524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Ordinary Share: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0.66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0.64</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61,934,923</w:t>
            </w:r>
          </w:p>
        </w:tc>
        <w:tc>
          <w:tcPr>
            <w:tcW w:w="1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60,724,296</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9"/>
              </w:rPr>
              <w:t>61,855,783</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60,555,945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63,343,269</w:t>
            </w:r>
          </w:p>
        </w:tc>
        <w:tc>
          <w:tcPr>
            <w:tcW w:w="1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61,898,903</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w w:val="99"/>
              </w:rPr>
              <w:t>63,290,292</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8"/>
              </w:rPr>
              <w:t>61,607,757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2014 AND 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4"/>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76,978</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 plant and equipment</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20,032</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4,438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Amortization of grants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compensation expense</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9,751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4,361</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accounts receivable</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(15,765)</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unbilled revenue</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other receivables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prepayments and other current assets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Increase in other non current assets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(1,437)</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payments on account</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(Decrease)/increase in other current liabilities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(50,208)</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non-current liabilities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785</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Decrease in income taxes payable</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(11,504)</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(Decrease)/increase in accounts payable</w:t>
            </w:r>
          </w:p>
        </w:tc>
        <w:tc>
          <w:tcPr>
            <w:tcW w:w="1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5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cash (used in)/provided by operating activities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(16,256)</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80,217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(121,101)</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with subsidiary undertakings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3,518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1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(48,972)</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93,569</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 in restricted cash, net</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(85,952)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(104,479)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Proceeds from exercise of share options</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12,272</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issuance costs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116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771</w:t>
            </w:r>
          </w:p>
        </w:tc>
        <w:tc>
          <w:tcPr>
            <w:tcW w:w="5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Share repurchase costs</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1,488</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(101,206)</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182,519</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81,313</w:t>
            </w:r>
          </w:p>
        </w:tc>
        <w:tc>
          <w:tcPr>
            <w:tcW w:w="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98,267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960" w:type="dxa"/>
            <w:vAlign w:val="bottom"/>
            <w:gridSpan w:val="2"/>
          </w:tcPr>
          <w:p>
            <w:pPr>
              <w:spacing w:after="0"/>
              <w:rPr>
                <w:sz w:val="20"/>
                <w:szCs w:val="20"/>
                <w:color w:val="auto"/>
              </w:rPr>
            </w:pPr>
            <w:r>
              <w:rPr>
                <w:rFonts w:ascii="Arial" w:cs="Arial" w:eastAsia="Arial" w:hAnsi="Arial"/>
                <w:sz w:val="18"/>
                <w:szCs w:val="18"/>
                <w:color w:val="auto"/>
                <w:w w:val="99"/>
              </w:rPr>
              <w:t>The accompanying notes are an integral part of these condensed consolidated financial statements.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960" w:type="dxa"/>
            <w:vAlign w:val="bottom"/>
            <w:gridSpan w:val="2"/>
          </w:tcPr>
          <w:p>
            <w:pPr>
              <w:jc w:val="right"/>
              <w:ind w:right="2110"/>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6"/>
              </w:rPr>
              <w:t>Additional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7"/>
                <w:szCs w:val="17"/>
                <w:color w:val="auto"/>
              </w:rPr>
            </w:pPr>
          </w:p>
        </w:tc>
        <w:tc>
          <w:tcPr>
            <w:tcW w:w="122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rPr>
              <w:t>Redemption</w:t>
            </w:r>
          </w:p>
        </w:tc>
        <w:tc>
          <w:tcPr>
            <w:tcW w:w="13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6"/>
              </w:rPr>
              <w:t>Comprehensive</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89"/>
              </w:rPr>
              <w:t>Retained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60" w:type="dxa"/>
            <w:vAlign w:val="bottom"/>
            <w:gridSpan w:val="3"/>
          </w:tcPr>
          <w:p>
            <w:pPr>
              <w:jc w:val="right"/>
              <w:ind w:right="140"/>
              <w:spacing w:after="0" w:line="196" w:lineRule="exact"/>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17"/>
                <w:szCs w:val="17"/>
                <w:color w:val="auto"/>
              </w:rPr>
            </w:pPr>
          </w:p>
        </w:tc>
        <w:tc>
          <w:tcPr>
            <w:tcW w:w="7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w w:val="89"/>
              </w:rPr>
              <w:t>Capital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99"/>
              </w:rPr>
              <w:t>Reserve</w:t>
            </w:r>
          </w:p>
        </w:tc>
        <w:tc>
          <w:tcPr>
            <w:tcW w:w="180" w:type="dxa"/>
            <w:vAlign w:val="bottom"/>
          </w:tcPr>
          <w:p>
            <w:pPr>
              <w:spacing w:after="0"/>
              <w:rPr>
                <w:sz w:val="17"/>
                <w:szCs w:val="17"/>
                <w:color w:val="auto"/>
              </w:rPr>
            </w:pPr>
          </w:p>
        </w:tc>
        <w:tc>
          <w:tcPr>
            <w:tcW w:w="1140" w:type="dxa"/>
            <w:vAlign w:val="bottom"/>
            <w:gridSpan w:val="4"/>
          </w:tcPr>
          <w:p>
            <w:pPr>
              <w:jc w:val="right"/>
              <w:ind w:right="120"/>
              <w:spacing w:after="0" w:line="196" w:lineRule="exact"/>
              <w:rPr>
                <w:sz w:val="20"/>
                <w:szCs w:val="20"/>
                <w:color w:val="auto"/>
              </w:rPr>
            </w:pPr>
            <w:r>
              <w:rPr>
                <w:rFonts w:ascii="Arial" w:cs="Arial" w:eastAsia="Arial" w:hAnsi="Arial"/>
                <w:sz w:val="18"/>
                <w:szCs w:val="18"/>
                <w:b w:val="1"/>
                <w:bCs w:val="1"/>
                <w:color w:val="auto"/>
              </w:rPr>
              <w:t>Income</w:t>
            </w:r>
          </w:p>
        </w:tc>
        <w:tc>
          <w:tcPr>
            <w:tcW w:w="240" w:type="dxa"/>
            <w:vAlign w:val="bottom"/>
          </w:tcPr>
          <w:p>
            <w:pPr>
              <w:spacing w:after="0"/>
              <w:rPr>
                <w:sz w:val="17"/>
                <w:szCs w:val="17"/>
                <w:color w:val="auto"/>
              </w:rPr>
            </w:pPr>
          </w:p>
        </w:tc>
        <w:tc>
          <w:tcPr>
            <w:tcW w:w="880" w:type="dxa"/>
            <w:vAlign w:val="bottom"/>
            <w:gridSpan w:val="3"/>
          </w:tcPr>
          <w:p>
            <w:pPr>
              <w:jc w:val="right"/>
              <w:ind w:right="120"/>
              <w:spacing w:after="0" w:line="196" w:lineRule="exact"/>
              <w:rPr>
                <w:sz w:val="20"/>
                <w:szCs w:val="20"/>
                <w:color w:val="auto"/>
              </w:rPr>
            </w:pPr>
            <w:r>
              <w:rPr>
                <w:rFonts w:ascii="Arial" w:cs="Arial" w:eastAsia="Arial" w:hAnsi="Arial"/>
                <w:sz w:val="18"/>
                <w:szCs w:val="18"/>
                <w:b w:val="1"/>
                <w:bCs w:val="1"/>
                <w:color w:val="auto"/>
                <w:w w:val="96"/>
              </w:rPr>
              <w:t>Earnings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right w:val="single" w:sz="8" w:color="auto"/>
            </w:tcBorders>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60" w:type="dxa"/>
            <w:vAlign w:val="bottom"/>
            <w:gridSpan w:val="13"/>
          </w:tcPr>
          <w:p>
            <w:pPr>
              <w:jc w:val="right"/>
              <w:ind w:right="300"/>
              <w:spacing w:after="0"/>
              <w:rPr>
                <w:sz w:val="20"/>
                <w:szCs w:val="20"/>
                <w:color w:val="auto"/>
              </w:rPr>
            </w:pPr>
            <w:r>
              <w:rPr>
                <w:rFonts w:ascii="Arial" w:cs="Arial" w:eastAsia="Arial" w:hAnsi="Arial"/>
                <w:sz w:val="18"/>
                <w:szCs w:val="18"/>
                <w:b w:val="1"/>
                <w:bCs w:val="1"/>
                <w:color w:val="auto"/>
                <w:w w:val="89"/>
              </w:rPr>
              <w:t>(dollars in thousands, except share data)</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10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61,587,257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279,572</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623,779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910,579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76,978</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(1,286)</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Currency impact of long term funding</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4"/>
              </w:rPr>
              <w:t>Tax on currency impact of long term funding</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Unrealized capital gain - investments</w:t>
            </w: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income</w:t>
            </w: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(629)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76,978</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76,349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511,199</w:t>
            </w: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12,224</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Issue of restricted share units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89,889</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(291,190)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2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(11,532)</w:t>
            </w:r>
          </w:p>
        </w:tc>
        <w:tc>
          <w:tcPr>
            <w:tcW w:w="3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 repurchase costs</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 benefit on exercise of options</w:t>
            </w:r>
          </w:p>
        </w:tc>
        <w:tc>
          <w:tcPr>
            <w:tcW w:w="10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right w:val="single" w:sz="8" w:color="CCEEFF"/>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30, 2014</w:t>
            </w:r>
          </w:p>
        </w:tc>
        <w:tc>
          <w:tcPr>
            <w:tcW w:w="1060" w:type="dxa"/>
            <w:vAlign w:val="bottom"/>
            <w:tcBorders>
              <w:bottom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61,897,155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1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302,480</w:t>
            </w:r>
          </w:p>
        </w:tc>
        <w:tc>
          <w:tcPr>
            <w:tcW w:w="14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left w:val="single" w:sz="8" w:color="CCEEFF"/>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689,213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998,333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2013. Operating results for the six months ended June 30, 2014 are not necessarily indicative of the results that may be expected for the fiscal period ending December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86"/>
              </w:rPr>
              <w:t>Six months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82"/>
              </w:rPr>
              <w:t>ended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11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gridSpan w:val="2"/>
          </w:tcPr>
          <w:p>
            <w:pPr>
              <w:spacing w:after="0"/>
              <w:rPr>
                <w:sz w:val="17"/>
                <w:szCs w:val="17"/>
                <w:color w:val="auto"/>
              </w:rPr>
            </w:pPr>
          </w:p>
        </w:tc>
        <w:tc>
          <w:tcPr>
            <w:tcW w:w="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8"/>
          </w:tcPr>
          <w:p>
            <w:pPr>
              <w:ind w:left="2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5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357,523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period acquisitions</w:t>
            </w:r>
          </w:p>
        </w:tc>
        <w:tc>
          <w:tcPr>
            <w:tcW w:w="52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149,098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5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balance</w:t>
            </w:r>
          </w:p>
        </w:tc>
        <w:tc>
          <w:tcPr>
            <w:tcW w:w="5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507,238</w:t>
            </w: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357,523</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220" w:type="dxa"/>
            <w:vAlign w:val="bottom"/>
          </w:tcPr>
          <w:p>
            <w:pPr>
              <w:jc w:val="right"/>
              <w:ind w:right="32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5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Aptiv Solutions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7, 2014 the Company acquired 100% of the common stock of Aptiv Solutions (“Aptiv”), a global biopharmaceutical and medical device development services company and leader in adaptive clinical trials for a cash consideration of $143.5 million including certain payments to be made on behalf of the company on completion totalling $22.4 million.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 In addition to boosting the Company’s service capabilities, Aptiv Solutions will also strengthen the Company’s international presence through the addition of over 850 highly qualified and experienced professionals in the United States, Europe and Japan.</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of Aptiv Solutions has been accounted for as a business combination in accordance with FASB ASC 805 Business Combinations. The following table summarizes the preliminary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May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50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Goodwill*</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Accounts receivable</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40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liabilities</w:t>
            </w:r>
          </w:p>
        </w:tc>
        <w:tc>
          <w:tcPr>
            <w:tcW w:w="40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40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4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consideration</w:t>
            </w:r>
          </w:p>
        </w:tc>
        <w:tc>
          <w:tcPr>
            <w:tcW w:w="40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Adjustments to cash consideration</w:t>
            </w:r>
          </w:p>
        </w:tc>
        <w:tc>
          <w:tcPr>
            <w:tcW w:w="40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(22,399)</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assets acquired</w:t>
            </w:r>
          </w:p>
        </w:tc>
        <w:tc>
          <w:tcPr>
            <w:tcW w:w="4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121,101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jc w:val="both"/>
        <w:ind w:firstLine="8"/>
        <w:spacing w:after="0" w:line="254" w:lineRule="auto"/>
        <w:tabs>
          <w:tab w:leader="none" w:pos="163" w:val="left"/>
        </w:tabs>
        <w:numPr>
          <w:ilvl w:val="0"/>
          <w:numId w:val="1"/>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clinical trial consulting and regulatory support for drugs, medical devices and diagnostics with a specific focus on strategy to increase product development efficiency and productivity. Goodwill related to the US portion of the business acquired is tax deductible. We are completing the purchase price allocation which will result in an element of the purchase price currently recorded as goodwill being ascribed to separately identifiable intangible assets.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Prior Period Acquisitions - Clinical Trial Services Division of Cross Country Healthcare, Inc.</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15, 2013 the Company acquired the clinical trial services division of Cross Country Healthcare Inc. for an initial cash consideration of $51.9 million. The agreement provided for further consideration of up to $3.75 million which may become payable if certain performance milestones are achieved during the period ended December 31, 2013. Cross Country Healthcare’s Clinical Trial Services division includes US resourcing providers, ClinForce and Assent Consulting, whose services include contract staffing, permanent placement and functional service provision. The division also includes AKOS, a leading US and EU provider of pharmacovigilance and drug safety services. ClinForce and Assent have been combined with ICON’s functional service provision (“FSP”) division, DOCS, creating a leader in global resourcing and FSP, while AKOS will enhance the services offered by ICON’s medical and safety services team. Certain operating margin perfomance milestones in relation to ClinForce and Assent Consulting were not achieved during the period ended December 31, 2013 resulting in a reduction of $3.75 million to the contingent consideration.</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agreement also provided for certain working capital targets to be achieved by the clinical trial services division of Cross Country Healthcare, Inc on completion. In October 2013 the Company received $0.2 million on completion of this review.</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the clinical trial services division of Cross Country Healthcare, Inc has been accounted for as a business combination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FASB ASC 805 Business Combinations. The following table summarizes the fair values of the assets acquired and the liabilities assumed: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4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Goodwill*</w:t>
            </w:r>
          </w:p>
        </w:tc>
        <w:tc>
          <w:tcPr>
            <w:tcW w:w="37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7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receivable</w:t>
            </w:r>
          </w:p>
        </w:tc>
        <w:tc>
          <w:tcPr>
            <w:tcW w:w="37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7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7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Other liabilities</w:t>
            </w:r>
          </w:p>
        </w:tc>
        <w:tc>
          <w:tcPr>
            <w:tcW w:w="37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37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3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51,698</w:t>
            </w:r>
          </w:p>
        </w:tc>
        <w:tc>
          <w:tcPr>
            <w:tcW w:w="0" w:type="dxa"/>
            <w:vAlign w:val="bottom"/>
          </w:tcPr>
          <w:p>
            <w:pPr>
              <w:spacing w:after="0"/>
              <w:rPr>
                <w:sz w:val="1"/>
                <w:szCs w:val="1"/>
                <w:color w:val="auto"/>
              </w:rPr>
            </w:pPr>
          </w:p>
        </w:tc>
      </w:tr>
    </w:tbl>
    <w:p>
      <w:pPr>
        <w:jc w:val="both"/>
        <w:ind w:firstLine="8"/>
        <w:spacing w:after="0" w:line="255" w:lineRule="auto"/>
        <w:tabs>
          <w:tab w:leader="none" w:pos="138"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Goodwill represents the acquisition of an established workforce with experience in the clinical research industry, thereby allowing the Company to enhance its capabilities in global resourcing and FSP and also medical and safety services. Goodwill related to the US portion of the business acquired is tax deductible.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4. Restructuring and other items</w:t>
            </w: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900" w:type="dxa"/>
            <w:vAlign w:val="bottom"/>
            <w:gridSpan w:val="2"/>
          </w:tcPr>
          <w:p>
            <w:pPr>
              <w:spacing w:after="0"/>
              <w:rPr>
                <w:sz w:val="20"/>
                <w:szCs w:val="20"/>
                <w:color w:val="auto"/>
              </w:rPr>
            </w:pPr>
            <w:r>
              <w:rPr>
                <w:rFonts w:ascii="Arial" w:cs="Arial" w:eastAsia="Arial" w:hAnsi="Arial"/>
                <w:sz w:val="18"/>
                <w:szCs w:val="18"/>
                <w:color w:val="auto"/>
              </w:rPr>
              <w:t>Restructuring and other items recognized comprise:</w:t>
            </w: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40" w:type="dxa"/>
            <w:vAlign w:val="bottom"/>
            <w:gridSpan w:val="7"/>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0"/>
              </w:rPr>
              <w:t>June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Borders>
              <w:top w:val="single" w:sz="8" w:color="auto"/>
            </w:tcBorders>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June</w:t>
            </w: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June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7"/>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3"/>
              </w:rPr>
              <w:t>4,621</w:t>
            </w:r>
          </w:p>
        </w:tc>
        <w:tc>
          <w:tcPr>
            <w:tcW w:w="6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3"/>
              </w:rPr>
              <w:t>4,621</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9,033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Restructuring and other items of $9.0 million were recorded during the year ended December 31, 2013. During Q1 and Q2 2013 the Company conducted a review of its operations. This review resulted in the adoption of an initial restructuring plan, which included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A further restructuring plan was also adopted during 2013 which resulted in resource rationalizations in order to improve operating efficiencies and reduce expenses. Details of the movement in this restructuring plan recognized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rPr>
              <w:t>Workforce</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Office</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Reductions</w:t>
            </w: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Consolidations</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Q1 Plan - Initial provision recognized</w:t>
            </w:r>
          </w:p>
        </w:tc>
        <w:tc>
          <w:tcPr>
            <w:tcW w:w="3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3,903</w:t>
            </w:r>
          </w:p>
        </w:tc>
        <w:tc>
          <w:tcPr>
            <w:tcW w:w="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Q2 Plan - Initial provision recognized</w:t>
            </w: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4,228</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393</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Residual balance from prior periods</w:t>
            </w:r>
          </w:p>
        </w:tc>
        <w:tc>
          <w:tcPr>
            <w:tcW w:w="3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 provision recognized</w:t>
            </w: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8,131</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1,032</w:t>
            </w:r>
          </w:p>
        </w:tc>
        <w:tc>
          <w:tcPr>
            <w:tcW w:w="46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Amounts released</w:t>
            </w:r>
          </w:p>
        </w:tc>
        <w:tc>
          <w:tcPr>
            <w:tcW w:w="3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December 31, 2013</w:t>
            </w:r>
          </w:p>
        </w:tc>
        <w:tc>
          <w:tcPr>
            <w:tcW w:w="3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1,491</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833</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Amounts released</w:t>
            </w:r>
          </w:p>
        </w:tc>
        <w:tc>
          <w:tcPr>
            <w:tcW w:w="34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3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19"/>
                <w:szCs w:val="19"/>
                <w:color w:val="auto"/>
              </w:rPr>
            </w:pPr>
          </w:p>
        </w:tc>
        <w:tc>
          <w:tcPr>
            <w:tcW w:w="3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at June 30, 2014</w:t>
            </w:r>
          </w:p>
        </w:tc>
        <w:tc>
          <w:tcPr>
            <w:tcW w:w="3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714</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460" w:type="dxa"/>
            <w:vAlign w:val="bottom"/>
          </w:tcPr>
          <w:p>
            <w:pPr>
              <w:jc w:val="right"/>
              <w:ind w:right="1750"/>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60" w:type="dxa"/>
            <w:vAlign w:val="bottom"/>
            <w:tcBorders>
              <w:bottom w:val="single" w:sz="8" w:color="808080"/>
            </w:tcBorders>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5. Income Taxes</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460" w:type="dxa"/>
            <w:vAlign w:val="bottom"/>
            <w:gridSpan w:val="3"/>
          </w:tcPr>
          <w:p>
            <w:pPr>
              <w:spacing w:after="0"/>
              <w:rPr>
                <w:sz w:val="20"/>
                <w:szCs w:val="20"/>
                <w:color w:val="auto"/>
              </w:rPr>
            </w:pPr>
            <w:r>
              <w:rPr>
                <w:rFonts w:ascii="Arial" w:cs="Arial" w:eastAsia="Arial" w:hAnsi="Arial"/>
                <w:sz w:val="18"/>
                <w:szCs w:val="18"/>
                <w:color w:val="auto"/>
                <w:w w:val="90"/>
              </w:rPr>
              <w:t>Income taxes recognized during the three and six months ended June 30, 2014 comprise: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00" w:type="dxa"/>
            <w:vAlign w:val="bottom"/>
          </w:tcPr>
          <w:p>
            <w:pPr>
              <w:spacing w:after="0"/>
              <w:rPr>
                <w:sz w:val="17"/>
                <w:szCs w:val="17"/>
                <w:color w:val="auto"/>
              </w:rPr>
            </w:pPr>
          </w:p>
        </w:tc>
        <w:tc>
          <w:tcPr>
            <w:tcW w:w="800" w:type="dxa"/>
            <w:vAlign w:val="bottom"/>
            <w:gridSpan w:val="5"/>
          </w:tcPr>
          <w:p>
            <w:pPr>
              <w:jc w:val="right"/>
              <w:ind w:right="120"/>
              <w:spacing w:after="0" w:line="196" w:lineRule="exact"/>
              <w:rPr>
                <w:sz w:val="20"/>
                <w:szCs w:val="20"/>
                <w:color w:val="auto"/>
              </w:rPr>
            </w:pPr>
            <w:r>
              <w:rPr>
                <w:rFonts w:ascii="Arial" w:cs="Arial" w:eastAsia="Arial" w:hAnsi="Arial"/>
                <w:sz w:val="18"/>
                <w:szCs w:val="18"/>
                <w:b w:val="1"/>
                <w:bCs w:val="1"/>
                <w:color w:val="auto"/>
                <w:w w:val="91"/>
              </w:rPr>
              <w:t>June 30,</w:t>
            </w:r>
          </w:p>
        </w:tc>
        <w:tc>
          <w:tcPr>
            <w:tcW w:w="58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before restructuring and other items</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4,315</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14,361</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impact of restructuring and other items</w:t>
            </w:r>
          </w:p>
        </w:tc>
        <w:tc>
          <w:tcPr>
            <w:tcW w:w="1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(595)</w:t>
            </w: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 after restructuring and other items</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3,720</w:t>
            </w:r>
          </w:p>
        </w:tc>
        <w:tc>
          <w:tcPr>
            <w:tcW w:w="5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14,361</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7,486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at June 30, 2014 the Company maintains a $7.2 million liability (December 31, 2013: $6.7 million) for unrecognized tax benefit, which is comprised of $6.2 million (December 31, 2013: $5.8 million) related to items generating unrecognized tax benefits and $1.0 million (December 31, 2013: $0.9 million) for interest and related penalties to such items. The Company recognizes interest accrued on unrecognized tax benefits as an additional income tax expense.</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2008 through 2013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Three Months Ended</w:t>
            </w:r>
          </w:p>
        </w:tc>
        <w:tc>
          <w:tcPr>
            <w:tcW w:w="72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gridSpan w:val="7"/>
          </w:tcPr>
          <w:p>
            <w:pPr>
              <w:ind w:left="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640" w:type="dxa"/>
            <w:vAlign w:val="bottom"/>
            <w:gridSpan w:val="5"/>
          </w:tcPr>
          <w:p>
            <w:pPr>
              <w:ind w:left="740"/>
              <w:spacing w:after="0" w:line="196" w:lineRule="exact"/>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7"/>
                <w:szCs w:val="17"/>
                <w:color w:val="auto"/>
              </w:rPr>
            </w:pPr>
          </w:p>
        </w:tc>
        <w:tc>
          <w:tcPr>
            <w:tcW w:w="920" w:type="dxa"/>
            <w:vAlign w:val="bottom"/>
            <w:gridSpan w:val="3"/>
          </w:tcPr>
          <w:p>
            <w:pPr>
              <w:jc w:val="right"/>
              <w:ind w:right="280"/>
              <w:spacing w:after="0" w:line="196" w:lineRule="exact"/>
              <w:rPr>
                <w:sz w:val="20"/>
                <w:szCs w:val="20"/>
                <w:color w:val="auto"/>
              </w:rPr>
            </w:pPr>
            <w:r>
              <w:rPr>
                <w:rFonts w:ascii="Arial" w:cs="Arial" w:eastAsia="Arial" w:hAnsi="Arial"/>
                <w:sz w:val="18"/>
                <w:szCs w:val="18"/>
                <w:b w:val="1"/>
                <w:bCs w:val="1"/>
                <w:color w:val="auto"/>
                <w:w w:val="85"/>
              </w:rPr>
              <w:t>June 30,</w:t>
            </w:r>
          </w:p>
        </w:tc>
        <w:tc>
          <w:tcPr>
            <w:tcW w:w="1180" w:type="dxa"/>
            <w:vAlign w:val="bottom"/>
            <w:gridSpan w:val="4"/>
          </w:tcPr>
          <w:p>
            <w:pPr>
              <w:ind w:left="4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7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gridSpan w:val="3"/>
          </w:tcPr>
          <w:p>
            <w:pPr>
              <w:jc w:val="right"/>
              <w:ind w:right="280"/>
              <w:spacing w:after="0" w:line="196" w:lineRule="exact"/>
              <w:rPr>
                <w:sz w:val="20"/>
                <w:szCs w:val="20"/>
                <w:color w:val="auto"/>
              </w:rPr>
            </w:pPr>
            <w:r>
              <w:rPr>
                <w:rFonts w:ascii="Arial" w:cs="Arial" w:eastAsia="Arial" w:hAnsi="Arial"/>
                <w:sz w:val="18"/>
                <w:szCs w:val="18"/>
                <w:b w:val="1"/>
                <w:bCs w:val="1"/>
                <w:color w:val="auto"/>
              </w:rPr>
              <w:t>2014</w:t>
            </w:r>
          </w:p>
        </w:tc>
        <w:tc>
          <w:tcPr>
            <w:tcW w:w="118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number of ordinary shares outstanding for basic net income per</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ordinary share</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61,934,923</w:t>
            </w:r>
          </w:p>
        </w:tc>
        <w:tc>
          <w:tcPr>
            <w:tcW w:w="16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60,724,296</w:t>
            </w:r>
          </w:p>
        </w:tc>
        <w:tc>
          <w:tcPr>
            <w:tcW w:w="13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61,855,783</w:t>
            </w: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60,555,945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1,408,346</w:t>
            </w: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1,174,607</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color w:val="auto"/>
              </w:rPr>
              <w:t>1,434,509</w:t>
            </w:r>
          </w:p>
        </w:tc>
        <w:tc>
          <w:tcPr>
            <w:tcW w:w="1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1,051,812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ordinary shares for diluted net income per ordinary</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w:t>
            </w: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63,343,269</w:t>
            </w:r>
          </w:p>
        </w:tc>
        <w:tc>
          <w:tcPr>
            <w:tcW w:w="1640" w:type="dxa"/>
            <w:vAlign w:val="bottom"/>
            <w:tcBorders>
              <w:bottom w:val="single" w:sz="8" w:color="auto"/>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61,898,903</w:t>
            </w:r>
          </w:p>
        </w:tc>
        <w:tc>
          <w:tcPr>
            <w:tcW w:w="1360" w:type="dxa"/>
            <w:vAlign w:val="bottom"/>
            <w:tcBorders>
              <w:bottom w:val="single" w:sz="8" w:color="auto"/>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63,290,292</w:t>
            </w:r>
          </w:p>
        </w:tc>
        <w:tc>
          <w:tcPr>
            <w:tcW w:w="11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61,607,757</w:t>
            </w:r>
          </w:p>
        </w:tc>
        <w:tc>
          <w:tcPr>
            <w:tcW w:w="0" w:type="dxa"/>
            <w:vAlign w:val="bottom"/>
          </w:tcPr>
          <w:p>
            <w:pPr>
              <w:spacing w:after="0"/>
              <w:rPr>
                <w:sz w:val="1"/>
                <w:szCs w:val="1"/>
                <w:color w:val="auto"/>
              </w:rPr>
            </w:pPr>
          </w:p>
        </w:tc>
      </w:tr>
      <w:tr>
        <w:trPr>
          <w:trHeight w:val="601"/>
        </w:trPr>
        <w:tc>
          <w:tcPr>
            <w:tcW w:w="6160" w:type="dxa"/>
            <w:vAlign w:val="bottom"/>
            <w:gridSpan w:val="2"/>
          </w:tcPr>
          <w:p>
            <w:pPr>
              <w:jc w:val="right"/>
              <w:ind w:right="27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7.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June 30, 2014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six months ended June 30,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2,973,788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9.57</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362,955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14.07</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3300" w:type="dxa"/>
            <w:vAlign w:val="bottom"/>
          </w:tcPr>
          <w:p>
            <w:pPr>
              <w:jc w:val="right"/>
              <w:spacing w:after="0"/>
              <w:rPr>
                <w:sz w:val="20"/>
                <w:szCs w:val="20"/>
                <w:color w:val="auto"/>
              </w:rPr>
            </w:pPr>
            <w:r>
              <w:rPr>
                <w:rFonts w:ascii="Arial" w:cs="Arial" w:eastAsia="Arial" w:hAnsi="Arial"/>
                <w:sz w:val="18"/>
                <w:szCs w:val="18"/>
                <w:color w:val="auto"/>
              </w:rPr>
              <w:t>(511,199)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23.99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9.41</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(138,888)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8.69</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2,686,656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10.25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June 30, 2014</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1,382,008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8.01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right"/>
              <w:ind w:right="149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The Company has granted options with fair values ranging from $5.88 to $15.03 per option or a weighted average fair value of $9.97 per option. The Company issues ordinary shares for all options exercised. The total amount of fully vested share options which remained outstanding at June 30, 2014, was 1,382,008. Fully vested share options at June 30, 2014, have an average remaining contractual term of 3.28 years, an average exercise price of $24.95 and a total intrinsic value of $30.6 million. The total intrinsic value of options exercised during the six months ended June 30, 2014 was $10.9 million (June 30, 2013: $7.8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six months ended June 30,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Average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326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Exercise Price</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2013</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1,468,081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362,955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Vested</w:t>
            </w:r>
          </w:p>
        </w:tc>
        <w:tc>
          <w:tcPr>
            <w:tcW w:w="3260" w:type="dxa"/>
            <w:vAlign w:val="bottom"/>
          </w:tcPr>
          <w:p>
            <w:pPr>
              <w:jc w:val="right"/>
              <w:spacing w:after="0"/>
              <w:rPr>
                <w:sz w:val="20"/>
                <w:szCs w:val="20"/>
                <w:color w:val="auto"/>
              </w:rPr>
            </w:pPr>
            <w:r>
              <w:rPr>
                <w:rFonts w:ascii="Arial" w:cs="Arial" w:eastAsia="Arial" w:hAnsi="Arial"/>
                <w:sz w:val="18"/>
                <w:szCs w:val="18"/>
                <w:color w:val="auto"/>
              </w:rPr>
              <w:t>(432,755)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June 30, 2014</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1,304,648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fair value of options granted during the three months ended June 30, 2014 and June 30, 2013 was calculated using the Black-Scholes option pricing model. The weighted average fair values and assumptions used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9"/>
          </w:tcPr>
          <w:p>
            <w:pPr>
              <w:jc w:val="right"/>
              <w:ind w:right="620"/>
              <w:spacing w:after="0"/>
              <w:rPr>
                <w:sz w:val="20"/>
                <w:szCs w:val="20"/>
                <w:color w:val="auto"/>
              </w:rPr>
            </w:pPr>
            <w:r>
              <w:rPr>
                <w:rFonts w:ascii="Arial" w:cs="Arial" w:eastAsia="Arial" w:hAnsi="Arial"/>
                <w:sz w:val="18"/>
                <w:szCs w:val="18"/>
                <w:b w:val="1"/>
                <w:bCs w:val="1"/>
                <w:color w:val="auto"/>
                <w:w w:val="87"/>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Assumptions:</w:t>
            </w:r>
          </w:p>
        </w:tc>
        <w:tc>
          <w:tcPr>
            <w:tcW w:w="4380" w:type="dxa"/>
            <w:vAlign w:val="bottom"/>
            <w:tcBorders>
              <w:bottom w:val="single" w:sz="8" w:color="CCEEFF"/>
            </w:tcBorders>
            <w:shd w:val="clear" w:color="auto" w:fill="CCEEFF"/>
          </w:tcPr>
          <w:p>
            <w:pPr>
              <w:spacing w:after="0"/>
              <w:rPr>
                <w:sz w:val="17"/>
                <w:szCs w:val="17"/>
                <w:color w:val="auto"/>
              </w:rPr>
            </w:pPr>
          </w:p>
        </w:tc>
        <w:tc>
          <w:tcPr>
            <w:tcW w:w="3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60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6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600" w:type="dxa"/>
            <w:vAlign w:val="bottom"/>
          </w:tcPr>
          <w:p>
            <w:pPr>
              <w:spacing w:after="0"/>
              <w:rPr>
                <w:sz w:val="18"/>
                <w:szCs w:val="18"/>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8"/>
                <w:szCs w:val="18"/>
                <w:color w:val="auto"/>
              </w:rPr>
              <w:t>1.55%</w:t>
            </w:r>
          </w:p>
        </w:tc>
        <w:tc>
          <w:tcPr>
            <w:tcW w:w="360" w:type="dxa"/>
            <w:vAlign w:val="bottom"/>
          </w:tcPr>
          <w:p>
            <w:pPr>
              <w:spacing w:after="0"/>
              <w:rPr>
                <w:sz w:val="18"/>
                <w:szCs w:val="18"/>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6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right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jc w:val="both"/>
        <w:spacing w:after="0" w:line="276" w:lineRule="auto"/>
        <w:rPr>
          <w:sz w:val="20"/>
          <w:szCs w:val="20"/>
          <w:color w:val="auto"/>
        </w:rPr>
      </w:pPr>
      <w:r>
        <w:rPr>
          <w:rFonts w:ascii="Arial" w:cs="Arial" w:eastAsia="Arial" w:hAnsi="Arial"/>
          <w:sz w:val="17"/>
          <w:szCs w:val="17"/>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Restricted Share Units (“RSUs”) and/or Performance Share Units (“PSUs”)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six months ended June 30,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PSU</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PSU</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RSU</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RSU</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Remaining</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Contractual</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Life</w:t>
            </w: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353,244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33.04</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2.35</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846,459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27.05</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346,108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39.51</w:t>
            </w: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491,736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41.18</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Shares vested</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(89,889)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28.16</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28.45</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691,515</w:t>
            </w: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39.66</w:t>
            </w:r>
          </w:p>
        </w:tc>
        <w:tc>
          <w:tcPr>
            <w:tcW w:w="1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2.28</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1,204,465</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32.59</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six months ended June 30, 2014 totaled $2.5 million (December 31, 2013: $1.1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 PSUs vested during either the first six months of 2014 or the full year 2013.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PSUs vest based on service and specified EPS targets over the period 2013 – 2016. Since 2013, we granted 348,910 PSUs (net of forfeitures). Depending on the actual amount of EPS from 2013 to 2016, up to an additional 342,605 PSUs may also be granted.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six months ended June 30, 2014 has been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70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w w:val="91"/>
              </w:rPr>
              <w:t>June 30,</w:t>
            </w:r>
          </w:p>
        </w:tc>
        <w:tc>
          <w:tcPr>
            <w:tcW w:w="640" w:type="dxa"/>
            <w:vAlign w:val="bottom"/>
          </w:tcPr>
          <w:p>
            <w:pPr>
              <w:spacing w:after="0"/>
              <w:rPr>
                <w:sz w:val="17"/>
                <w:szCs w:val="17"/>
                <w:color w:val="auto"/>
              </w:rPr>
            </w:pPr>
          </w:p>
        </w:tc>
        <w:tc>
          <w:tcPr>
            <w:tcW w:w="70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w w:val="80"/>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gridSpan w:val="3"/>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1,693</w:t>
            </w:r>
          </w:p>
        </w:tc>
        <w:tc>
          <w:tcPr>
            <w:tcW w:w="640" w:type="dxa"/>
            <w:vAlign w:val="bottom"/>
            <w:tcBorders>
              <w:right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5,373</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2,562</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1,379</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4,378</w:t>
            </w:r>
          </w:p>
        </w:tc>
        <w:tc>
          <w:tcPr>
            <w:tcW w:w="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5,706</w:t>
            </w: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3,072</w:t>
            </w:r>
          </w:p>
        </w:tc>
        <w:tc>
          <w:tcPr>
            <w:tcW w:w="6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9,751</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non-cash stock compensation expense not yet recognized at June 30, 2014 amounted to $64.7 million. The weighted average period over which this is expected to be recognized is 2.7 years. Total tax benefit recognized in additional paid in capital related to the non-cash compensation expense amounted to $0.8 million for the six months ended June 30, 2014 (June 30, 2013: $0.2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Share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Company’s Annual General Meeting on July 22, 2013, the Company was given authority to repurchase (whether by way of redemption or otherwise) up to 10% of the outstanding shares in the Company. The authority allowed the Company to repurchase shares if the market conditions were favourable. Pursuant to this authority, on May 8, 2014, the Company entered into a share repurchase plan, to acquire shares by way of redemption, in accordance with Rule 10b-18 and Rule 10b5-1 of the Securities Exchange Act of 1934.</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repurchase plan gave a broker authority to acquire the Company’s ordinary shares from time to time on the open market or in privately negotiated transactions in accordance with agreed terms and limitations. The acquisition of shares pursuant to the repurchase plan is to be effected by way of redemption and cancellation of those shares, in accordance with the Memorandum &amp; Articles of the Company.</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plan was designed to allow acquisitions by the broker during periods when the Company would ordinarily not be permitted to do so because it may be in possession of material non-public or price-sensitive information, applicable insider trading laws or self-imposed trading blackout periods. The Company’s prior instructions to the broker in respect of these periods are irrevocable and the trading decisions in respect of the repurchase plan are at the discretion of the broker and will be made independently of, and uninfluenced by, the Company. The Company confirms that on entering the repurchase plan it had no material non-public, price-sensitive or inside information regarding the Company or its securities. Furthermore, the Company will not enter into additional plans whilst in possession of such information. The timing and actual number of shares repurchased by way of the redemption will be dependent on market conditions, legal and regulatory requirements and the other terms and limitations contained in the plans. In addition, acquisitions under the repurchase plan may be suspended or discontinued in certain circumstances in accordance with the agreed terms. Therefore, there can be no assurance as to the timing or number of shares that may be acquired under the repurchase plan.</w:t>
      </w:r>
    </w:p>
    <w:p>
      <w:pPr>
        <w:spacing w:after="0" w:line="20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three months ended June 30, 2014, 291,190 ordinary shares were redeemed by the Company under the repurchase plan for a total consideration of $11.5 million. All ordinary shares that were redeemed under the repurchase plan are cancelled in accordance with the Memorandum &amp; Articles of the Company and the nominal value of these shares transferred to a capital redemption reserve fund as required under Irish Company Law.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Business Segment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and Chief Financial Officer, who together are considered the Company’s chief operating decision maker, in accordance with FASB ASC 280-10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 The Company also provides laboratory services through its central laboratory business, which includes the Company’s central laboratories located in Dublin, New York, India, Singapore and China.</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areas of operation outside of Ireland include the United States, United Kingdom, France, Germany, Italy, Spain, The Netherlands, Sweden, Turkey, Poland, Czech Republic, Lithuania, Latvia, Russia, Ukraine, Hungary, Israel, Romania, Switzerland, Canada, Mexico, Brazil, Colombia, Argentina, Chile, Peru, India, China, South Korea, Japan, Thailand, Taiwan, Singapore, The Philippines, Australia, New Zealand, and South Africa.</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Segment information as at June 30, 2014 and December 31, 2013 and for the three months and six months ended June 30, 2014 and June 30, 2013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w w:val="99"/>
              </w:rPr>
              <w:t>a) The distribution of net revenue by geographical area was as follows: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88,724</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69,337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174,085</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Rest of Europe</w:t>
            </w:r>
          </w:p>
        </w:tc>
        <w:tc>
          <w:tcPr>
            <w:tcW w:w="740" w:type="dxa"/>
            <w:vAlign w:val="bottom"/>
          </w:tcPr>
          <w:p>
            <w:pPr>
              <w:spacing w:after="0"/>
              <w:rPr>
                <w:sz w:val="18"/>
                <w:szCs w:val="18"/>
                <w:color w:val="auto"/>
              </w:rPr>
            </w:pPr>
          </w:p>
        </w:tc>
        <w:tc>
          <w:tcPr>
            <w:tcW w:w="1020" w:type="dxa"/>
            <w:vAlign w:val="bottom"/>
            <w:gridSpan w:val="5"/>
          </w:tcPr>
          <w:p>
            <w:pPr>
              <w:jc w:val="right"/>
              <w:ind w:right="120"/>
              <w:spacing w:after="0"/>
              <w:rPr>
                <w:sz w:val="20"/>
                <w:szCs w:val="20"/>
                <w:color w:val="auto"/>
              </w:rPr>
            </w:pPr>
            <w:r>
              <w:rPr>
                <w:rFonts w:ascii="Arial" w:cs="Arial" w:eastAsia="Arial" w:hAnsi="Arial"/>
                <w:sz w:val="18"/>
                <w:szCs w:val="18"/>
                <w:color w:val="auto"/>
              </w:rPr>
              <w:t>98,130</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84,822</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w w:val="95"/>
              </w:rPr>
              <w:t>184,531</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169,858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147,370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139,458</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289,049</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274,933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41,796</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40,602</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77,989</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75,886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376,020</w:t>
            </w: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334,219</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725,654</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651,008</w:t>
            </w:r>
          </w:p>
        </w:tc>
        <w:tc>
          <w:tcPr>
            <w:tcW w:w="0" w:type="dxa"/>
            <w:vAlign w:val="bottom"/>
          </w:tcPr>
          <w:p>
            <w:pPr>
              <w:spacing w:after="0"/>
              <w:rPr>
                <w:sz w:val="1"/>
                <w:szCs w:val="1"/>
                <w:color w:val="auto"/>
              </w:rPr>
            </w:pPr>
          </w:p>
        </w:tc>
      </w:tr>
    </w:tbl>
    <w:p>
      <w:pPr>
        <w:ind w:left="800" w:hanging="144"/>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37" w:lineRule="exact"/>
        <w:rPr>
          <w:rFonts w:ascii="Arial" w:cs="Arial" w:eastAsia="Arial" w:hAnsi="Arial"/>
          <w:sz w:val="18"/>
          <w:szCs w:val="18"/>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26,736</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12,827</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54,870</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Rest of Europe</w:t>
            </w:r>
          </w:p>
        </w:tc>
        <w:tc>
          <w:tcPr>
            <w:tcW w:w="298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3,531</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14,371</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9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7,740</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16,340</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9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2,201</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5,705</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48,288</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26,299</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91,286</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8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 The distribution of income from operations, excluding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Six Months Ended</w:t>
            </w:r>
          </w:p>
        </w:tc>
        <w:tc>
          <w:tcPr>
            <w:tcW w:w="6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580" w:type="dxa"/>
            <w:vAlign w:val="bottom"/>
          </w:tcPr>
          <w:p>
            <w:pPr>
              <w:spacing w:after="0"/>
              <w:rPr>
                <w:sz w:val="17"/>
                <w:szCs w:val="17"/>
                <w:color w:val="auto"/>
              </w:rPr>
            </w:pPr>
          </w:p>
        </w:tc>
        <w:tc>
          <w:tcPr>
            <w:tcW w:w="78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7"/>
                <w:szCs w:val="17"/>
                <w:color w:val="auto"/>
              </w:rPr>
            </w:pPr>
          </w:p>
        </w:tc>
        <w:tc>
          <w:tcPr>
            <w:tcW w:w="7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2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26,736</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13,556</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54,870</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Rest of Europe</w:t>
            </w:r>
          </w:p>
        </w:tc>
        <w:tc>
          <w:tcPr>
            <w:tcW w:w="27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5,198</w:t>
            </w:r>
          </w:p>
        </w:tc>
        <w:tc>
          <w:tcPr>
            <w:tcW w:w="600" w:type="dxa"/>
            <w:vAlign w:val="bottom"/>
          </w:tcPr>
          <w:p>
            <w:pPr>
              <w:spacing w:after="0"/>
              <w:rPr>
                <w:sz w:val="18"/>
                <w:szCs w:val="18"/>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8"/>
                <w:szCs w:val="18"/>
                <w:color w:val="auto"/>
              </w:rPr>
              <w:t>14,371</w:t>
            </w:r>
          </w:p>
        </w:tc>
        <w:tc>
          <w:tcPr>
            <w:tcW w:w="580" w:type="dxa"/>
            <w:vAlign w:val="bottom"/>
          </w:tcPr>
          <w:p>
            <w:pPr>
              <w:spacing w:after="0"/>
              <w:rPr>
                <w:sz w:val="18"/>
                <w:szCs w:val="18"/>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10,755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7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9,579</w:t>
            </w:r>
          </w:p>
        </w:tc>
        <w:tc>
          <w:tcPr>
            <w:tcW w:w="6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16,340</w:t>
            </w:r>
          </w:p>
        </w:tc>
        <w:tc>
          <w:tcPr>
            <w:tcW w:w="5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17,369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2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2,587</w:t>
            </w:r>
          </w:p>
        </w:tc>
        <w:tc>
          <w:tcPr>
            <w:tcW w:w="6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5,705</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48,288</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30,920</w:t>
            </w:r>
          </w:p>
        </w:tc>
        <w:tc>
          <w:tcPr>
            <w:tcW w:w="6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91,286</w:t>
            </w:r>
          </w:p>
        </w:tc>
        <w:tc>
          <w:tcPr>
            <w:tcW w:w="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58,328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The distribution of property, plant and equipment, net,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Borders>
              <w:left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gridSpan w:val="10"/>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99,016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103,868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5"/>
          </w:tcPr>
          <w:p>
            <w:pPr>
              <w:jc w:val="right"/>
              <w:ind w:right="100"/>
              <w:spacing w:after="0"/>
              <w:rPr>
                <w:sz w:val="20"/>
                <w:szCs w:val="20"/>
                <w:color w:val="auto"/>
              </w:rPr>
            </w:pPr>
            <w:r>
              <w:rPr>
                <w:rFonts w:ascii="Arial" w:cs="Arial" w:eastAsia="Arial" w:hAnsi="Arial"/>
                <w:sz w:val="18"/>
                <w:szCs w:val="18"/>
                <w:color w:val="auto"/>
              </w:rPr>
              <w:t>19,096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33,476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8,582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160,170</w:t>
            </w:r>
          </w:p>
        </w:tc>
        <w:tc>
          <w:tcPr>
            <w:tcW w:w="100" w:type="dxa"/>
            <w:vAlign w:val="bottom"/>
            <w:tcBorders>
              <w:left w:val="single" w:sz="8" w:color="CCEEFF"/>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160,830</w:t>
            </w:r>
          </w:p>
        </w:tc>
        <w:tc>
          <w:tcPr>
            <w:tcW w:w="0" w:type="dxa"/>
            <w:vAlign w:val="bottom"/>
          </w:tcPr>
          <w:p>
            <w:pPr>
              <w:spacing w:after="0"/>
              <w:rPr>
                <w:sz w:val="1"/>
                <w:szCs w:val="1"/>
                <w:color w:val="auto"/>
              </w:rPr>
            </w:pPr>
          </w:p>
        </w:tc>
      </w:tr>
      <w:tr>
        <w:trPr>
          <w:trHeight w:val="453"/>
        </w:trPr>
        <w:tc>
          <w:tcPr>
            <w:tcW w:w="6480" w:type="dxa"/>
            <w:vAlign w:val="bottom"/>
            <w:gridSpan w:val="3"/>
          </w:tcPr>
          <w:p>
            <w:pPr>
              <w:spacing w:after="0"/>
              <w:rPr>
                <w:sz w:val="20"/>
                <w:szCs w:val="20"/>
                <w:color w:val="auto"/>
              </w:rPr>
            </w:pPr>
            <w:r>
              <w:rPr>
                <w:rFonts w:ascii="Arial" w:cs="Arial" w:eastAsia="Arial" w:hAnsi="Arial"/>
                <w:sz w:val="18"/>
                <w:szCs w:val="18"/>
                <w:color w:val="auto"/>
                <w:w w:val="91"/>
              </w:rPr>
              <w:t>e) The distribution of depreciation and amortization by geographical area was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60" w:type="dxa"/>
            <w:vAlign w:val="bottom"/>
            <w:gridSpan w:val="3"/>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5"/>
          </w:tcPr>
          <w:p>
            <w:pPr>
              <w:ind w:left="60"/>
              <w:spacing w:after="0" w:line="196" w:lineRule="exact"/>
              <w:rPr>
                <w:sz w:val="20"/>
                <w:szCs w:val="20"/>
                <w:color w:val="auto"/>
              </w:rPr>
            </w:pPr>
            <w:r>
              <w:rPr>
                <w:rFonts w:ascii="Arial" w:cs="Arial" w:eastAsia="Arial" w:hAnsi="Arial"/>
                <w:sz w:val="18"/>
                <w:szCs w:val="18"/>
                <w:b w:val="1"/>
                <w:bCs w:val="1"/>
                <w:color w:val="auto"/>
                <w:w w:val="99"/>
              </w:rPr>
              <w:t>June 30,</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gridSpan w:val="10"/>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4,836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10,406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114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5"/>
          </w:tcPr>
          <w:p>
            <w:pPr>
              <w:jc w:val="right"/>
              <w:ind w:right="100"/>
              <w:spacing w:after="0"/>
              <w:rPr>
                <w:sz w:val="20"/>
                <w:szCs w:val="20"/>
                <w:color w:val="auto"/>
              </w:rPr>
            </w:pPr>
            <w:r>
              <w:rPr>
                <w:rFonts w:ascii="Arial" w:cs="Arial" w:eastAsia="Arial" w:hAnsi="Arial"/>
                <w:sz w:val="18"/>
                <w:szCs w:val="18"/>
                <w:color w:val="auto"/>
              </w:rPr>
              <w:t>1,688</w:t>
            </w: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3,987</w:t>
            </w: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1,009</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12,922</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11,520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24,470</w:t>
            </w: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22,976</w:t>
            </w:r>
          </w:p>
        </w:tc>
        <w:tc>
          <w:tcPr>
            <w:tcW w:w="0" w:type="dxa"/>
            <w:vAlign w:val="bottom"/>
          </w:tcPr>
          <w:p>
            <w:pPr>
              <w:spacing w:after="0"/>
              <w:rPr>
                <w:sz w:val="1"/>
                <w:szCs w:val="1"/>
                <w:color w:val="auto"/>
              </w:rPr>
            </w:pPr>
          </w:p>
        </w:tc>
      </w:tr>
      <w:tr>
        <w:trPr>
          <w:trHeight w:val="453"/>
        </w:trPr>
        <w:tc>
          <w:tcPr>
            <w:tcW w:w="5340" w:type="dxa"/>
            <w:vAlign w:val="bottom"/>
            <w:gridSpan w:val="2"/>
          </w:tcPr>
          <w:p>
            <w:pPr>
              <w:spacing w:after="0"/>
              <w:rPr>
                <w:sz w:val="20"/>
                <w:szCs w:val="20"/>
                <w:color w:val="auto"/>
              </w:rPr>
            </w:pPr>
            <w:r>
              <w:rPr>
                <w:rFonts w:ascii="Arial" w:cs="Arial" w:eastAsia="Arial" w:hAnsi="Arial"/>
                <w:sz w:val="18"/>
                <w:szCs w:val="18"/>
                <w:color w:val="auto"/>
                <w:w w:val="95"/>
              </w:rPr>
              <w:t>f) The distribution of total assets by geographical area was as follows: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gridSpan w:val="10"/>
          </w:tcPr>
          <w:p>
            <w:pPr>
              <w:jc w:val="center"/>
              <w:ind w:right="6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496,148</w:t>
            </w:r>
          </w:p>
        </w:tc>
        <w:tc>
          <w:tcPr>
            <w:tcW w:w="10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581,568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Rest of Europe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344,450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321,661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630,474</w:t>
            </w:r>
          </w:p>
        </w:tc>
        <w:tc>
          <w:tcPr>
            <w:tcW w:w="1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486,232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54,668</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52,999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1,525,740</w:t>
            </w:r>
          </w:p>
        </w:tc>
        <w:tc>
          <w:tcPr>
            <w:tcW w:w="100" w:type="dxa"/>
            <w:vAlign w:val="bottom"/>
            <w:tcBorders>
              <w:left w:val="single" w:sz="8" w:color="CCEEFF"/>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1,442,460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2013.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2014, we employed approximately 11,000 employees, in 83 locations in 38 countries. During the six months ended June 30, 2014 we derived approximately 39.8%, 49.4% and 10.8%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June 30, 2014 we had a backlog of approximately $3.4 billion, compared with approximately $3.1 billion at December 31, 2013.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2014 compared with Three Months Ended June 30, 2013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8"/>
          </w:tcPr>
          <w:p>
            <w:pPr>
              <w:jc w:val="right"/>
              <w:ind w:right="84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3"/>
          </w:tcPr>
          <w:p>
            <w:pPr>
              <w:jc w:val="right"/>
              <w:ind w:right="800"/>
              <w:spacing w:after="0" w:line="196" w:lineRule="exact"/>
              <w:rPr>
                <w:sz w:val="20"/>
                <w:szCs w:val="20"/>
                <w:color w:val="auto"/>
              </w:rPr>
            </w:pPr>
            <w:r>
              <w:rPr>
                <w:rFonts w:ascii="Arial" w:cs="Arial" w:eastAsia="Arial" w:hAnsi="Arial"/>
                <w:sz w:val="18"/>
                <w:szCs w:val="18"/>
                <w:b w:val="1"/>
                <w:bCs w:val="1"/>
                <w:color w:val="auto"/>
                <w:w w:val="85"/>
              </w:rPr>
              <w:t>June 30,</w:t>
            </w:r>
          </w:p>
        </w:tc>
        <w:tc>
          <w:tcPr>
            <w:tcW w:w="1020" w:type="dxa"/>
            <w:vAlign w:val="bottom"/>
            <w:gridSpan w:val="5"/>
          </w:tcPr>
          <w:p>
            <w:pPr>
              <w:jc w:val="right"/>
              <w:ind w:right="380"/>
              <w:spacing w:after="0" w:line="196" w:lineRule="exact"/>
              <w:rPr>
                <w:sz w:val="20"/>
                <w:szCs w:val="20"/>
                <w:color w:val="auto"/>
              </w:rPr>
            </w:pPr>
            <w:r>
              <w:rPr>
                <w:rFonts w:ascii="Arial" w:cs="Arial" w:eastAsia="Arial" w:hAnsi="Arial"/>
                <w:sz w:val="18"/>
                <w:szCs w:val="18"/>
                <w:b w:val="1"/>
                <w:bCs w:val="1"/>
                <w:color w:val="auto"/>
                <w:w w:val="85"/>
              </w:rPr>
              <w:t>June 30,</w:t>
            </w:r>
          </w:p>
        </w:tc>
        <w:tc>
          <w:tcPr>
            <w:tcW w:w="106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800" w:type="dxa"/>
            <w:vAlign w:val="bottom"/>
          </w:tcPr>
          <w:p>
            <w:pPr>
              <w:spacing w:after="0"/>
              <w:rPr>
                <w:sz w:val="17"/>
                <w:szCs w:val="17"/>
                <w:color w:val="auto"/>
              </w:rPr>
            </w:pPr>
          </w:p>
        </w:tc>
        <w:tc>
          <w:tcPr>
            <w:tcW w:w="6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8"/>
          </w:tcPr>
          <w:p>
            <w:pPr>
              <w:jc w:val="right"/>
              <w:ind w:right="220"/>
              <w:spacing w:after="0" w:line="196"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060" w:type="dxa"/>
            <w:vAlign w:val="bottom"/>
            <w:gridSpan w:val="7"/>
          </w:tcPr>
          <w:p>
            <w:pPr>
              <w:spacing w:after="0" w:line="196" w:lineRule="exact"/>
              <w:rPr>
                <w:sz w:val="20"/>
                <w:szCs w:val="20"/>
                <w:color w:val="auto"/>
              </w:rPr>
            </w:pPr>
            <w:r>
              <w:rPr>
                <w:rFonts w:ascii="Arial" w:cs="Arial" w:eastAsia="Arial" w:hAnsi="Arial"/>
                <w:sz w:val="18"/>
                <w:szCs w:val="18"/>
                <w:b w:val="1"/>
                <w:bCs w:val="1"/>
                <w:color w:val="auto"/>
                <w:w w:val="87"/>
              </w:rPr>
              <w:t>Percentage of Net Revenue</w:t>
            </w:r>
          </w:p>
        </w:tc>
        <w:tc>
          <w:tcPr>
            <w:tcW w:w="6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660" w:type="dxa"/>
            <w:vAlign w:val="bottom"/>
            <w:tcBorders>
              <w:bottom w:val="single" w:sz="8" w:color="auto"/>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102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28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6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1660" w:type="dxa"/>
            <w:vAlign w:val="bottom"/>
            <w:gridSpan w:val="4"/>
          </w:tcPr>
          <w:p>
            <w:pPr>
              <w:jc w:val="right"/>
              <w:ind w:right="640"/>
              <w:spacing w:after="0"/>
              <w:rPr>
                <w:sz w:val="20"/>
                <w:szCs w:val="20"/>
                <w:color w:val="auto"/>
              </w:rPr>
            </w:pPr>
            <w:r>
              <w:rPr>
                <w:rFonts w:ascii="Arial" w:cs="Arial" w:eastAsia="Arial" w:hAnsi="Arial"/>
                <w:sz w:val="18"/>
                <w:szCs w:val="18"/>
                <w:color w:val="auto"/>
              </w:rPr>
              <w:t>60.4%</w:t>
            </w: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64.1%</w:t>
            </w:r>
          </w:p>
        </w:tc>
        <w:tc>
          <w:tcPr>
            <w:tcW w:w="1280" w:type="dxa"/>
            <w:vAlign w:val="bottom"/>
            <w:gridSpan w:val="8"/>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23.3%</w:t>
            </w:r>
          </w:p>
        </w:tc>
        <w:tc>
          <w:tcPr>
            <w:tcW w:w="10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128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660" w:type="dxa"/>
            <w:vAlign w:val="bottom"/>
            <w:gridSpan w:val="4"/>
          </w:tcPr>
          <w:p>
            <w:pPr>
              <w:jc w:val="right"/>
              <w:ind w:right="640"/>
              <w:spacing w:after="0"/>
              <w:rPr>
                <w:sz w:val="20"/>
                <w:szCs w:val="20"/>
                <w:color w:val="auto"/>
              </w:rPr>
            </w:pPr>
            <w:r>
              <w:rPr>
                <w:rFonts w:ascii="Arial" w:cs="Arial" w:eastAsia="Arial" w:hAnsi="Arial"/>
                <w:sz w:val="18"/>
                <w:szCs w:val="18"/>
                <w:color w:val="auto"/>
              </w:rPr>
              <w:t>2.8%</w:t>
            </w: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2.8%</w:t>
            </w:r>
          </w:p>
        </w:tc>
        <w:tc>
          <w:tcPr>
            <w:tcW w:w="1280" w:type="dxa"/>
            <w:vAlign w:val="bottom"/>
            <w:gridSpan w:val="8"/>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60" w:type="dxa"/>
            <w:vAlign w:val="bottom"/>
            <w:tcBorders>
              <w:bottom w:val="single" w:sz="8" w:color="auto"/>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0.7%</w:t>
            </w:r>
          </w:p>
        </w:tc>
        <w:tc>
          <w:tcPr>
            <w:tcW w:w="102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28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(excluding restructuring and other items)</w:t>
            </w:r>
          </w:p>
        </w:tc>
        <w:tc>
          <w:tcPr>
            <w:tcW w:w="16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12.8%</w:t>
            </w:r>
          </w:p>
        </w:tc>
        <w:tc>
          <w:tcPr>
            <w:tcW w:w="10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9.3%</w:t>
            </w:r>
          </w:p>
        </w:tc>
        <w:tc>
          <w:tcPr>
            <w:tcW w:w="128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Restructuring and other items</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operations (including restructuring and other items )</w:t>
            </w:r>
          </w:p>
        </w:tc>
        <w:tc>
          <w:tcPr>
            <w:tcW w:w="16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color w:val="auto"/>
              </w:rPr>
              <w:t>12.8%</w:t>
            </w:r>
          </w:p>
        </w:tc>
        <w:tc>
          <w:tcPr>
            <w:tcW w:w="10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7.9%</w:t>
            </w:r>
          </w:p>
        </w:tc>
        <w:tc>
          <w:tcPr>
            <w:tcW w:w="12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revenue for the period increased by $41.8 million, or 12.5%, from $334.2 million for the three months ended June 30, 2013 to $376.0 million for the three months ended June 30, 2014. For the three months ended June 30, 2014 we derived approximately 39.2%, 49.7% and 11.1% of our net revenue in the United States, Europe and Rest of World,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Net revenue in Ireland increased from $69.3 million for the three months ended June 30, 2013 to $88.7 million for the three months ended June 30, 2014. Net revenue in Ireland is principally a function of the Company’s global transfer pricing model.</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Direct costs for the period increased by $13.0 million, or 6.0%, from $214.2 million for the three months ended June 30, 2013 to $227.2 million for the three months ended June 30, 2014.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$8.2 million and an increase in other direct project related costs of $4.8 million. As a percentage of net revenue, direct costs have decreased from 64.1% for the three months ended June 30, 2013 to 60.4% for the three months ended June 30, 2014.</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for the period increased by $10.1 million, or 13.0%, from $77.5 million for the three months ended June 30, 2013 to $87.6 million for the three months ended June 30, 2014.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$5.0 million, an increase in facilities and related costs expenditure of $3.7 million and an increase in general and administrative expenses of $1.4 million. As a percentage of net revenue, selling, general and administrative expenses, increased from 23.2% for the three months ended June 30, 2013 to 23.3% for the three months ended June 30, 2014.</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for the period increased by $0.7 million, or 7.1%, from $9.7 million for the three months ended June 30, 2013 to $10.4 million for three months ended June 30, 2014 and principally arises from an investment in facilities, information systems and equipment to support the Company’s growth. As a percentage of net revenue, depreciation expense remained at 2.8% of net revenues for the three months ended June 30, 2013 and for the three months ended June 30, 2014. Amortization expense for the period increased by $0.8 million, or 38.4%, from $1.8 million for the three months ended June 30, 2013 to $2.6 million for the three months ended June 30, 2014. Amortization expense represents the amortization of intangible assets acquired on business combinations. The increase in the amortization expense for the period relates to the Aptiv acquisition and a deemed amortization amount for intangibles until the purchase price allocation is finalised. As a percentage of net revenue, amortization expense increased from 0.6% of net revenues for the three months ended June 30, 2013 to 0.7% for the three months ended June 30, 2014.</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June 30, 2013 the Company implemented a restructuring plan which contains Company resource rationalizations in order to improve operating efficiencies and reduce expenses. A restructuring charge of $4.6 million was recognized during the three months ended June 30, 2013, $0.4 million in respect of lease termination and asset write-down costs and $4.2 million in respect of resource rationalizations. (s</w:t>
      </w:r>
      <w:r>
        <w:rPr>
          <w:rFonts w:ascii="Arial" w:cs="Arial" w:eastAsia="Arial" w:hAnsi="Arial"/>
          <w:sz w:val="18"/>
          <w:szCs w:val="18"/>
          <w:i w:val="1"/>
          <w:iCs w:val="1"/>
          <w:color w:val="auto"/>
        </w:rPr>
        <w:t>ee note 4 Restructuring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items for further information).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three months increased by $22.0 million, or 83.6%, from $26.3 million for the three months ended June 30, 2013 ($30.9 million excluding restructuring charges) to $48.3 million for the three months ended June 30, 2014. As a percentage of net revenue, income from operations increased from 7.9% of net revenues for the three months ended June 30, 2013 (9.3% excluding restructuring charges) to 12.8% of net revenues for the three months ended June 30, 2014.</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in Ireland increased from a profit of $12.8 million for the three months ended June 30, 2013 ($13.6 million excluding restructuring charges), to a profit of $26.7 million for the three months ended June 30, 2014. Income from operations in Ireland are impacted by the Group’s global transfer pricing model.</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for the period decreased from $0.4 million for the three months ended June 30, 2013 to $0.3 million for the three months ended June 30, 2014. Interest income remained at $0.3 million for the three months ended June 30, 2013 and for the three months ended June 30, 2014.</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 for income taxes for the period increased from $3.7 million for the three months ended June 30, 2013 ($4.3 million excluding the impact of restructuring charges) to $7.5 million for the three months ended June 30, 2014. The Company’s effective tax rate for the three months ended June 30, 2014 was 15.5% compared with 14.2% (14.0% excluding the impact of restructuring charges) for the three months ended June 30, 2013. The Company’s effective tax rate is principally a function of the distribution of pre-tax profits amongst the territories in which it operates.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Six Months Ended June 30, 2014 compared with Six Months Ended June 30, 2013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94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4"/>
          </w:tcPr>
          <w:p>
            <w:pPr>
              <w:jc w:val="right"/>
              <w:ind w:right="800"/>
              <w:spacing w:after="0" w:line="196" w:lineRule="exact"/>
              <w:rPr>
                <w:sz w:val="20"/>
                <w:szCs w:val="20"/>
                <w:color w:val="auto"/>
              </w:rPr>
            </w:pPr>
            <w:r>
              <w:rPr>
                <w:rFonts w:ascii="Arial" w:cs="Arial" w:eastAsia="Arial" w:hAnsi="Arial"/>
                <w:sz w:val="18"/>
                <w:szCs w:val="18"/>
                <w:b w:val="1"/>
                <w:bCs w:val="1"/>
                <w:color w:val="auto"/>
                <w:w w:val="85"/>
              </w:rPr>
              <w:t>June 30,</w:t>
            </w:r>
          </w:p>
        </w:tc>
        <w:tc>
          <w:tcPr>
            <w:tcW w:w="1020" w:type="dxa"/>
            <w:vAlign w:val="bottom"/>
            <w:gridSpan w:val="5"/>
          </w:tcPr>
          <w:p>
            <w:pPr>
              <w:jc w:val="right"/>
              <w:ind w:right="380"/>
              <w:spacing w:after="0" w:line="196" w:lineRule="exact"/>
              <w:rPr>
                <w:sz w:val="20"/>
                <w:szCs w:val="20"/>
                <w:color w:val="auto"/>
              </w:rPr>
            </w:pPr>
            <w:r>
              <w:rPr>
                <w:rFonts w:ascii="Arial" w:cs="Arial" w:eastAsia="Arial" w:hAnsi="Arial"/>
                <w:sz w:val="18"/>
                <w:szCs w:val="18"/>
                <w:b w:val="1"/>
                <w:bCs w:val="1"/>
                <w:color w:val="auto"/>
                <w:w w:val="85"/>
              </w:rPr>
              <w:t>June 30,</w:t>
            </w:r>
          </w:p>
        </w:tc>
        <w:tc>
          <w:tcPr>
            <w:tcW w:w="106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4"/>
              </w:rPr>
              <w:t>2014</w:t>
            </w:r>
          </w:p>
        </w:tc>
        <w:tc>
          <w:tcPr>
            <w:tcW w:w="800" w:type="dxa"/>
            <w:vAlign w:val="bottom"/>
          </w:tcPr>
          <w:p>
            <w:pPr>
              <w:spacing w:after="0"/>
              <w:rPr>
                <w:sz w:val="17"/>
                <w:szCs w:val="17"/>
                <w:color w:val="auto"/>
              </w:rPr>
            </w:pPr>
          </w:p>
        </w:tc>
        <w:tc>
          <w:tcPr>
            <w:tcW w:w="6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8"/>
          </w:tcPr>
          <w:p>
            <w:pPr>
              <w:jc w:val="right"/>
              <w:ind w:right="220"/>
              <w:spacing w:after="0" w:line="196" w:lineRule="exact"/>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060" w:type="dxa"/>
            <w:vAlign w:val="bottom"/>
            <w:gridSpan w:val="8"/>
          </w:tcPr>
          <w:p>
            <w:pPr>
              <w:jc w:val="center"/>
              <w:spacing w:after="0" w:line="196" w:lineRule="exact"/>
              <w:rPr>
                <w:sz w:val="20"/>
                <w:szCs w:val="20"/>
                <w:color w:val="auto"/>
              </w:rPr>
            </w:pPr>
            <w:r>
              <w:rPr>
                <w:rFonts w:ascii="Arial" w:cs="Arial" w:eastAsia="Arial" w:hAnsi="Arial"/>
                <w:sz w:val="18"/>
                <w:szCs w:val="18"/>
                <w:b w:val="1"/>
                <w:bCs w:val="1"/>
                <w:color w:val="auto"/>
                <w:w w:val="88"/>
              </w:rPr>
              <w:t>Percentage of Net Revenue</w:t>
            </w:r>
          </w:p>
        </w:tc>
        <w:tc>
          <w:tcPr>
            <w:tcW w:w="6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4"/>
          </w:tcPr>
          <w:p>
            <w:pPr>
              <w:jc w:val="right"/>
              <w:ind w:right="20"/>
              <w:spacing w:after="0" w:line="196" w:lineRule="exact"/>
              <w:rPr>
                <w:sz w:val="20"/>
                <w:szCs w:val="20"/>
                <w:color w:val="auto"/>
              </w:rPr>
            </w:pPr>
            <w:r>
              <w:rPr>
                <w:rFonts w:ascii="Arial" w:cs="Arial" w:eastAsia="Arial" w:hAnsi="Arial"/>
                <w:sz w:val="18"/>
                <w:szCs w:val="18"/>
                <w:b w:val="1"/>
                <w:bCs w:val="1"/>
                <w:color w:val="auto"/>
                <w:w w:val="87"/>
              </w:rPr>
              <w:t>Increase/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660" w:type="dxa"/>
            <w:vAlign w:val="bottom"/>
            <w:tcBorders>
              <w:bottom w:val="single" w:sz="8" w:color="auto"/>
            </w:tcBorders>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102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28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Costs and expenses:</w:t>
            </w:r>
          </w:p>
        </w:tc>
        <w:tc>
          <w:tcPr>
            <w:tcW w:w="6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Direct costs</w:t>
            </w:r>
          </w:p>
        </w:tc>
        <w:tc>
          <w:tcPr>
            <w:tcW w:w="1660" w:type="dxa"/>
            <w:vAlign w:val="bottom"/>
            <w:gridSpan w:val="5"/>
          </w:tcPr>
          <w:p>
            <w:pPr>
              <w:jc w:val="right"/>
              <w:ind w:right="640"/>
              <w:spacing w:after="0"/>
              <w:rPr>
                <w:sz w:val="20"/>
                <w:szCs w:val="20"/>
                <w:color w:val="auto"/>
              </w:rPr>
            </w:pPr>
            <w:r>
              <w:rPr>
                <w:rFonts w:ascii="Arial" w:cs="Arial" w:eastAsia="Arial" w:hAnsi="Arial"/>
                <w:sz w:val="18"/>
                <w:szCs w:val="18"/>
                <w:color w:val="auto"/>
              </w:rPr>
              <w:t>61.1%</w:t>
            </w: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64.0%</w:t>
            </w:r>
          </w:p>
        </w:tc>
        <w:tc>
          <w:tcPr>
            <w:tcW w:w="1280" w:type="dxa"/>
            <w:vAlign w:val="bottom"/>
            <w:gridSpan w:val="8"/>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23.0%</w:t>
            </w:r>
          </w:p>
        </w:tc>
        <w:tc>
          <w:tcPr>
            <w:tcW w:w="10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28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660" w:type="dxa"/>
            <w:vAlign w:val="bottom"/>
            <w:gridSpan w:val="5"/>
          </w:tcPr>
          <w:p>
            <w:pPr>
              <w:jc w:val="right"/>
              <w:ind w:right="640"/>
              <w:spacing w:after="0"/>
              <w:rPr>
                <w:sz w:val="20"/>
                <w:szCs w:val="20"/>
                <w:color w:val="auto"/>
              </w:rPr>
            </w:pPr>
            <w:r>
              <w:rPr>
                <w:rFonts w:ascii="Arial" w:cs="Arial" w:eastAsia="Arial" w:hAnsi="Arial"/>
                <w:sz w:val="18"/>
                <w:szCs w:val="18"/>
                <w:color w:val="auto"/>
              </w:rPr>
              <w:t>2.9%</w:t>
            </w:r>
          </w:p>
        </w:tc>
        <w:tc>
          <w:tcPr>
            <w:tcW w:w="1020" w:type="dxa"/>
            <w:vAlign w:val="bottom"/>
            <w:gridSpan w:val="5"/>
          </w:tcPr>
          <w:p>
            <w:pPr>
              <w:jc w:val="right"/>
              <w:ind w:right="240"/>
              <w:spacing w:after="0"/>
              <w:rPr>
                <w:sz w:val="20"/>
                <w:szCs w:val="20"/>
                <w:color w:val="auto"/>
              </w:rPr>
            </w:pPr>
            <w:r>
              <w:rPr>
                <w:rFonts w:ascii="Arial" w:cs="Arial" w:eastAsia="Arial" w:hAnsi="Arial"/>
                <w:sz w:val="18"/>
                <w:szCs w:val="18"/>
                <w:color w:val="auto"/>
              </w:rPr>
              <w:t>3.0%</w:t>
            </w:r>
          </w:p>
        </w:tc>
        <w:tc>
          <w:tcPr>
            <w:tcW w:w="1280" w:type="dxa"/>
            <w:vAlign w:val="bottom"/>
            <w:gridSpan w:val="8"/>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60" w:type="dxa"/>
            <w:vAlign w:val="bottom"/>
            <w:tcBorders>
              <w:bottom w:val="single" w:sz="8" w:color="auto"/>
            </w:tcBorders>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0.6%</w:t>
            </w:r>
          </w:p>
        </w:tc>
        <w:tc>
          <w:tcPr>
            <w:tcW w:w="1020" w:type="dxa"/>
            <w:vAlign w:val="bottom"/>
            <w:tcBorders>
              <w:bottom w:val="single" w:sz="8" w:color="auto"/>
            </w:tcBorders>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280" w:type="dxa"/>
            <w:vAlign w:val="bottom"/>
            <w:tcBorders>
              <w:bottom w:val="single" w:sz="8" w:color="auto"/>
            </w:tcBorders>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(excluding restructuring and other items)</w:t>
            </w:r>
          </w:p>
        </w:tc>
        <w:tc>
          <w:tcPr>
            <w:tcW w:w="166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12.4%</w:t>
            </w:r>
          </w:p>
        </w:tc>
        <w:tc>
          <w:tcPr>
            <w:tcW w:w="10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128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Restructuring and other items</w:t>
            </w: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1.4%</w:t>
            </w:r>
          </w:p>
        </w:tc>
        <w:tc>
          <w:tcPr>
            <w:tcW w:w="12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from operations (including restructuring and other items )</w:t>
            </w:r>
          </w:p>
        </w:tc>
        <w:tc>
          <w:tcPr>
            <w:tcW w:w="16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color w:val="auto"/>
              </w:rPr>
              <w:t>12.4%</w:t>
            </w:r>
          </w:p>
        </w:tc>
        <w:tc>
          <w:tcPr>
            <w:tcW w:w="10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8"/>
                <w:szCs w:val="18"/>
                <w:color w:val="auto"/>
              </w:rPr>
              <w:t>7.6%</w:t>
            </w:r>
          </w:p>
        </w:tc>
        <w:tc>
          <w:tcPr>
            <w:tcW w:w="12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revenue for the period increased by $74.7 million, or 11.5%, from $651.0 million for the six months ended June 30, 2013 to $725.7 million for the six months ended June 30, 2014. For the six months ended June 30, 2014 we derived approximately 39.8%, 49.4% and 10.8% of our net revenue in the United States, Europe and Rest of World, respectively.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revenue in Ireland increased from $130.3 million for the six months ended June 30, 2013 to $174.1 million for the six months ended June 30, 2014. Net revenue in Ireland is principally a function of the Company’s global transfer pricing model.</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Direct costs for the period increased by $26.7 million, or 6.4%, from $416.6 million for the six months ended June 30, 2013 to $443.3 million for the six months ended June 30, 2014. Direct costs consist primarily of compensation, associated fringe benefits and share based compensation expense for project-related employees and other direct project driven costs. The increase in direct costs during the period arose from an increase in headcount and a corresponding increase in personnel related expenditure of $24.2 million and an increase in other direct project related costs of $2.5 million. As a percentage of net revenue, direct costs have increased from 64.0% for the six months ended June 30, 2013 to 61.1% for the six months ended June 30, 2014.</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for the period increased by $13.5 million, or 8.8%, from $153.1 million for the six months ended June 30, 2013 to $166.6 million for the six months ended June 30, 2014.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The increase in selling, general and administration expenses for the period arose primarily from an increase in personnel related expenditure of $7.3 million, an increase in facilities and related costs expenditure of $2.5 million and an increase in general and administrative expenses of $3.7 million. As a percentage of net revenue, selling, general and administrative expenses, decreased from 23.5% for the six months ended June 30, 2013 to 23.0% for the six months ended June 30, 2014.</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7"/>
          <w:szCs w:val="17"/>
          <w:color w:val="auto"/>
        </w:rPr>
        <w:t>Depreciation expense for the period increased by $0.6 million, or 3.4%, from $19.4 million for the six months ended June 30, 2013 to $20.0 million for the six months ended June 30, 2014 and principally arises from an investment in facilities, information systems and equipment to support the Company’s growth. As a percentage of net revenue, depreciation expense decreased from 3.0% of net revenues for the six months ended June 30, 2013 to 2.9% for the six months ended June 30, 2014. Amortization expense for the period increased by $0.9 million, or 23.2%, from $3.6 million for the six months ended June 30, 2013 to $4.5 million for the six months ended June 30, 2014. Amortization expense represents the amortization of intangible assets acquired on business combinations. The increase in the amortization expense for the period relates to the Aptiv acquisition and a deemed amortization amount for intangibles until the purchase price allocation is finalised. As a percentage of net revenue, amortization expense increased from 0.5% of net revenues for the six months ended June 30, 2013 to 0.6% for the six months ended June 30, 2014.</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Restructuring charges of $4.4 million were recognized during the three months ended March 31, 2013 under a restructuring plan adopted following a review by the Company of its operations. Under this restructuring plan the Company announced the closure of its Phase I facility in Omaha, Nebraska. This followed the expansion of the Company’s Phase I facility in San Antonio, Texas and the consolidation of the Company’s US Phase I capabilities in this location. The restructuring plan also included resource rationalizations in certain areas of the business to improve resource utilization. The restructuring charge recognized included $0.5 million in respect of lease termination costs associated with the Omaha facility and $3.9 million in respect of resource rationalizations. During the three months ended June 30, 2013 the Company implemented a further restructuring plan which contains Company resource rationalizations in order to improve operating efficiencies and reduce expenses. A restructuring charge of $4.6 million was recognized during the three months ended June 30, 2013, $0.4 million in respect of lease termination and asset write-down costs and $4.2 million in respect of resource rationalizations. (s</w:t>
      </w:r>
      <w:r>
        <w:rPr>
          <w:rFonts w:ascii="Arial" w:cs="Arial" w:eastAsia="Arial" w:hAnsi="Arial"/>
          <w:sz w:val="17"/>
          <w:szCs w:val="17"/>
          <w:i w:val="1"/>
          <w:iCs w:val="1"/>
          <w:color w:val="auto"/>
        </w:rPr>
        <w:t>ee note 4 Restructuring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items for further information).</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six months increased by $42.0 million, or 85.2%, from $49.3 million for the six months ended June 30, 2013 ($58.3 million excluding restructuring charges) to $91.3 million for the six months ended June 30, 2014. As a percentage of net revenue, income from operations increased from 7.6% of net revenues for the six months ended June 30, 2013 (9.0% excluding restructuring charges) to 12.4% of net revenues for the six months ended June 30, 2014.</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in Ireland increased from a profit of $24.8 million for the six months ended June 30, 2013 ($25.9 million excluding restructuring charges), to a profit of $58.9 million for the six months ended June 30, 2014. Income from operations in Ireland are impacted by the Group’s global transfer pricing model.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period decreased from $0.7 million for the six months ended June 30, 2013 to $0.6 million for the six months ended June 30,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from $0.5 million for the six months ended June 30, 2013 to $0.6 million for the six months ended June 30, 2014.</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period increased from $7.5 million for the six months ended June 30, 2013 ($9.3 million excluding the impact of restructuring charges) to $14.4 million for the six months ended June 30, 2014. The Company’s effective tax rate for the six months ended June 30, 2014 was 15.7% compared with 15.3% (16.1% excluding the impact of restructuring charges) for the six months ended June 30, 2013. The Company’s effective tax rate is principally a function of the distribution of pre-tax profits amongst the territories in which it operates.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and short term investment balances at June 30, 2014 amounted to $175.4 million compared with cash and short term investment balances of $320.8 million at December 31, 2013. The Company’s cash and short term investment balances at June 30, 2014 comprised cash and cash equivalents $81.3 million and short-term investments $94.1 million. The Company’s cash and short-term investment balances at December 31, 2013 comprised cash and cash equivalents $182.5 million and short-term investments $138.3 million. During the three months ended June 30, 2014, ICON plc closed the acquisition of Aptiv resulting in a cash outflow totalling $121.1 million.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On June 30, 2014 the Company entered into a five year committed multi currency revolving credit facility for $100.0 million with Citibank, JP Morgan, Santander and Barclays Bank. Each bank subject to the agreement has committed $25 million to the facility, with equal terms and conditions in place with all institutions. The facility bears interest at LIBOR plus a margin and includes certain composite guarantees, indemnities and pledges in favor of the banks. Amounts available to the Group under the facility amounted to $100.0 million at June 30, 2014.</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cash used in operating activities was $16.3 million for the six months ended June 30, 2014 compared with cash provided by operating activities of $80.2 million for the six months ended June 30, 2013. The most significant influence on our operating cash flow is revenue outstanding, which comprises accounts receivable and unbilled revenue, less payments on account which totalled $61.0 million of the $16.3 million cash used in operating activities.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June 30, 2014 was 40 days compared to 32 days at December 31, 2013. The number of days revenue outstanding at June 30, 2013 was 33 days compared to 40 days at December 31, 2012. In addition, in line with company policy, bonuses were paid during the second quarter which also contributed to the cash outflow.</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used in investing activities was $86.0 million for the six months ended June 30, 2014 compared to net cash used in investing activities of $104.5 million for the six months ended June 30, 2013. Net cash used in the six months ended June 30, 2014 arose principally from cash paid on the purchase of subsidiary undertakings.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Amounts payable at June 30, 2014 in relation to acquisitions include $3.2 million payable contingent upon the results of BeijingWits Medical.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 for the six months ended June 30, 2014 amounted to $13.0 million and comprised mainly of expenditure on global infrastructure and information technology systems to support the Company’s growth. During the six months ended June 30, 2014 the Company received a net $44.6 million from the sale of short-term investments.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cash provided by financing activities during the six months ended June 30, 2014 amounted to $1.4 million compared with net cash provided by financing activities of $10.7 million for the six months ended June 30, 2013. Net cash provided by financing activities during the six months ended June 30, 2014 arose primarily from the $12.3 million received from the exercise of stock options. This was offset by cash paid amounting to $11.5 million to repurchase shares under the Company’s share repurchase plans (</w:t>
      </w:r>
      <w:r>
        <w:rPr>
          <w:rFonts w:ascii="Arial" w:cs="Arial" w:eastAsia="Arial" w:hAnsi="Arial"/>
          <w:sz w:val="17"/>
          <w:szCs w:val="17"/>
          <w:i w:val="1"/>
          <w:iCs w:val="1"/>
          <w:color w:val="auto"/>
        </w:rPr>
        <w:t>see Note 8 Share Capital for further information</w:t>
      </w:r>
      <w:r>
        <w:rPr>
          <w:rFonts w:ascii="Arial" w:cs="Arial" w:eastAsia="Arial" w:hAnsi="Arial"/>
          <w:sz w:val="17"/>
          <w:szCs w:val="17"/>
          <w:color w:val="auto"/>
        </w:rPr>
        <w:t>). Net cash provided by financing activities during the six months ended June 30, 2013 arose primarily from the $10.5 million received from the exercise of stock options.</w:t>
      </w:r>
    </w:p>
    <w:p>
      <w:pPr>
        <w:spacing w:after="0" w:line="2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a result of these cash flows, cash and cash equivalents decreased by $101.2 million for the six months ended June 30, 2014 compared to a decrease of $15.8 million for the six months ended June 30,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Borders>
              <w:bottom w:val="single" w:sz="8" w:color="auto"/>
            </w:tcBorders>
          </w:tcPr>
          <w:p>
            <w:pPr>
              <w:spacing w:after="0"/>
              <w:rPr>
                <w:sz w:val="20"/>
                <w:szCs w:val="20"/>
                <w:color w:val="auto"/>
              </w:rPr>
            </w:pPr>
          </w:p>
        </w:tc>
        <w:tc>
          <w:tcPr>
            <w:tcW w:w="344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40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August 14, 2014</w:t>
            </w:r>
          </w:p>
        </w:tc>
        <w:tc>
          <w:tcPr>
            <w:tcW w:w="3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2019-12-06T19:43:17Z</dcterms:created>
  <dcterms:modified xsi:type="dcterms:W3CDTF">2019-12-06T19:43:17Z</dcterms:modified>
</cp:coreProperties>
</file>