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Washington, D.C. 20549</w:t>
      </w:r>
    </w:p>
    <w:p>
      <w:pPr>
        <w:spacing w:after="0" w:line="261" w:lineRule="exact"/>
        <w:rPr>
          <w:sz w:val="24"/>
          <w:szCs w:val="24"/>
          <w:color w:val="auto"/>
        </w:rPr>
      </w:pPr>
    </w:p>
    <w:p>
      <w:pPr>
        <w:ind w:left="4960"/>
        <w:spacing w:after="0"/>
        <w:rPr>
          <w:sz w:val="20"/>
          <w:szCs w:val="20"/>
          <w:color w:val="auto"/>
        </w:rPr>
      </w:pPr>
      <w:r>
        <w:rPr>
          <w:rFonts w:ascii="Arial" w:cs="Arial" w:eastAsia="Arial" w:hAnsi="Arial"/>
          <w:sz w:val="29"/>
          <w:szCs w:val="29"/>
          <w:b w:val="1"/>
          <w:bCs w:val="1"/>
          <w:color w:val="auto"/>
        </w:rPr>
        <w:t>FORM 20-F</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7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REGISTRATION STATEMENT PURSUANT TO SECTION 12(b) OR (g) OF THE SECURITIES EXCHANGE ACT OF 1934</w:t>
      </w:r>
    </w:p>
    <w:p>
      <w:pPr>
        <w:spacing w:after="0" w:line="82" w:lineRule="exact"/>
        <w:rPr>
          <w:sz w:val="24"/>
          <w:szCs w:val="24"/>
          <w:color w:val="auto"/>
        </w:rPr>
      </w:pPr>
    </w:p>
    <w:p>
      <w:pPr>
        <w:ind w:left="5580"/>
        <w:spacing w:after="0"/>
        <w:rPr>
          <w:sz w:val="20"/>
          <w:szCs w:val="20"/>
          <w:color w:val="auto"/>
        </w:rPr>
      </w:pPr>
      <w:r>
        <w:rPr>
          <w:rFonts w:ascii="Arial" w:cs="Arial" w:eastAsia="Arial" w:hAnsi="Arial"/>
          <w:sz w:val="14"/>
          <w:szCs w:val="14"/>
          <w:color w:val="auto"/>
        </w:rPr>
        <w:t>OR</w:t>
      </w:r>
    </w:p>
    <w:p>
      <w:pPr>
        <w:spacing w:after="0" w:line="42" w:lineRule="exact"/>
        <w:rPr>
          <w:sz w:val="24"/>
          <w:szCs w:val="24"/>
          <w:color w:val="auto"/>
        </w:rPr>
      </w:pPr>
    </w:p>
    <w:p>
      <w:pPr>
        <w:ind w:left="4400" w:right="3520" w:hanging="4392"/>
        <w:spacing w:after="0" w:line="334" w:lineRule="auto"/>
        <w:tabs>
          <w:tab w:leader="none" w:pos="589" w:val="left"/>
        </w:tabs>
        <w:numPr>
          <w:ilvl w:val="0"/>
          <w:numId w:val="2"/>
        </w:numPr>
        <w:rPr>
          <w:rFonts w:ascii="Arial" w:cs="Arial" w:eastAsia="Arial" w:hAnsi="Arial"/>
          <w:sz w:val="13"/>
          <w:szCs w:val="13"/>
          <w:color w:val="auto"/>
        </w:rPr>
      </w:pPr>
      <w:r>
        <w:rPr>
          <w:rFonts w:ascii="Arial" w:cs="Arial" w:eastAsia="Arial" w:hAnsi="Arial"/>
          <w:sz w:val="13"/>
          <w:szCs w:val="13"/>
          <w:color w:val="auto"/>
        </w:rPr>
        <w:t>ANNUAL REPORT PURSUANT TO SECTION 13 OR 15(d) OF THE SECURITIES EXCHANGE ACT OF 1934 For the fiscal year ended: December 31, 2006</w:t>
      </w:r>
    </w:p>
    <w:p>
      <w:pPr>
        <w:spacing w:after="0" w:line="205" w:lineRule="exact"/>
        <w:rPr>
          <w:sz w:val="24"/>
          <w:szCs w:val="24"/>
          <w:color w:val="auto"/>
        </w:rPr>
      </w:pPr>
    </w:p>
    <w:p>
      <w:pPr>
        <w:ind w:left="5620"/>
        <w:spacing w:after="0"/>
        <w:rPr>
          <w:sz w:val="20"/>
          <w:szCs w:val="20"/>
          <w:color w:val="auto"/>
        </w:rPr>
      </w:pPr>
      <w:r>
        <w:rPr>
          <w:rFonts w:ascii="Arial" w:cs="Arial" w:eastAsia="Arial" w:hAnsi="Arial"/>
          <w:sz w:val="14"/>
          <w:szCs w:val="14"/>
          <w:color w:val="auto"/>
        </w:rPr>
        <w:t>OR</w:t>
      </w:r>
    </w:p>
    <w:p>
      <w:pPr>
        <w:spacing w:after="0" w:line="21"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Commission file number:</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29"/>
          <w:szCs w:val="29"/>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(Exact name of Registrant as specified in its charter)</w:t>
      </w:r>
    </w:p>
    <w:p>
      <w:pPr>
        <w:spacing w:after="0" w:line="285" w:lineRule="exact"/>
        <w:rPr>
          <w:sz w:val="24"/>
          <w:szCs w:val="24"/>
          <w:color w:val="auto"/>
        </w:rPr>
      </w:pPr>
    </w:p>
    <w:p>
      <w:pPr>
        <w:ind w:left="5520"/>
        <w:spacing w:after="0"/>
        <w:rPr>
          <w:sz w:val="20"/>
          <w:szCs w:val="20"/>
          <w:color w:val="auto"/>
        </w:rPr>
      </w:pPr>
      <w:r>
        <w:rPr>
          <w:rFonts w:ascii="Arial" w:cs="Arial" w:eastAsia="Arial" w:hAnsi="Arial"/>
          <w:sz w:val="14"/>
          <w:szCs w:val="14"/>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4" w:lineRule="exact"/>
        <w:rPr>
          <w:sz w:val="24"/>
          <w:szCs w:val="24"/>
          <w:color w:val="auto"/>
        </w:rPr>
      </w:pPr>
    </w:p>
    <w:p>
      <w:pPr>
        <w:ind w:left="4400"/>
        <w:spacing w:after="0"/>
        <w:rPr>
          <w:sz w:val="20"/>
          <w:szCs w:val="20"/>
          <w:color w:val="auto"/>
        </w:rPr>
      </w:pPr>
      <w:r>
        <w:rPr>
          <w:rFonts w:ascii="Arial" w:cs="Arial" w:eastAsia="Arial" w:hAnsi="Arial"/>
          <w:sz w:val="14"/>
          <w:szCs w:val="14"/>
          <w:color w:val="auto"/>
        </w:rPr>
        <w:t>(Jurisdiction of incorporation or organization)</w:t>
      </w:r>
    </w:p>
    <w:p>
      <w:pPr>
        <w:spacing w:after="0" w:line="285"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4"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(Address of principal executive offices)</w:t>
      </w:r>
    </w:p>
    <w:p>
      <w:pPr>
        <w:spacing w:after="0" w:line="28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21" w:lineRule="exact"/>
        <w:rPr>
          <w:sz w:val="24"/>
          <w:szCs w:val="24"/>
          <w:color w:val="auto"/>
        </w:rPr>
      </w:pPr>
    </w:p>
    <w:p>
      <w:pPr>
        <w:jc w:val="right"/>
        <w:ind w:right="2060"/>
        <w:spacing w:after="0"/>
        <w:rPr>
          <w:sz w:val="20"/>
          <w:szCs w:val="20"/>
          <w:color w:val="auto"/>
        </w:rPr>
      </w:pPr>
      <w:r>
        <w:rPr>
          <w:rFonts w:ascii="Arial" w:cs="Arial" w:eastAsia="Arial" w:hAnsi="Arial"/>
          <w:sz w:val="14"/>
          <w:szCs w:val="14"/>
          <w:color w:val="auto"/>
        </w:rPr>
        <w:t>Name of exchange</w:t>
      </w:r>
    </w:p>
    <w:p>
      <w:pPr>
        <w:sectPr>
          <w:pgSz w:w="11900" w:h="16838" w:orient="portrait"/>
          <w:cols w:equalWidth="0" w:num="1">
            <w:col w:w="10800"/>
          </w:cols>
          <w:pgMar w:left="240" w:top="405" w:right="859" w:bottom="1440" w:gutter="0" w:footer="0" w:header="0"/>
        </w:sectPr>
      </w:pPr>
    </w:p>
    <w:p>
      <w:pPr>
        <w:spacing w:after="0" w:line="102" w:lineRule="exact"/>
        <w:rPr>
          <w:sz w:val="24"/>
          <w:szCs w:val="24"/>
          <w:color w:val="auto"/>
        </w:rPr>
      </w:pPr>
    </w:p>
    <w:p>
      <w:pPr>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-4858385</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4"/>
          <w:szCs w:val="24"/>
          <w:color w:val="auto"/>
        </w:rPr>
      </w:pPr>
    </w:p>
    <w:p>
      <w:pPr>
        <w:sectPr>
          <w:pgSz w:w="11900" w:h="16838" w:orient="portrait"/>
          <w:cols w:equalWidth="0" w:num="2">
            <w:col w:w="6940" w:space="720"/>
            <w:col w:w="3140"/>
          </w:cols>
          <w:pgMar w:left="240" w:top="405" w:right="859" w:bottom="1440" w:gutter="0" w:footer="0" w:header="0"/>
          <w:type w:val="continuous"/>
        </w:sectPr>
      </w:pPr>
    </w:p>
    <w:p>
      <w:pPr>
        <w:spacing w:after="0" w:line="121" w:lineRule="exact"/>
        <w:rPr>
          <w:sz w:val="24"/>
          <w:szCs w:val="24"/>
          <w:color w:val="auto"/>
        </w:rPr>
      </w:pPr>
    </w:p>
    <w:p>
      <w:pPr>
        <w:ind w:left="556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color w:val="auto"/>
        </w:rPr>
        <w:t>American Depository Shares, representing Ordinary Shares, par value €0.06 each</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Ordinary Shares, par value €0.06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21" w:lineRule="exact"/>
        <w:rPr>
          <w:sz w:val="24"/>
          <w:szCs w:val="24"/>
          <w:color w:val="auto"/>
        </w:rPr>
      </w:pPr>
    </w:p>
    <w:p>
      <w:pPr>
        <w:ind w:left="556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7" w:lineRule="exact"/>
        <w:rPr>
          <w:sz w:val="24"/>
          <w:szCs w:val="24"/>
          <w:color w:val="auto"/>
        </w:rPr>
      </w:pPr>
    </w:p>
    <w:p>
      <w:pPr>
        <w:ind w:left="5280"/>
        <w:spacing w:after="0"/>
        <w:rPr>
          <w:sz w:val="20"/>
          <w:szCs w:val="20"/>
          <w:color w:val="auto"/>
        </w:rPr>
      </w:pPr>
      <w:r>
        <w:rPr>
          <w:rFonts w:ascii="Arial" w:cs="Arial" w:eastAsia="Arial" w:hAnsi="Arial"/>
          <w:sz w:val="14"/>
          <w:szCs w:val="14"/>
          <w:color w:val="auto"/>
        </w:rPr>
        <w:t>(Title of Class)</w:t>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 28,517,852 Ordinary Shares.</w:t>
      </w:r>
    </w:p>
    <w:p>
      <w:pPr>
        <w:spacing w:after="0" w:line="30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determined in Rule 405 of the Securities Act.</w:t>
      </w:r>
    </w:p>
    <w:p>
      <w:pPr>
        <w:spacing w:after="0" w:line="285" w:lineRule="exact"/>
        <w:rPr>
          <w:sz w:val="24"/>
          <w:szCs w:val="24"/>
          <w:color w:val="auto"/>
        </w:rPr>
      </w:pPr>
    </w:p>
    <w:p>
      <w:pPr>
        <w:spacing w:after="0"/>
        <w:tabs>
          <w:tab w:leader="none" w:pos="28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If this report is an annual or transition report, indicate by check mark if registrant is not required to file reports pursuant to section 13 or 15(d) of the Securities Exchange Act of 1934.</w:t>
      </w:r>
    </w:p>
    <w:p>
      <w:pPr>
        <w:spacing w:after="0" w:line="296" w:lineRule="exact"/>
        <w:rPr>
          <w:sz w:val="24"/>
          <w:szCs w:val="24"/>
          <w:color w:val="auto"/>
        </w:rPr>
      </w:pPr>
    </w:p>
    <w:p>
      <w:pPr>
        <w:spacing w:after="0"/>
        <w:tabs>
          <w:tab w:leader="none" w:pos="28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05" w:right="859" w:bottom="1440" w:gutter="0" w:footer="0" w:header="0"/>
          <w:type w:val="continuous"/>
        </w:sectPr>
      </w:pPr>
    </w:p>
    <w:bookmarkStart w:id="1" w:name="page2"/>
    <w:bookmarkEnd w:id="1"/>
    <w:p>
      <w:pPr>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634"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Yes x</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No o</w:t>
      </w:r>
    </w:p>
    <w:p>
      <w:pPr>
        <w:spacing w:after="0" w:line="200" w:lineRule="exact"/>
        <w:rPr>
          <w:sz w:val="20"/>
          <w:szCs w:val="20"/>
          <w:color w:val="auto"/>
        </w:rPr>
      </w:pPr>
    </w:p>
    <w:p>
      <w:pPr>
        <w:sectPr>
          <w:pgSz w:w="11900" w:h="16838" w:orient="portrait"/>
          <w:cols w:equalWidth="0" w:num="2">
            <w:col w:w="2140" w:space="720"/>
            <w:col w:w="8560"/>
          </w:cols>
          <w:pgMar w:left="240" w:top="634" w:right="2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 accelerated filer</w:t>
      </w:r>
    </w:p>
    <w:p>
      <w:pPr>
        <w:sectPr>
          <w:pgSz w:w="11900" w:h="16838" w:orient="portrait"/>
          <w:cols w:equalWidth="0" w:num="1">
            <w:col w:w="11420"/>
          </w:cols>
          <w:pgMar w:left="240" w:top="634" w:right="239" w:bottom="1440" w:gutter="0" w:footer="0" w:header="0"/>
          <w:type w:val="continuous"/>
        </w:sect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88265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0" w:lineRule="exact"/>
        <w:rPr>
          <w:sz w:val="20"/>
          <w:szCs w:val="20"/>
          <w:color w:val="auto"/>
        </w:rPr>
      </w:pPr>
    </w:p>
    <w:p>
      <w:pPr>
        <w:sectPr>
          <w:pgSz w:w="11900" w:h="16838" w:orient="portrait"/>
          <w:cols w:equalWidth="0" w:num="3">
            <w:col w:w="3060" w:space="720"/>
            <w:col w:w="3160" w:space="720"/>
            <w:col w:w="3760"/>
          </w:cols>
          <w:pgMar w:left="240" w:top="63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which financial statement item the registrant has elected to follow:</w:t>
      </w:r>
    </w:p>
    <w:p>
      <w:pPr>
        <w:spacing w:after="0" w:line="285" w:lineRule="exact"/>
        <w:rPr>
          <w:sz w:val="20"/>
          <w:szCs w:val="20"/>
          <w:color w:val="auto"/>
        </w:rPr>
      </w:pPr>
    </w:p>
    <w:p>
      <w:pPr>
        <w:spacing w:after="0"/>
        <w:tabs>
          <w:tab w:leader="none" w:pos="2840" w:val="left"/>
        </w:tabs>
        <w:rPr>
          <w:sz w:val="20"/>
          <w:szCs w:val="20"/>
          <w:color w:val="auto"/>
        </w:rPr>
      </w:pPr>
      <w:r>
        <w:rPr>
          <w:rFonts w:ascii="Arial" w:cs="Arial" w:eastAsia="Arial" w:hAnsi="Arial"/>
          <w:sz w:val="14"/>
          <w:szCs w:val="14"/>
          <w:color w:val="auto"/>
        </w:rPr>
        <w:t>Item 17 o</w:t>
      </w:r>
      <w:r>
        <w:rPr>
          <w:sz w:val="20"/>
          <w:szCs w:val="20"/>
          <w:color w:val="auto"/>
        </w:rPr>
        <w:tab/>
      </w:r>
      <w:r>
        <w:rPr>
          <w:rFonts w:ascii="Arial" w:cs="Arial" w:eastAsia="Arial" w:hAnsi="Arial"/>
          <w:sz w:val="13"/>
          <w:szCs w:val="13"/>
          <w:color w:val="auto"/>
        </w:rPr>
        <w:t>Item 18 x</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296" w:lineRule="exact"/>
        <w:rPr>
          <w:sz w:val="20"/>
          <w:szCs w:val="20"/>
          <w:color w:val="auto"/>
        </w:rPr>
      </w:pPr>
    </w:p>
    <w:p>
      <w:pPr>
        <w:spacing w:after="0"/>
        <w:tabs>
          <w:tab w:leader="none" w:pos="284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250825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640" w:type="dxa"/>
            <w:vAlign w:val="bottom"/>
            <w:gridSpan w:val="10"/>
          </w:tcPr>
          <w:p>
            <w:pPr>
              <w:spacing w:after="0"/>
              <w:rPr>
                <w:sz w:val="20"/>
                <w:szCs w:val="20"/>
                <w:color w:val="auto"/>
              </w:rPr>
            </w:pPr>
            <w:r>
              <w:rPr>
                <w:rFonts w:ascii="Arial" w:cs="Arial" w:eastAsia="Arial" w:hAnsi="Arial"/>
                <w:sz w:val="14"/>
                <w:szCs w:val="14"/>
                <w:b w:val="1"/>
                <w:bCs w:val="1"/>
                <w:color w:val="auto"/>
              </w:rPr>
              <w:t>TABLE OF CONTENTS</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17"/>
        </w:trPr>
        <w:tc>
          <w:tcPr>
            <w:tcW w:w="540" w:type="dxa"/>
            <w:vAlign w:val="bottom"/>
            <w:tcBorders>
              <w:bottom w:val="single" w:sz="8" w:color="0000EE"/>
            </w:tcBorders>
            <w:gridSpan w:val="4"/>
          </w:tcPr>
          <w:p>
            <w:pPr>
              <w:spacing w:after="0"/>
              <w:rPr>
                <w:rFonts w:ascii="Arial" w:cs="Arial" w:eastAsia="Arial" w:hAnsi="Arial"/>
                <w:sz w:val="14"/>
                <w:szCs w:val="14"/>
                <w:b w:val="1"/>
                <w:bCs w:val="1"/>
                <w:color w:val="0000EE"/>
                <w:w w:val="99"/>
              </w:rPr>
            </w:pPr>
            <w:hyperlink w:anchor="page4">
              <w:r>
                <w:rPr>
                  <w:rFonts w:ascii="Arial" w:cs="Arial" w:eastAsia="Arial" w:hAnsi="Arial"/>
                  <w:sz w:val="14"/>
                  <w:szCs w:val="14"/>
                  <w:b w:val="1"/>
                  <w:bCs w:val="1"/>
                  <w:color w:val="0000EE"/>
                  <w:w w:val="99"/>
                </w:rPr>
                <w:t>General</w:t>
              </w:r>
            </w:hyperlink>
          </w:p>
        </w:tc>
        <w:tc>
          <w:tcPr>
            <w:tcW w:w="210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466"/>
        </w:trPr>
        <w:tc>
          <w:tcPr>
            <w:tcW w:w="1400" w:type="dxa"/>
            <w:vAlign w:val="bottom"/>
            <w:tcBorders>
              <w:bottom w:val="single" w:sz="8" w:color="0000EE"/>
            </w:tcBorders>
            <w:gridSpan w:val="5"/>
          </w:tcPr>
          <w:p>
            <w:pPr>
              <w:spacing w:after="0"/>
              <w:rPr>
                <w:rFonts w:ascii="Arial" w:cs="Arial" w:eastAsia="Arial" w:hAnsi="Arial"/>
                <w:sz w:val="14"/>
                <w:szCs w:val="14"/>
                <w:b w:val="1"/>
                <w:bCs w:val="1"/>
                <w:color w:val="0000EE"/>
                <w:w w:val="95"/>
              </w:rPr>
            </w:pPr>
            <w:hyperlink w:anchor="page4">
              <w:r>
                <w:rPr>
                  <w:rFonts w:ascii="Arial" w:cs="Arial" w:eastAsia="Arial" w:hAnsi="Arial"/>
                  <w:sz w:val="14"/>
                  <w:szCs w:val="14"/>
                  <w:b w:val="1"/>
                  <w:bCs w:val="1"/>
                  <w:color w:val="0000EE"/>
                  <w:w w:val="95"/>
                </w:rPr>
                <w:t>Cautionary Statement</w:t>
              </w:r>
            </w:hyperlink>
          </w:p>
        </w:tc>
        <w:tc>
          <w:tcPr>
            <w:tcW w:w="124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466"/>
        </w:trPr>
        <w:tc>
          <w:tcPr>
            <w:tcW w:w="2640" w:type="dxa"/>
            <w:vAlign w:val="bottom"/>
            <w:gridSpan w:val="10"/>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w:t>
              </w:r>
            </w:hyperlink>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4">
              <w:r>
                <w:rPr>
                  <w:rFonts w:ascii="Arial" w:cs="Arial" w:eastAsia="Arial" w:hAnsi="Arial"/>
                  <w:sz w:val="14"/>
                  <w:szCs w:val="14"/>
                  <w:color w:val="0000EE"/>
                  <w:w w:val="88"/>
                </w:rPr>
                <w:t>Item 1.</w:t>
              </w:r>
            </w:hyperlink>
          </w:p>
        </w:tc>
        <w:tc>
          <w:tcPr>
            <w:tcW w:w="500" w:type="dxa"/>
            <w:vAlign w:val="bottom"/>
            <w:gridSpan w:val="3"/>
          </w:tcPr>
          <w:p>
            <w:pPr>
              <w:spacing w:after="0"/>
              <w:rPr>
                <w:sz w:val="24"/>
                <w:szCs w:val="24"/>
                <w:color w:val="auto"/>
              </w:rPr>
            </w:pPr>
          </w:p>
        </w:tc>
        <w:tc>
          <w:tcPr>
            <w:tcW w:w="3220" w:type="dxa"/>
            <w:vAlign w:val="bottom"/>
            <w:tcBorders>
              <w:bottom w:val="single" w:sz="8" w:color="0000EE"/>
            </w:tcBorders>
            <w:gridSpan w:val="14"/>
          </w:tcPr>
          <w:p>
            <w:pPr>
              <w:spacing w:after="0"/>
              <w:rPr>
                <w:rFonts w:ascii="Arial" w:cs="Arial" w:eastAsia="Arial" w:hAnsi="Arial"/>
                <w:sz w:val="14"/>
                <w:szCs w:val="14"/>
                <w:color w:val="0000EE"/>
                <w:w w:val="94"/>
              </w:rPr>
            </w:pPr>
            <w:hyperlink w:anchor="page4">
              <w:r>
                <w:rPr>
                  <w:rFonts w:ascii="Arial" w:cs="Arial" w:eastAsia="Arial" w:hAnsi="Arial"/>
                  <w:sz w:val="14"/>
                  <w:szCs w:val="14"/>
                  <w:color w:val="0000EE"/>
                  <w:w w:val="94"/>
                </w:rPr>
                <w:t>Identity of Directors, Senior Management and Advisors</w:t>
              </w:r>
            </w:hyperlink>
          </w:p>
        </w:tc>
        <w:tc>
          <w:tcPr>
            <w:tcW w:w="3340" w:type="dxa"/>
            <w:vAlign w:val="bottom"/>
            <w:gridSpan w:val="3"/>
          </w:tcPr>
          <w:p>
            <w:pPr>
              <w:spacing w:after="0"/>
              <w:rPr>
                <w:sz w:val="24"/>
                <w:szCs w:val="24"/>
                <w:color w:val="auto"/>
              </w:rPr>
            </w:pPr>
          </w:p>
        </w:tc>
        <w:tc>
          <w:tcPr>
            <w:tcW w:w="214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4">
              <w:r>
                <w:rPr>
                  <w:rFonts w:ascii="Arial" w:cs="Arial" w:eastAsia="Arial" w:hAnsi="Arial"/>
                  <w:sz w:val="14"/>
                  <w:szCs w:val="14"/>
                  <w:color w:val="0000EE"/>
                  <w:w w:val="88"/>
                </w:rPr>
                <w:t>Item 2.</w:t>
              </w:r>
            </w:hyperlink>
          </w:p>
        </w:tc>
        <w:tc>
          <w:tcPr>
            <w:tcW w:w="500" w:type="dxa"/>
            <w:vAlign w:val="bottom"/>
            <w:gridSpan w:val="3"/>
          </w:tcPr>
          <w:p>
            <w:pPr>
              <w:spacing w:after="0"/>
              <w:rPr>
                <w:sz w:val="24"/>
                <w:szCs w:val="24"/>
                <w:color w:val="auto"/>
              </w:rPr>
            </w:pPr>
          </w:p>
        </w:tc>
        <w:tc>
          <w:tcPr>
            <w:tcW w:w="2300" w:type="dxa"/>
            <w:vAlign w:val="bottom"/>
            <w:tcBorders>
              <w:bottom w:val="single" w:sz="8" w:color="0000EE"/>
            </w:tcBorders>
            <w:gridSpan w:val="8"/>
          </w:tcPr>
          <w:p>
            <w:pPr>
              <w:spacing w:after="0"/>
              <w:rPr>
                <w:rFonts w:ascii="Arial" w:cs="Arial" w:eastAsia="Arial" w:hAnsi="Arial"/>
                <w:sz w:val="14"/>
                <w:szCs w:val="14"/>
                <w:color w:val="0000EE"/>
                <w:w w:val="92"/>
              </w:rPr>
            </w:pPr>
            <w:hyperlink w:anchor="page4">
              <w:r>
                <w:rPr>
                  <w:rFonts w:ascii="Arial" w:cs="Arial" w:eastAsia="Arial" w:hAnsi="Arial"/>
                  <w:sz w:val="14"/>
                  <w:szCs w:val="14"/>
                  <w:color w:val="0000EE"/>
                  <w:w w:val="92"/>
                </w:rPr>
                <w:t>Offer Statistics and Expected Timetable</w:t>
              </w:r>
            </w:hyperlink>
          </w:p>
        </w:tc>
        <w:tc>
          <w:tcPr>
            <w:tcW w:w="4260" w:type="dxa"/>
            <w:vAlign w:val="bottom"/>
            <w:gridSpan w:val="9"/>
          </w:tcPr>
          <w:p>
            <w:pPr>
              <w:spacing w:after="0"/>
              <w:rPr>
                <w:sz w:val="24"/>
                <w:szCs w:val="24"/>
                <w:color w:val="auto"/>
              </w:rPr>
            </w:pPr>
          </w:p>
        </w:tc>
        <w:tc>
          <w:tcPr>
            <w:tcW w:w="214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
              <w:r>
                <w:rPr>
                  <w:rFonts w:ascii="Arial" w:cs="Arial" w:eastAsia="Arial" w:hAnsi="Arial"/>
                  <w:sz w:val="14"/>
                  <w:szCs w:val="14"/>
                  <w:color w:val="0000EE"/>
                  <w:w w:val="76"/>
                </w:rPr>
                <w:t>1</w:t>
              </w:r>
            </w:hyperlink>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3.</w:t>
              </w:r>
            </w:hyperlink>
          </w:p>
        </w:tc>
        <w:tc>
          <w:tcPr>
            <w:tcW w:w="440" w:type="dxa"/>
            <w:vAlign w:val="bottom"/>
            <w:gridSpan w:val="2"/>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Key Information</w:t>
              </w:r>
            </w:hyperlink>
          </w:p>
        </w:tc>
        <w:tc>
          <w:tcPr>
            <w:tcW w:w="2220" w:type="dxa"/>
            <w:vAlign w:val="bottom"/>
            <w:gridSpan w:val="3"/>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2</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4"/>
                <w:szCs w:val="14"/>
                <w:color w:val="0000EE"/>
                <w:w w:val="88"/>
              </w:rPr>
            </w:pPr>
            <w:hyperlink w:anchor="page11">
              <w:r>
                <w:rPr>
                  <w:rFonts w:ascii="Arial" w:cs="Arial" w:eastAsia="Arial" w:hAnsi="Arial"/>
                  <w:sz w:val="14"/>
                  <w:szCs w:val="14"/>
                  <w:color w:val="0000EE"/>
                  <w:w w:val="88"/>
                </w:rPr>
                <w:t>Item 4.</w:t>
              </w:r>
            </w:hyperlink>
          </w:p>
        </w:tc>
        <w:tc>
          <w:tcPr>
            <w:tcW w:w="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680" w:type="dxa"/>
            <w:vAlign w:val="bottom"/>
            <w:tcBorders>
              <w:bottom w:val="single" w:sz="8" w:color="0000EE"/>
            </w:tcBorders>
            <w:gridSpan w:val="6"/>
          </w:tcPr>
          <w:p>
            <w:pPr>
              <w:spacing w:after="0"/>
              <w:rPr>
                <w:rFonts w:ascii="Arial" w:cs="Arial" w:eastAsia="Arial" w:hAnsi="Arial"/>
                <w:sz w:val="14"/>
                <w:szCs w:val="14"/>
                <w:color w:val="0000EE"/>
                <w:w w:val="93"/>
              </w:rPr>
            </w:pPr>
            <w:hyperlink w:anchor="page11">
              <w:r>
                <w:rPr>
                  <w:rFonts w:ascii="Arial" w:cs="Arial" w:eastAsia="Arial" w:hAnsi="Arial"/>
                  <w:sz w:val="14"/>
                  <w:szCs w:val="14"/>
                  <w:color w:val="0000EE"/>
                  <w:w w:val="93"/>
                </w:rPr>
                <w:t>Information on the Company</w:t>
              </w:r>
            </w:hyperlink>
          </w:p>
        </w:tc>
        <w:tc>
          <w:tcPr>
            <w:tcW w:w="4880" w:type="dxa"/>
            <w:vAlign w:val="bottom"/>
            <w:gridSpan w:val="11"/>
          </w:tcPr>
          <w:p>
            <w:pPr>
              <w:spacing w:after="0"/>
              <w:rPr>
                <w:sz w:val="24"/>
                <w:szCs w:val="24"/>
                <w:color w:val="auto"/>
              </w:rPr>
            </w:pPr>
          </w:p>
        </w:tc>
        <w:tc>
          <w:tcPr>
            <w:tcW w:w="2140" w:type="dxa"/>
            <w:vAlign w:val="bottom"/>
            <w:gridSpan w:val="2"/>
          </w:tcPr>
          <w:p>
            <w:pPr>
              <w:spacing w:after="0"/>
              <w:rPr>
                <w:sz w:val="24"/>
                <w:szCs w:val="24"/>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11">
              <w:r>
                <w:rPr>
                  <w:rFonts w:ascii="Arial" w:cs="Arial" w:eastAsia="Arial" w:hAnsi="Arial"/>
                  <w:sz w:val="14"/>
                  <w:szCs w:val="14"/>
                  <w:color w:val="0000EE"/>
                  <w:w w:val="76"/>
                </w:rPr>
                <w:t>8</w:t>
              </w:r>
            </w:hyperlink>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EE"/>
                <w:w w:val="88"/>
              </w:rPr>
            </w:pPr>
            <w:hyperlink w:anchor="page21">
              <w:r>
                <w:rPr>
                  <w:rFonts w:ascii="Arial" w:cs="Arial" w:eastAsia="Arial" w:hAnsi="Arial"/>
                  <w:sz w:val="14"/>
                  <w:szCs w:val="14"/>
                  <w:color w:val="0000EE"/>
                  <w:w w:val="88"/>
                </w:rPr>
                <w:t>Item 5.</w:t>
              </w:r>
            </w:hyperlink>
          </w:p>
        </w:tc>
        <w:tc>
          <w:tcPr>
            <w:tcW w:w="500" w:type="dxa"/>
            <w:vAlign w:val="bottom"/>
            <w:gridSpan w:val="3"/>
          </w:tcPr>
          <w:p>
            <w:pPr>
              <w:spacing w:after="0"/>
              <w:rPr>
                <w:sz w:val="24"/>
                <w:szCs w:val="24"/>
                <w:color w:val="auto"/>
              </w:rPr>
            </w:pPr>
          </w:p>
        </w:tc>
        <w:tc>
          <w:tcPr>
            <w:tcW w:w="2700" w:type="dxa"/>
            <w:vAlign w:val="bottom"/>
            <w:gridSpan w:val="9"/>
          </w:tcPr>
          <w:p>
            <w:pPr>
              <w:spacing w:after="0"/>
              <w:rPr>
                <w:rFonts w:ascii="Arial" w:cs="Arial" w:eastAsia="Arial" w:hAnsi="Arial"/>
                <w:sz w:val="14"/>
                <w:szCs w:val="14"/>
                <w:color w:val="0000EE"/>
                <w:w w:val="91"/>
              </w:rPr>
            </w:pPr>
            <w:hyperlink w:anchor="page21">
              <w:r>
                <w:rPr>
                  <w:rFonts w:ascii="Arial" w:cs="Arial" w:eastAsia="Arial" w:hAnsi="Arial"/>
                  <w:sz w:val="14"/>
                  <w:szCs w:val="14"/>
                  <w:color w:val="0000EE"/>
                  <w:w w:val="91"/>
                </w:rPr>
                <w:t>Operating and Financial Review and Prospects</w:t>
              </w:r>
            </w:hyperlink>
          </w:p>
        </w:tc>
        <w:tc>
          <w:tcPr>
            <w:tcW w:w="3860" w:type="dxa"/>
            <w:vAlign w:val="bottom"/>
            <w:gridSpan w:val="8"/>
          </w:tcPr>
          <w:p>
            <w:pPr>
              <w:spacing w:after="0"/>
              <w:rPr>
                <w:sz w:val="24"/>
                <w:szCs w:val="24"/>
                <w:color w:val="auto"/>
              </w:rPr>
            </w:pPr>
          </w:p>
        </w:tc>
        <w:tc>
          <w:tcPr>
            <w:tcW w:w="2220" w:type="dxa"/>
            <w:vAlign w:val="bottom"/>
            <w:gridSpan w:val="3"/>
          </w:tcPr>
          <w:p>
            <w:pPr>
              <w:jc w:val="right"/>
              <w:spacing w:after="0"/>
              <w:rPr>
                <w:rFonts w:ascii="Arial" w:cs="Arial" w:eastAsia="Arial" w:hAnsi="Arial"/>
                <w:sz w:val="14"/>
                <w:szCs w:val="14"/>
                <w:color w:val="0000EE"/>
              </w:rPr>
            </w:pPr>
            <w:hyperlink w:anchor="page21">
              <w:r>
                <w:rPr>
                  <w:rFonts w:ascii="Arial" w:cs="Arial" w:eastAsia="Arial" w:hAnsi="Arial"/>
                  <w:sz w:val="14"/>
                  <w:szCs w:val="14"/>
                  <w:color w:val="0000EE"/>
                </w:rPr>
                <w:t>18</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EE"/>
                <w:w w:val="88"/>
              </w:rPr>
            </w:pPr>
            <w:hyperlink w:anchor="page32">
              <w:r>
                <w:rPr>
                  <w:rFonts w:ascii="Arial" w:cs="Arial" w:eastAsia="Arial" w:hAnsi="Arial"/>
                  <w:sz w:val="14"/>
                  <w:szCs w:val="14"/>
                  <w:color w:val="0000EE"/>
                  <w:w w:val="88"/>
                </w:rPr>
                <w:t>Item 6.</w:t>
              </w:r>
            </w:hyperlink>
          </w:p>
        </w:tc>
        <w:tc>
          <w:tcPr>
            <w:tcW w:w="500" w:type="dxa"/>
            <w:vAlign w:val="bottom"/>
            <w:gridSpan w:val="3"/>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Directors, Senior Management and Employees.</w:t>
              </w:r>
            </w:hyperlink>
          </w:p>
        </w:tc>
        <w:tc>
          <w:tcPr>
            <w:tcW w:w="2220" w:type="dxa"/>
            <w:vAlign w:val="bottom"/>
            <w:gridSpan w:val="3"/>
          </w:tcPr>
          <w:p>
            <w:pPr>
              <w:jc w:val="right"/>
              <w:spacing w:after="0"/>
              <w:rPr>
                <w:rFonts w:ascii="Arial" w:cs="Arial" w:eastAsia="Arial" w:hAnsi="Arial"/>
                <w:sz w:val="14"/>
                <w:szCs w:val="14"/>
                <w:color w:val="0000EE"/>
              </w:rPr>
            </w:pPr>
            <w:hyperlink w:anchor="page32">
              <w:r>
                <w:rPr>
                  <w:rFonts w:ascii="Arial" w:cs="Arial" w:eastAsia="Arial" w:hAnsi="Arial"/>
                  <w:sz w:val="14"/>
                  <w:szCs w:val="14"/>
                  <w:color w:val="0000EE"/>
                </w:rPr>
                <w:t>29</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EE"/>
                <w:w w:val="88"/>
              </w:rPr>
            </w:pPr>
            <w:hyperlink w:anchor="page41">
              <w:r>
                <w:rPr>
                  <w:rFonts w:ascii="Arial" w:cs="Arial" w:eastAsia="Arial" w:hAnsi="Arial"/>
                  <w:sz w:val="14"/>
                  <w:szCs w:val="14"/>
                  <w:color w:val="0000EE"/>
                  <w:w w:val="88"/>
                </w:rPr>
                <w:t>Item 7.</w:t>
              </w:r>
            </w:hyperlink>
          </w:p>
        </w:tc>
        <w:tc>
          <w:tcPr>
            <w:tcW w:w="500" w:type="dxa"/>
            <w:vAlign w:val="bottom"/>
            <w:gridSpan w:val="3"/>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Major Shareholders and Related Party Transactions</w:t>
              </w:r>
            </w:hyperlink>
          </w:p>
        </w:tc>
        <w:tc>
          <w:tcPr>
            <w:tcW w:w="2220" w:type="dxa"/>
            <w:vAlign w:val="bottom"/>
            <w:gridSpan w:val="3"/>
          </w:tcPr>
          <w:p>
            <w:pPr>
              <w:jc w:val="right"/>
              <w:spacing w:after="0"/>
              <w:rPr>
                <w:rFonts w:ascii="Arial" w:cs="Arial" w:eastAsia="Arial" w:hAnsi="Arial"/>
                <w:sz w:val="14"/>
                <w:szCs w:val="14"/>
                <w:color w:val="0000EE"/>
              </w:rPr>
            </w:pPr>
            <w:hyperlink w:anchor="page41">
              <w:r>
                <w:rPr>
                  <w:rFonts w:ascii="Arial" w:cs="Arial" w:eastAsia="Arial" w:hAnsi="Arial"/>
                  <w:sz w:val="14"/>
                  <w:szCs w:val="14"/>
                  <w:color w:val="0000EE"/>
                </w:rPr>
                <w:t>38</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EE"/>
                <w:w w:val="88"/>
              </w:rPr>
            </w:pPr>
            <w:hyperlink w:anchor="page43">
              <w:r>
                <w:rPr>
                  <w:rFonts w:ascii="Arial" w:cs="Arial" w:eastAsia="Arial" w:hAnsi="Arial"/>
                  <w:sz w:val="14"/>
                  <w:szCs w:val="14"/>
                  <w:color w:val="0000EE"/>
                  <w:w w:val="88"/>
                </w:rPr>
                <w:t>Item 8.</w:t>
              </w:r>
            </w:hyperlink>
          </w:p>
        </w:tc>
        <w:tc>
          <w:tcPr>
            <w:tcW w:w="500" w:type="dxa"/>
            <w:vAlign w:val="bottom"/>
            <w:gridSpan w:val="3"/>
          </w:tcPr>
          <w:p>
            <w:pPr>
              <w:spacing w:after="0"/>
              <w:rPr>
                <w:sz w:val="24"/>
                <w:szCs w:val="24"/>
                <w:color w:val="auto"/>
              </w:rPr>
            </w:pPr>
          </w:p>
        </w:tc>
        <w:tc>
          <w:tcPr>
            <w:tcW w:w="2960" w:type="dxa"/>
            <w:vAlign w:val="bottom"/>
            <w:gridSpan w:val="1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Financial Information</w:t>
              </w:r>
            </w:hyperlink>
          </w:p>
        </w:tc>
        <w:tc>
          <w:tcPr>
            <w:tcW w:w="3600" w:type="dxa"/>
            <w:vAlign w:val="bottom"/>
            <w:gridSpan w:val="5"/>
          </w:tcPr>
          <w:p>
            <w:pPr>
              <w:spacing w:after="0"/>
              <w:rPr>
                <w:sz w:val="24"/>
                <w:szCs w:val="24"/>
                <w:color w:val="auto"/>
              </w:rPr>
            </w:pPr>
          </w:p>
        </w:tc>
        <w:tc>
          <w:tcPr>
            <w:tcW w:w="2220" w:type="dxa"/>
            <w:vAlign w:val="bottom"/>
            <w:gridSpan w:val="3"/>
          </w:tcPr>
          <w:p>
            <w:pPr>
              <w:jc w:val="right"/>
              <w:spacing w:after="0"/>
              <w:rPr>
                <w:rFonts w:ascii="Arial" w:cs="Arial" w:eastAsia="Arial" w:hAnsi="Arial"/>
                <w:sz w:val="14"/>
                <w:szCs w:val="14"/>
                <w:color w:val="0000EE"/>
              </w:rPr>
            </w:pPr>
            <w:hyperlink w:anchor="page43">
              <w:r>
                <w:rPr>
                  <w:rFonts w:ascii="Arial" w:cs="Arial" w:eastAsia="Arial" w:hAnsi="Arial"/>
                  <w:sz w:val="14"/>
                  <w:szCs w:val="14"/>
                  <w:color w:val="0000EE"/>
                </w:rPr>
                <w:t>40</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rFonts w:ascii="Arial" w:cs="Arial" w:eastAsia="Arial" w:hAnsi="Arial"/>
                <w:sz w:val="14"/>
                <w:szCs w:val="14"/>
                <w:color w:val="0000EE"/>
                <w:w w:val="88"/>
              </w:rPr>
            </w:pPr>
            <w:hyperlink w:anchor="page43">
              <w:r>
                <w:rPr>
                  <w:rFonts w:ascii="Arial" w:cs="Arial" w:eastAsia="Arial" w:hAnsi="Arial"/>
                  <w:sz w:val="14"/>
                  <w:szCs w:val="14"/>
                  <w:color w:val="0000EE"/>
                  <w:w w:val="88"/>
                </w:rPr>
                <w:t>Item 9.</w:t>
              </w:r>
            </w:hyperlink>
          </w:p>
        </w:tc>
        <w:tc>
          <w:tcPr>
            <w:tcW w:w="500" w:type="dxa"/>
            <w:vAlign w:val="bottom"/>
            <w:gridSpan w:val="3"/>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The Offer and the Listing</w:t>
              </w:r>
            </w:hyperlink>
          </w:p>
        </w:tc>
        <w:tc>
          <w:tcPr>
            <w:tcW w:w="2220" w:type="dxa"/>
            <w:vAlign w:val="bottom"/>
            <w:gridSpan w:val="3"/>
          </w:tcPr>
          <w:p>
            <w:pPr>
              <w:jc w:val="right"/>
              <w:spacing w:after="0"/>
              <w:rPr>
                <w:rFonts w:ascii="Arial" w:cs="Arial" w:eastAsia="Arial" w:hAnsi="Arial"/>
                <w:sz w:val="14"/>
                <w:szCs w:val="14"/>
                <w:color w:val="0000EE"/>
              </w:rPr>
            </w:pPr>
            <w:hyperlink w:anchor="page43">
              <w:r>
                <w:rPr>
                  <w:rFonts w:ascii="Arial" w:cs="Arial" w:eastAsia="Arial" w:hAnsi="Arial"/>
                  <w:sz w:val="14"/>
                  <w:szCs w:val="14"/>
                  <w:color w:val="0000EE"/>
                </w:rPr>
                <w:t>40</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4"/>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Item 10.</w:t>
              </w:r>
            </w:hyperlink>
          </w:p>
        </w:tc>
        <w:tc>
          <w:tcPr>
            <w:tcW w:w="6560" w:type="dxa"/>
            <w:vAlign w:val="bottom"/>
            <w:gridSpan w:val="17"/>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Additional Information</w:t>
              </w:r>
            </w:hyperlink>
          </w:p>
        </w:tc>
        <w:tc>
          <w:tcPr>
            <w:tcW w:w="2220" w:type="dxa"/>
            <w:vAlign w:val="bottom"/>
            <w:gridSpan w:val="3"/>
          </w:tcPr>
          <w:p>
            <w:pPr>
              <w:jc w:val="right"/>
              <w:spacing w:after="0"/>
              <w:rPr>
                <w:rFonts w:ascii="Arial" w:cs="Arial" w:eastAsia="Arial" w:hAnsi="Arial"/>
                <w:sz w:val="14"/>
                <w:szCs w:val="14"/>
                <w:color w:val="0000EE"/>
              </w:rPr>
            </w:pPr>
            <w:hyperlink w:anchor="page44">
              <w:r>
                <w:rPr>
                  <w:rFonts w:ascii="Arial" w:cs="Arial" w:eastAsia="Arial" w:hAnsi="Arial"/>
                  <w:sz w:val="14"/>
                  <w:szCs w:val="14"/>
                  <w:color w:val="0000EE"/>
                </w:rPr>
                <w:t>41</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4"/>
                <w:szCs w:val="14"/>
                <w:color w:val="0000EE"/>
                <w:w w:val="86"/>
              </w:rPr>
            </w:pPr>
            <w:hyperlink w:anchor="page50">
              <w:r>
                <w:rPr>
                  <w:rFonts w:ascii="Arial" w:cs="Arial" w:eastAsia="Arial" w:hAnsi="Arial"/>
                  <w:sz w:val="14"/>
                  <w:szCs w:val="14"/>
                  <w:color w:val="0000EE"/>
                  <w:w w:val="86"/>
                </w:rPr>
                <w:t>Item 11.</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Quantitative and Qualitative Disclosures about Market Risk</w:t>
              </w:r>
            </w:hyperlink>
          </w:p>
        </w:tc>
        <w:tc>
          <w:tcPr>
            <w:tcW w:w="2220" w:type="dxa"/>
            <w:vAlign w:val="bottom"/>
            <w:gridSpan w:val="3"/>
          </w:tcPr>
          <w:p>
            <w:pPr>
              <w:jc w:val="right"/>
              <w:spacing w:after="0"/>
              <w:rPr>
                <w:rFonts w:ascii="Arial" w:cs="Arial" w:eastAsia="Arial" w:hAnsi="Arial"/>
                <w:sz w:val="14"/>
                <w:szCs w:val="14"/>
                <w:color w:val="0000EE"/>
              </w:rPr>
            </w:pPr>
            <w:hyperlink w:anchor="page50">
              <w:r>
                <w:rPr>
                  <w:rFonts w:ascii="Arial" w:cs="Arial" w:eastAsia="Arial" w:hAnsi="Arial"/>
                  <w:sz w:val="14"/>
                  <w:szCs w:val="14"/>
                  <w:color w:val="0000EE"/>
                </w:rPr>
                <w:t>47</w:t>
              </w:r>
            </w:hyperlink>
          </w:p>
        </w:tc>
      </w:tr>
      <w:tr>
        <w:trPr>
          <w:trHeight w:val="48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0000EE"/>
            </w:tcBorders>
            <w:gridSpan w:val="3"/>
          </w:tcPr>
          <w:p>
            <w:pPr>
              <w:spacing w:after="0"/>
              <w:rPr>
                <w:rFonts w:ascii="Arial" w:cs="Arial" w:eastAsia="Arial" w:hAnsi="Arial"/>
                <w:sz w:val="14"/>
                <w:szCs w:val="14"/>
                <w:color w:val="0000EE"/>
                <w:w w:val="90"/>
              </w:rPr>
            </w:pPr>
            <w:hyperlink w:anchor="page51">
              <w:r>
                <w:rPr>
                  <w:rFonts w:ascii="Arial" w:cs="Arial" w:eastAsia="Arial" w:hAnsi="Arial"/>
                  <w:sz w:val="14"/>
                  <w:szCs w:val="14"/>
                  <w:color w:val="0000EE"/>
                  <w:w w:val="90"/>
                </w:rPr>
                <w:t>Item 12.</w:t>
              </w:r>
            </w:hyperlink>
          </w:p>
        </w:tc>
        <w:tc>
          <w:tcPr>
            <w:tcW w:w="420" w:type="dxa"/>
            <w:vAlign w:val="bottom"/>
          </w:tcPr>
          <w:p>
            <w:pPr>
              <w:spacing w:after="0"/>
              <w:rPr>
                <w:sz w:val="24"/>
                <w:szCs w:val="24"/>
                <w:color w:val="auto"/>
              </w:rPr>
            </w:pPr>
          </w:p>
        </w:tc>
        <w:tc>
          <w:tcPr>
            <w:tcW w:w="3440" w:type="dxa"/>
            <w:vAlign w:val="bottom"/>
            <w:tcBorders>
              <w:top w:val="single" w:sz="8" w:color="0000EE"/>
            </w:tcBorders>
            <w:gridSpan w:val="15"/>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Description of Securities Other than Equity Securities</w:t>
              </w:r>
            </w:hyperlink>
          </w:p>
        </w:tc>
        <w:tc>
          <w:tcPr>
            <w:tcW w:w="3120" w:type="dxa"/>
            <w:vAlign w:val="bottom"/>
            <w:gridSpan w:val="2"/>
          </w:tcPr>
          <w:p>
            <w:pPr>
              <w:spacing w:after="0"/>
              <w:rPr>
                <w:sz w:val="24"/>
                <w:szCs w:val="24"/>
                <w:color w:val="auto"/>
              </w:rPr>
            </w:pPr>
          </w:p>
        </w:tc>
        <w:tc>
          <w:tcPr>
            <w:tcW w:w="2220" w:type="dxa"/>
            <w:vAlign w:val="bottom"/>
            <w:gridSpan w:val="3"/>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r>
      <w:tr>
        <w:trPr>
          <w:trHeight w:val="446"/>
        </w:trPr>
        <w:tc>
          <w:tcPr>
            <w:tcW w:w="1740" w:type="dxa"/>
            <w:vAlign w:val="bottom"/>
            <w:gridSpan w:val="6"/>
          </w:tcPr>
          <w:p>
            <w:pPr>
              <w:spacing w:after="0"/>
              <w:rPr>
                <w:rFonts w:ascii="Arial" w:cs="Arial" w:eastAsia="Arial" w:hAnsi="Arial"/>
                <w:sz w:val="14"/>
                <w:szCs w:val="14"/>
                <w:b w:val="1"/>
                <w:bCs w:val="1"/>
                <w:color w:val="0000EE"/>
              </w:rPr>
            </w:pPr>
            <w:hyperlink w:anchor="page51">
              <w:r>
                <w:rPr>
                  <w:rFonts w:ascii="Arial" w:cs="Arial" w:eastAsia="Arial" w:hAnsi="Arial"/>
                  <w:sz w:val="14"/>
                  <w:szCs w:val="14"/>
                  <w:b w:val="1"/>
                  <w:bCs w:val="1"/>
                  <w:color w:val="0000EE"/>
                </w:rPr>
                <w:t>Part II</w:t>
              </w:r>
            </w:hyperlink>
          </w:p>
        </w:tc>
        <w:tc>
          <w:tcPr>
            <w:tcW w:w="460" w:type="dxa"/>
            <w:vAlign w:val="bottom"/>
            <w:tcBorders>
              <w:top w:val="single" w:sz="8" w:color="0000EE"/>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1">
              <w:r>
                <w:rPr>
                  <w:rFonts w:ascii="Arial" w:cs="Arial" w:eastAsia="Arial" w:hAnsi="Arial"/>
                  <w:sz w:val="14"/>
                  <w:szCs w:val="14"/>
                  <w:color w:val="0000EE"/>
                  <w:w w:val="90"/>
                </w:rPr>
                <w:t>Item 13.</w:t>
              </w:r>
            </w:hyperlink>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Defaults, Dividend Arrearages and Delinquencies</w:t>
              </w:r>
            </w:hyperlink>
          </w:p>
        </w:tc>
        <w:tc>
          <w:tcPr>
            <w:tcW w:w="2220" w:type="dxa"/>
            <w:vAlign w:val="bottom"/>
            <w:gridSpan w:val="3"/>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1">
              <w:r>
                <w:rPr>
                  <w:rFonts w:ascii="Arial" w:cs="Arial" w:eastAsia="Arial" w:hAnsi="Arial"/>
                  <w:sz w:val="14"/>
                  <w:szCs w:val="14"/>
                  <w:color w:val="0000EE"/>
                  <w:w w:val="90"/>
                </w:rPr>
                <w:t>Item 14.</w:t>
              </w:r>
            </w:hyperlink>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Material Modifications to the Rights of Security Holders and Use of Proceeds</w:t>
              </w:r>
            </w:hyperlink>
          </w:p>
        </w:tc>
        <w:tc>
          <w:tcPr>
            <w:tcW w:w="2220" w:type="dxa"/>
            <w:vAlign w:val="bottom"/>
            <w:gridSpan w:val="3"/>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top w:val="single" w:sz="8" w:color="0000EE"/>
            </w:tcBorders>
            <w:gridSpan w:val="3"/>
          </w:tcPr>
          <w:p>
            <w:pPr>
              <w:spacing w:after="0"/>
              <w:rPr>
                <w:rFonts w:ascii="Arial" w:cs="Arial" w:eastAsia="Arial" w:hAnsi="Arial"/>
                <w:sz w:val="14"/>
                <w:szCs w:val="14"/>
                <w:color w:val="0000EE"/>
                <w:w w:val="90"/>
              </w:rPr>
            </w:pPr>
            <w:hyperlink w:anchor="page51">
              <w:r>
                <w:rPr>
                  <w:rFonts w:ascii="Arial" w:cs="Arial" w:eastAsia="Arial" w:hAnsi="Arial"/>
                  <w:sz w:val="14"/>
                  <w:szCs w:val="14"/>
                  <w:color w:val="0000EE"/>
                  <w:w w:val="90"/>
                </w:rPr>
                <w:t>Item 15.</w:t>
              </w:r>
            </w:hyperlink>
          </w:p>
        </w:tc>
        <w:tc>
          <w:tcPr>
            <w:tcW w:w="4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4"/>
                <w:szCs w:val="14"/>
                <w:color w:val="0000EE"/>
                <w:w w:val="86"/>
              </w:rPr>
            </w:pPr>
            <w:hyperlink w:anchor="page51">
              <w:r>
                <w:rPr>
                  <w:rFonts w:ascii="Arial" w:cs="Arial" w:eastAsia="Arial" w:hAnsi="Arial"/>
                  <w:sz w:val="14"/>
                  <w:szCs w:val="14"/>
                  <w:color w:val="0000EE"/>
                  <w:w w:val="86"/>
                </w:rPr>
                <w:t>Reserved</w:t>
              </w:r>
            </w:hyperlink>
          </w:p>
        </w:tc>
        <w:tc>
          <w:tcPr>
            <w:tcW w:w="3940" w:type="dxa"/>
            <w:vAlign w:val="bottom"/>
            <w:tcBorders>
              <w:top w:val="single" w:sz="8" w:color="0000EE"/>
            </w:tcBorders>
            <w:gridSpan w:val="15"/>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gridSpan w:val="3"/>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1">
              <w:r>
                <w:rPr>
                  <w:rFonts w:ascii="Arial" w:cs="Arial" w:eastAsia="Arial" w:hAnsi="Arial"/>
                  <w:sz w:val="14"/>
                  <w:szCs w:val="14"/>
                  <w:color w:val="0000EE"/>
                  <w:w w:val="90"/>
                </w:rPr>
                <w:t>Item 16.</w:t>
              </w:r>
            </w:hyperlink>
          </w:p>
        </w:tc>
        <w:tc>
          <w:tcPr>
            <w:tcW w:w="420" w:type="dxa"/>
            <w:vAlign w:val="bottom"/>
          </w:tcPr>
          <w:p>
            <w:pPr>
              <w:spacing w:after="0"/>
              <w:rPr>
                <w:sz w:val="24"/>
                <w:szCs w:val="24"/>
                <w:color w:val="auto"/>
              </w:rPr>
            </w:pPr>
          </w:p>
        </w:tc>
        <w:tc>
          <w:tcPr>
            <w:tcW w:w="540" w:type="dxa"/>
            <w:vAlign w:val="bottom"/>
          </w:tcPr>
          <w:p>
            <w:pPr>
              <w:spacing w:after="0"/>
              <w:rPr>
                <w:rFonts w:ascii="Arial" w:cs="Arial" w:eastAsia="Arial" w:hAnsi="Arial"/>
                <w:sz w:val="14"/>
                <w:szCs w:val="14"/>
                <w:color w:val="0000EE"/>
                <w:w w:val="86"/>
              </w:rPr>
            </w:pPr>
            <w:hyperlink w:anchor="page51">
              <w:r>
                <w:rPr>
                  <w:rFonts w:ascii="Arial" w:cs="Arial" w:eastAsia="Arial" w:hAnsi="Arial"/>
                  <w:sz w:val="14"/>
                  <w:szCs w:val="14"/>
                  <w:color w:val="0000EE"/>
                  <w:w w:val="86"/>
                </w:rPr>
                <w:t>Reserved</w:t>
              </w:r>
            </w:hyperlink>
          </w:p>
        </w:tc>
        <w:tc>
          <w:tcPr>
            <w:tcW w:w="6020" w:type="dxa"/>
            <w:vAlign w:val="bottom"/>
            <w:gridSpan w:val="16"/>
          </w:tcPr>
          <w:p>
            <w:pPr>
              <w:spacing w:after="0"/>
              <w:rPr>
                <w:sz w:val="24"/>
                <w:szCs w:val="24"/>
                <w:color w:val="auto"/>
              </w:rPr>
            </w:pPr>
          </w:p>
        </w:tc>
        <w:tc>
          <w:tcPr>
            <w:tcW w:w="2220" w:type="dxa"/>
            <w:vAlign w:val="bottom"/>
            <w:gridSpan w:val="3"/>
          </w:tcPr>
          <w:p>
            <w:pPr>
              <w:jc w:val="right"/>
              <w:spacing w:after="0"/>
              <w:rPr>
                <w:rFonts w:ascii="Arial" w:cs="Arial" w:eastAsia="Arial" w:hAnsi="Arial"/>
                <w:sz w:val="14"/>
                <w:szCs w:val="14"/>
                <w:color w:val="0000EE"/>
              </w:rPr>
            </w:pPr>
            <w:hyperlink w:anchor="page51">
              <w:r>
                <w:rPr>
                  <w:rFonts w:ascii="Arial" w:cs="Arial" w:eastAsia="Arial" w:hAnsi="Arial"/>
                  <w:sz w:val="14"/>
                  <w:szCs w:val="14"/>
                  <w:color w:val="0000EE"/>
                </w:rPr>
                <w:t>48</w:t>
              </w:r>
            </w:hyperlink>
          </w:p>
        </w:tc>
      </w:tr>
      <w:tr>
        <w:trPr>
          <w:trHeight w:val="466"/>
        </w:trPr>
        <w:tc>
          <w:tcPr>
            <w:tcW w:w="1740" w:type="dxa"/>
            <w:vAlign w:val="bottom"/>
            <w:gridSpan w:val="6"/>
          </w:tcPr>
          <w:p>
            <w:pPr>
              <w:spacing w:after="0"/>
              <w:rPr>
                <w:rFonts w:ascii="Arial" w:cs="Arial" w:eastAsia="Arial" w:hAnsi="Arial"/>
                <w:sz w:val="14"/>
                <w:szCs w:val="14"/>
                <w:b w:val="1"/>
                <w:bCs w:val="1"/>
                <w:color w:val="0000EE"/>
              </w:rPr>
            </w:pPr>
            <w:hyperlink w:anchor="page53">
              <w:r>
                <w:rPr>
                  <w:rFonts w:ascii="Arial" w:cs="Arial" w:eastAsia="Arial" w:hAnsi="Arial"/>
                  <w:sz w:val="14"/>
                  <w:szCs w:val="14"/>
                  <w:b w:val="1"/>
                  <w:bCs w:val="1"/>
                  <w:color w:val="0000EE"/>
                </w:rPr>
                <w:t>Part III</w:t>
              </w:r>
            </w:hyperlink>
          </w:p>
        </w:tc>
        <w:tc>
          <w:tcPr>
            <w:tcW w:w="460" w:type="dxa"/>
            <w:vAlign w:val="bottom"/>
            <w:tcBorders>
              <w:top w:val="single" w:sz="8" w:color="0000EE"/>
            </w:tcBorders>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66"/>
        </w:trPr>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3">
              <w:r>
                <w:rPr>
                  <w:rFonts w:ascii="Arial" w:cs="Arial" w:eastAsia="Arial" w:hAnsi="Arial"/>
                  <w:sz w:val="14"/>
                  <w:szCs w:val="14"/>
                  <w:color w:val="0000EE"/>
                  <w:w w:val="90"/>
                </w:rPr>
                <w:t>Item 17.</w:t>
              </w:r>
            </w:hyperlink>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Financial Statements</w:t>
              </w:r>
            </w:hyperlink>
          </w:p>
        </w:tc>
        <w:tc>
          <w:tcPr>
            <w:tcW w:w="2220" w:type="dxa"/>
            <w:vAlign w:val="bottom"/>
            <w:gridSpan w:val="3"/>
          </w:tcPr>
          <w:p>
            <w:pPr>
              <w:jc w:val="right"/>
              <w:spacing w:after="0"/>
              <w:rPr>
                <w:rFonts w:ascii="Arial" w:cs="Arial" w:eastAsia="Arial" w:hAnsi="Arial"/>
                <w:sz w:val="14"/>
                <w:szCs w:val="14"/>
                <w:color w:val="0000EE"/>
              </w:rPr>
            </w:pPr>
            <w:hyperlink w:anchor="page53">
              <w:r>
                <w:rPr>
                  <w:rFonts w:ascii="Arial" w:cs="Arial" w:eastAsia="Arial" w:hAnsi="Arial"/>
                  <w:sz w:val="14"/>
                  <w:szCs w:val="14"/>
                  <w:color w:val="0000EE"/>
                </w:rPr>
                <w:t>50</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3">
              <w:r>
                <w:rPr>
                  <w:rFonts w:ascii="Arial" w:cs="Arial" w:eastAsia="Arial" w:hAnsi="Arial"/>
                  <w:sz w:val="14"/>
                  <w:szCs w:val="14"/>
                  <w:color w:val="0000EE"/>
                  <w:w w:val="90"/>
                </w:rPr>
                <w:t>Item 18.</w:t>
              </w:r>
            </w:hyperlink>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Financial Statements</w:t>
              </w:r>
            </w:hyperlink>
          </w:p>
        </w:tc>
        <w:tc>
          <w:tcPr>
            <w:tcW w:w="2220" w:type="dxa"/>
            <w:vAlign w:val="bottom"/>
            <w:gridSpan w:val="3"/>
          </w:tcPr>
          <w:p>
            <w:pPr>
              <w:jc w:val="right"/>
              <w:spacing w:after="0"/>
              <w:rPr>
                <w:rFonts w:ascii="Arial" w:cs="Arial" w:eastAsia="Arial" w:hAnsi="Arial"/>
                <w:sz w:val="14"/>
                <w:szCs w:val="14"/>
                <w:color w:val="0000EE"/>
              </w:rPr>
            </w:pPr>
            <w:hyperlink w:anchor="page53">
              <w:r>
                <w:rPr>
                  <w:rFonts w:ascii="Arial" w:cs="Arial" w:eastAsia="Arial" w:hAnsi="Arial"/>
                  <w:sz w:val="14"/>
                  <w:szCs w:val="14"/>
                  <w:color w:val="0000EE"/>
                </w:rPr>
                <w:t>50</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0" w:type="dxa"/>
            <w:vAlign w:val="bottom"/>
            <w:gridSpan w:val="1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4"/>
                <w:szCs w:val="14"/>
                <w:color w:val="0000EE"/>
                <w:w w:val="90"/>
              </w:rPr>
            </w:pPr>
            <w:hyperlink w:anchor="page53">
              <w:r>
                <w:rPr>
                  <w:rFonts w:ascii="Arial" w:cs="Arial" w:eastAsia="Arial" w:hAnsi="Arial"/>
                  <w:sz w:val="14"/>
                  <w:szCs w:val="14"/>
                  <w:color w:val="0000EE"/>
                  <w:w w:val="90"/>
                </w:rPr>
                <w:t>Item 19.</w:t>
              </w:r>
            </w:hyperlink>
          </w:p>
        </w:tc>
        <w:tc>
          <w:tcPr>
            <w:tcW w:w="420" w:type="dxa"/>
            <w:vAlign w:val="bottom"/>
          </w:tcPr>
          <w:p>
            <w:pPr>
              <w:spacing w:after="0"/>
              <w:rPr>
                <w:sz w:val="24"/>
                <w:szCs w:val="24"/>
                <w:color w:val="auto"/>
              </w:rPr>
            </w:pPr>
          </w:p>
        </w:tc>
        <w:tc>
          <w:tcPr>
            <w:tcW w:w="6560" w:type="dxa"/>
            <w:vAlign w:val="bottom"/>
            <w:gridSpan w:val="17"/>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Financial Statements and Exhibits</w:t>
              </w:r>
            </w:hyperlink>
          </w:p>
        </w:tc>
        <w:tc>
          <w:tcPr>
            <w:tcW w:w="2220" w:type="dxa"/>
            <w:vAlign w:val="bottom"/>
            <w:gridSpan w:val="3"/>
          </w:tcPr>
          <w:p>
            <w:pPr>
              <w:jc w:val="right"/>
              <w:spacing w:after="0"/>
              <w:rPr>
                <w:rFonts w:ascii="Arial" w:cs="Arial" w:eastAsia="Arial" w:hAnsi="Arial"/>
                <w:sz w:val="14"/>
                <w:szCs w:val="14"/>
                <w:color w:val="0000EE"/>
              </w:rPr>
            </w:pPr>
            <w:hyperlink w:anchor="page53">
              <w:r>
                <w:rPr>
                  <w:rFonts w:ascii="Arial" w:cs="Arial" w:eastAsia="Arial" w:hAnsi="Arial"/>
                  <w:sz w:val="14"/>
                  <w:szCs w:val="14"/>
                  <w:color w:val="0000EE"/>
                </w:rPr>
                <w:t>50</w:t>
              </w:r>
            </w:hyperlink>
          </w:p>
        </w:tc>
      </w:tr>
      <w:tr>
        <w:trPr>
          <w:trHeight w:val="463"/>
        </w:trPr>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General</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plc”, the “Company” and “we” or “us” refer to ICON public limited company and its consolidated subsidiaries, unless the context requires otherwise.</w:t>
      </w:r>
    </w:p>
    <w:p>
      <w:pPr>
        <w:spacing w:after="0" w:line="28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thirteen members of the European Union (including the Republic of Ireland, France, Germany, Spain and the Netherlands). ICON publishes its consolidated financial statements in U.S. dollars.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July 27, 2005 the Board of Directors of the Company approved a change of the Company’s fiscal year end from a twelve-month period ending on May 31 to a twelve-month period ending on December 31. The Company made this change in order to align its fiscal year end with the majority of other contract research organizations. As a requirement of this change, the Company reported results for the seven-month period from June 1, 2005 to December 31, 2005 as a separate transition period. As of January 1, 2006, the Company’s fiscal year now begins on January 1 and ends on December 31 and its fiscal quarters end on the last day of March, June, September and December.</w:t>
      </w:r>
    </w:p>
    <w:p>
      <w:pPr>
        <w:spacing w:after="0" w:line="243"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w:t>
      </w:r>
    </w:p>
    <w:p>
      <w:pPr>
        <w:spacing w:after="0" w:line="28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the Company’s Securities and Exchange Commission filings. The Company has no obligation under the PSLRA to update any forward looking statements and does not intend to do so.</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w:t>
      </w:r>
      <w:r>
        <w:rPr>
          <w:rFonts w:ascii="Arial" w:cs="Arial" w:eastAsia="Arial" w:hAnsi="Arial"/>
          <w:sz w:val="14"/>
          <w:szCs w:val="14"/>
          <w:b w:val="1"/>
          <w:bCs w:val="1"/>
          <w:i w:val="1"/>
          <w:iCs w:val="1"/>
          <w:color w:val="auto"/>
        </w:rPr>
        <w:t>Identity of Directors, Senior Management and Advisors.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w:t>
      </w:r>
      <w:r>
        <w:rPr>
          <w:rFonts w:ascii="Arial" w:cs="Arial" w:eastAsia="Arial" w:hAnsi="Arial"/>
          <w:sz w:val="14"/>
          <w:szCs w:val="14"/>
          <w:b w:val="1"/>
          <w:bCs w:val="1"/>
          <w:i w:val="1"/>
          <w:iCs w:val="1"/>
          <w:color w:val="auto"/>
        </w:rPr>
        <w:t>Offer Statistics and Expected Timetable.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Item 3</w:t>
      </w:r>
      <w:r>
        <w:rPr>
          <w:rFonts w:ascii="Arial" w:cs="Arial" w:eastAsia="Arial" w:hAnsi="Arial"/>
          <w:sz w:val="14"/>
          <w:szCs w:val="14"/>
          <w:b w:val="1"/>
          <w:bCs w:val="1"/>
          <w:i w:val="1"/>
          <w:iCs w:val="1"/>
          <w:color w:val="auto"/>
        </w:rPr>
        <w:t>. Key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Historical Consolidated Financial Data for ICON plc</w:t>
      </w:r>
    </w:p>
    <w:p>
      <w:pPr>
        <w:spacing w:after="0" w:line="2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following selected financial data set forth below are derived from ICON’s consolidated financial statements and should be read in conjunction with, and are qualified by reference to, "Operating and Financial Review and Prospects" and ICON's consolidated financial statements and related notes thereto included elsewhere in this Form 20-F.</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7 month</w:t>
            </w:r>
          </w:p>
        </w:tc>
        <w:tc>
          <w:tcPr>
            <w:tcW w:w="32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vMerge w:val="restart"/>
          </w:tcPr>
          <w:p>
            <w:pPr>
              <w:jc w:val="right"/>
              <w:ind w:right="8"/>
              <w:spacing w:after="0" w:line="149" w:lineRule="exact"/>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8"/>
              <w:spacing w:after="0" w:line="145"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December</w:t>
            </w:r>
          </w:p>
        </w:tc>
        <w:tc>
          <w:tcPr>
            <w:tcW w:w="3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Year ended May 31,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31,</w:t>
            </w:r>
          </w:p>
        </w:tc>
        <w:tc>
          <w:tcPr>
            <w:tcW w:w="3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(in thousands, except share and per share data)</w:t>
            </w:r>
          </w:p>
        </w:tc>
        <w:tc>
          <w:tcPr>
            <w:tcW w:w="9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Gross revenue</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218,842</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340,971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443,875</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469,583</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275,586</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649,826</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rPr>
              <w:t>Subcontractor costs (1)</w:t>
            </w:r>
          </w:p>
        </w:tc>
        <w:tc>
          <w:tcPr>
            <w:tcW w:w="10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(62,287)</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(115,246)</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(146,952)</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(142,925)</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(73,636)</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(194,229)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revenue</w:t>
            </w:r>
          </w:p>
        </w:tc>
        <w:tc>
          <w:tcPr>
            <w:tcW w:w="10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156,555</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225,725</w:t>
            </w: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296,923</w:t>
            </w: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326,658</w:t>
            </w: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201,950</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455,597</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Direct costs</w:t>
            </w:r>
          </w:p>
        </w:tc>
        <w:tc>
          <w:tcPr>
            <w:tcW w:w="10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83,371</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122,373</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162,562</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179,661</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114,004</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4"/>
                <w:szCs w:val="14"/>
                <w:color w:val="auto"/>
              </w:rPr>
              <w:t>Selling, general and administrative</w:t>
            </w:r>
          </w:p>
        </w:tc>
        <w:tc>
          <w:tcPr>
            <w:tcW w:w="10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48,951</w:t>
            </w:r>
          </w:p>
        </w:tc>
        <w:tc>
          <w:tcPr>
            <w:tcW w:w="32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71,118</w:t>
            </w:r>
          </w:p>
        </w:tc>
        <w:tc>
          <w:tcPr>
            <w:tcW w:w="3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88,807</w:t>
            </w:r>
          </w:p>
        </w:tc>
        <w:tc>
          <w:tcPr>
            <w:tcW w:w="3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103,784</w:t>
            </w:r>
          </w:p>
        </w:tc>
        <w:tc>
          <w:tcPr>
            <w:tcW w:w="3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62,276</w:t>
            </w:r>
          </w:p>
        </w:tc>
        <w:tc>
          <w:tcPr>
            <w:tcW w:w="3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136,569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6,020</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7,305</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11,171</w:t>
            </w: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13,331</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8,094</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Arial" w:cs="Arial" w:eastAsia="Arial" w:hAnsi="Arial"/>
                <w:sz w:val="14"/>
                <w:szCs w:val="14"/>
                <w:color w:val="auto"/>
              </w:rPr>
              <w:t>Share based compensation (2)</w:t>
            </w:r>
          </w:p>
        </w:tc>
        <w:tc>
          <w:tcPr>
            <w:tcW w:w="10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6,024</w:t>
            </w:r>
          </w:p>
        </w:tc>
        <w:tc>
          <w:tcPr>
            <w:tcW w:w="3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charges (4)</w:t>
            </w:r>
          </w:p>
        </w:tc>
        <w:tc>
          <w:tcPr>
            <w:tcW w:w="10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11,275</w:t>
            </w: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Arial" w:cs="Arial" w:eastAsia="Arial" w:hAnsi="Arial"/>
                <w:sz w:val="14"/>
                <w:szCs w:val="14"/>
                <w:color w:val="auto"/>
              </w:rPr>
              <w:t>Total costs and expenses</w:t>
            </w:r>
          </w:p>
        </w:tc>
        <w:tc>
          <w:tcPr>
            <w:tcW w:w="1040" w:type="dxa"/>
            <w:vAlign w:val="bottom"/>
          </w:tcPr>
          <w:p>
            <w:pPr>
              <w:spacing w:after="0"/>
              <w:rPr>
                <w:sz w:val="20"/>
                <w:szCs w:val="20"/>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138,342</w:t>
            </w:r>
          </w:p>
        </w:tc>
        <w:tc>
          <w:tcPr>
            <w:tcW w:w="32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200,796</w:t>
            </w:r>
          </w:p>
        </w:tc>
        <w:tc>
          <w:tcPr>
            <w:tcW w:w="300" w:type="dxa"/>
            <w:vAlign w:val="bottom"/>
          </w:tcPr>
          <w:p>
            <w:pPr>
              <w:spacing w:after="0"/>
              <w:rPr>
                <w:sz w:val="20"/>
                <w:szCs w:val="20"/>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262,540</w:t>
            </w:r>
          </w:p>
        </w:tc>
        <w:tc>
          <w:tcPr>
            <w:tcW w:w="320" w:type="dxa"/>
            <w:vAlign w:val="bottom"/>
          </w:tcPr>
          <w:p>
            <w:pPr>
              <w:spacing w:after="0"/>
              <w:rPr>
                <w:sz w:val="20"/>
                <w:szCs w:val="20"/>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308,051</w:t>
            </w:r>
          </w:p>
        </w:tc>
        <w:tc>
          <w:tcPr>
            <w:tcW w:w="340" w:type="dxa"/>
            <w:vAlign w:val="bottom"/>
          </w:tcPr>
          <w:p>
            <w:pPr>
              <w:spacing w:after="0"/>
              <w:rPr>
                <w:sz w:val="20"/>
                <w:szCs w:val="20"/>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190,398</w:t>
            </w:r>
          </w:p>
        </w:tc>
        <w:tc>
          <w:tcPr>
            <w:tcW w:w="320" w:type="dxa"/>
            <w:vAlign w:val="bottom"/>
          </w:tcPr>
          <w:p>
            <w:pPr>
              <w:spacing w:after="0"/>
              <w:rPr>
                <w:sz w:val="20"/>
                <w:szCs w:val="20"/>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407,781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10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18,213</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24,929</w:t>
            </w: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34,383</w:t>
            </w: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18,607</w:t>
            </w: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11,552</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47,816</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rPr>
              <w:t>Net interest income</w:t>
            </w:r>
          </w:p>
        </w:tc>
        <w:tc>
          <w:tcPr>
            <w:tcW w:w="10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1,116</w:t>
            </w:r>
          </w:p>
        </w:tc>
        <w:tc>
          <w:tcPr>
            <w:tcW w:w="32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3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32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979</w:t>
            </w:r>
          </w:p>
        </w:tc>
        <w:tc>
          <w:tcPr>
            <w:tcW w:w="3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1,272</w:t>
            </w:r>
          </w:p>
        </w:tc>
        <w:tc>
          <w:tcPr>
            <w:tcW w:w="3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before provision for income taxes</w:t>
            </w:r>
          </w:p>
        </w:tc>
        <w:tc>
          <w:tcPr>
            <w:tcW w:w="10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19,329</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25,283</w:t>
            </w: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34,671</w:t>
            </w: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19,586</w:t>
            </w: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12,824</w:t>
            </w:r>
          </w:p>
        </w:tc>
        <w:tc>
          <w:tcPr>
            <w:tcW w:w="3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51,456</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0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(5,129)</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(8,929)</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(5,852)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(5,396)</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Minority interest</w:t>
            </w:r>
          </w:p>
        </w:tc>
        <w:tc>
          <w:tcPr>
            <w:tcW w:w="10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37"/>
        </w:trPr>
        <w:tc>
          <w:tcPr>
            <w:tcW w:w="3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14,200</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18,283</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25,742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13,545</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7,418</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Net income per</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spacing w:after="0"/>
              <w:rPr>
                <w:sz w:val="20"/>
                <w:szCs w:val="20"/>
                <w:color w:val="auto"/>
              </w:rPr>
            </w:pPr>
            <w:r>
              <w:rPr>
                <w:rFonts w:ascii="Arial" w:cs="Arial" w:eastAsia="Arial" w:hAnsi="Arial"/>
                <w:sz w:val="14"/>
                <w:szCs w:val="14"/>
                <w:color w:val="auto"/>
              </w:rPr>
              <w:t>ordinary share (3):</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Basic</w:t>
            </w:r>
          </w:p>
        </w:tc>
        <w:tc>
          <w:tcPr>
            <w:tcW w:w="10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0.78</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0.97</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24"/>
        </w:trPr>
        <w:tc>
          <w:tcPr>
            <w:tcW w:w="316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0.94</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Weighted average number</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spacing w:after="0"/>
              <w:rPr>
                <w:sz w:val="20"/>
                <w:szCs w:val="20"/>
                <w:color w:val="auto"/>
              </w:rPr>
            </w:pPr>
            <w:r>
              <w:rPr>
                <w:rFonts w:ascii="Arial" w:cs="Arial" w:eastAsia="Arial" w:hAnsi="Arial"/>
                <w:sz w:val="14"/>
                <w:szCs w:val="14"/>
                <w:color w:val="auto"/>
              </w:rPr>
              <w:t>of ordinary shares outstanding:</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Basic</w:t>
            </w:r>
          </w:p>
        </w:tc>
        <w:tc>
          <w:tcPr>
            <w:tcW w:w="10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23,312,306</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23,627,576</w:t>
            </w: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26,535,062</w:t>
            </w:r>
          </w:p>
        </w:tc>
        <w:tc>
          <w:tcPr>
            <w:tcW w:w="3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27,720,406</w:t>
            </w: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27,940,212</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28,314,985</w:t>
            </w:r>
          </w:p>
        </w:tc>
        <w:tc>
          <w:tcPr>
            <w:tcW w:w="0" w:type="dxa"/>
            <w:vAlign w:val="bottom"/>
          </w:tcPr>
          <w:p>
            <w:pPr>
              <w:spacing w:after="0"/>
              <w:rPr>
                <w:sz w:val="1"/>
                <w:szCs w:val="1"/>
                <w:color w:val="auto"/>
              </w:rPr>
            </w:pPr>
          </w:p>
        </w:tc>
      </w:tr>
      <w:tr>
        <w:trPr>
          <w:trHeight w:val="224"/>
        </w:trPr>
        <w:tc>
          <w:tcPr>
            <w:tcW w:w="316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4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24,483,640</w:t>
            </w:r>
          </w:p>
        </w:tc>
        <w:tc>
          <w:tcPr>
            <w:tcW w:w="32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24,362,188</w:t>
            </w:r>
          </w:p>
        </w:tc>
        <w:tc>
          <w:tcPr>
            <w:tcW w:w="30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27,406,326</w:t>
            </w:r>
          </w:p>
        </w:tc>
        <w:tc>
          <w:tcPr>
            <w:tcW w:w="320" w:type="dxa"/>
            <w:vAlign w:val="bottom"/>
          </w:tcPr>
          <w:p>
            <w:pPr>
              <w:spacing w:after="0"/>
              <w:rPr>
                <w:sz w:val="19"/>
                <w:szCs w:val="19"/>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28,306,890</w:t>
            </w:r>
          </w:p>
        </w:tc>
        <w:tc>
          <w:tcPr>
            <w:tcW w:w="34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28,495,084</w:t>
            </w:r>
          </w:p>
        </w:tc>
        <w:tc>
          <w:tcPr>
            <w:tcW w:w="32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28,863,334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6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As of May 31,</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As of December 31,</w:t>
            </w:r>
          </w:p>
        </w:tc>
      </w:tr>
      <w:tr>
        <w:trPr>
          <w:trHeight w:val="215"/>
        </w:trPr>
        <w:tc>
          <w:tcPr>
            <w:tcW w:w="2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r>
      <w:tr>
        <w:trPr>
          <w:trHeight w:val="20"/>
        </w:trPr>
        <w:tc>
          <w:tcPr>
            <w:tcW w:w="2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Sheet Data:</w:t>
            </w:r>
          </w:p>
        </w:tc>
        <w:tc>
          <w:tcPr>
            <w:tcW w:w="1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36,291</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18,311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55,678</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56,341</w:t>
            </w: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59,509</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63,039</w:t>
            </w: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Short term investments</w:t>
            </w:r>
          </w:p>
        </w:tc>
        <w:tc>
          <w:tcPr>
            <w:tcW w:w="146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18,551</w:t>
            </w:r>
          </w:p>
        </w:tc>
        <w:tc>
          <w:tcPr>
            <w:tcW w:w="44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23,085</w:t>
            </w:r>
          </w:p>
        </w:tc>
        <w:tc>
          <w:tcPr>
            <w:tcW w:w="56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22,034</w:t>
            </w:r>
          </w:p>
        </w:tc>
        <w:tc>
          <w:tcPr>
            <w:tcW w:w="42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22,809</w:t>
            </w:r>
          </w:p>
        </w:tc>
        <w:tc>
          <w:tcPr>
            <w:tcW w:w="4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39,822</w:t>
            </w: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146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72,923</w:t>
            </w:r>
          </w:p>
        </w:tc>
        <w:tc>
          <w:tcPr>
            <w:tcW w:w="4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53,827</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113,813</w:t>
            </w:r>
          </w:p>
        </w:tc>
        <w:tc>
          <w:tcPr>
            <w:tcW w:w="5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125,288</w:t>
            </w:r>
          </w:p>
        </w:tc>
        <w:tc>
          <w:tcPr>
            <w:tcW w:w="4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132,312</w:t>
            </w: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160,321</w:t>
            </w: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Total assets</w:t>
            </w:r>
          </w:p>
        </w:tc>
        <w:tc>
          <w:tcPr>
            <w:tcW w:w="146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165,794</w:t>
            </w:r>
          </w:p>
        </w:tc>
        <w:tc>
          <w:tcPr>
            <w:tcW w:w="44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235,014</w:t>
            </w:r>
          </w:p>
        </w:tc>
        <w:tc>
          <w:tcPr>
            <w:tcW w:w="22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335,323</w:t>
            </w:r>
          </w:p>
        </w:tc>
        <w:tc>
          <w:tcPr>
            <w:tcW w:w="56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347,553</w:t>
            </w:r>
          </w:p>
        </w:tc>
        <w:tc>
          <w:tcPr>
            <w:tcW w:w="42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349,067</w:t>
            </w:r>
          </w:p>
        </w:tc>
        <w:tc>
          <w:tcPr>
            <w:tcW w:w="4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476,341</w:t>
            </w: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Total debt</w:t>
            </w:r>
          </w:p>
        </w:tc>
        <w:tc>
          <w:tcPr>
            <w:tcW w:w="146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11,745</w:t>
            </w:r>
          </w:p>
        </w:tc>
        <w:tc>
          <w:tcPr>
            <w:tcW w:w="4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7,126</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4,856</w:t>
            </w: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Long term government grants</w:t>
            </w:r>
          </w:p>
        </w:tc>
        <w:tc>
          <w:tcPr>
            <w:tcW w:w="146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962</w:t>
            </w:r>
          </w:p>
        </w:tc>
        <w:tc>
          <w:tcPr>
            <w:tcW w:w="44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1,140</w:t>
            </w:r>
          </w:p>
        </w:tc>
        <w:tc>
          <w:tcPr>
            <w:tcW w:w="22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1,411</w:t>
            </w:r>
          </w:p>
        </w:tc>
        <w:tc>
          <w:tcPr>
            <w:tcW w:w="56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1,257</w:t>
            </w:r>
          </w:p>
        </w:tc>
        <w:tc>
          <w:tcPr>
            <w:tcW w:w="42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1,160</w:t>
            </w:r>
          </w:p>
        </w:tc>
        <w:tc>
          <w:tcPr>
            <w:tcW w:w="4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1,170</w:t>
            </w: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4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107,561</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136,910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216,760</w:t>
            </w:r>
          </w:p>
        </w:tc>
        <w:tc>
          <w:tcPr>
            <w:tcW w:w="56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233,066</w:t>
            </w: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241,558</w:t>
            </w:r>
          </w:p>
        </w:tc>
        <w:tc>
          <w:tcPr>
            <w:tcW w:w="4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302,738</w:t>
            </w:r>
          </w:p>
        </w:tc>
      </w:tr>
    </w:tbl>
    <w:p>
      <w:pPr>
        <w:spacing w:after="0" w:line="238" w:lineRule="exact"/>
        <w:rPr>
          <w:sz w:val="20"/>
          <w:szCs w:val="20"/>
          <w:color w:val="auto"/>
        </w:rPr>
      </w:pPr>
    </w:p>
    <w:p>
      <w:pPr>
        <w:ind w:left="500" w:hanging="330"/>
        <w:spacing w:after="0" w:line="293"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Subcontractor costs are comprised of investigator payments and certain other costs reimbursed by clients under terms specific to each of ICON's contracts. See Note 2 (d) to the Audited Consolidated Financial Statements.</w:t>
      </w:r>
    </w:p>
    <w:p>
      <w:pPr>
        <w:spacing w:after="0" w:line="228" w:lineRule="exact"/>
        <w:rPr>
          <w:rFonts w:ascii="Arial" w:cs="Arial" w:eastAsia="Arial" w:hAnsi="Arial"/>
          <w:sz w:val="14"/>
          <w:szCs w:val="14"/>
          <w:color w:val="auto"/>
        </w:rPr>
      </w:pPr>
    </w:p>
    <w:p>
      <w:pPr>
        <w:ind w:left="500" w:hanging="330"/>
        <w:spacing w:after="0" w:line="293"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$6.0million stock compensation expensed during the period ended December 31, 2005 was recorded in relation to the transfer of 288,000 shares from the founders of the Company to the Chief Executive Officer.</w:t>
      </w:r>
    </w:p>
    <w:p>
      <w:pPr>
        <w:spacing w:after="0" w:line="228" w:lineRule="exact"/>
        <w:rPr>
          <w:rFonts w:ascii="Arial" w:cs="Arial" w:eastAsia="Arial" w:hAnsi="Arial"/>
          <w:sz w:val="14"/>
          <w:szCs w:val="14"/>
          <w:color w:val="auto"/>
        </w:rPr>
      </w:pPr>
    </w:p>
    <w:p>
      <w:pPr>
        <w:ind w:left="500" w:hanging="330"/>
        <w:spacing w:after="0" w:line="293"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per ordinary share is based on the weighted average number of outstanding ordinary shares. Diluted net income per share includes potential ordinary shares from the exercise of options.</w:t>
      </w:r>
    </w:p>
    <w:p>
      <w:pPr>
        <w:spacing w:after="0" w:line="228" w:lineRule="exact"/>
        <w:rPr>
          <w:rFonts w:ascii="Arial" w:cs="Arial" w:eastAsia="Arial" w:hAnsi="Arial"/>
          <w:sz w:val="14"/>
          <w:szCs w:val="14"/>
          <w:color w:val="auto"/>
        </w:rPr>
      </w:pPr>
    </w:p>
    <w:p>
      <w:pPr>
        <w:ind w:left="500" w:hanging="330"/>
        <w:spacing w:after="0" w:line="334"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operating charges of $11.3 million were realized in the year ended May 31, 2005. These charges related to the recognition of an impairment in the carrying value of our investment in the central laboratory, a write-down of certain fixed assets and the lease termination and exit costs associated with the consolidation of some of our office facilities in the US.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continued outsourcing of research and development by the pharmaceutical, biotechnology and medical device industries.</w:t>
      </w:r>
    </w:p>
    <w:p>
      <w:pPr>
        <w:spacing w:after="0" w:line="285" w:lineRule="exact"/>
        <w:rPr>
          <w:sz w:val="20"/>
          <w:szCs w:val="20"/>
          <w:color w:val="auto"/>
        </w:rPr>
      </w:pPr>
    </w:p>
    <w:p>
      <w:pPr>
        <w:ind w:right="40" w:firstLine="648"/>
        <w:spacing w:after="0" w:line="268" w:lineRule="auto"/>
        <w:rPr>
          <w:sz w:val="20"/>
          <w:szCs w:val="20"/>
          <w:color w:val="auto"/>
        </w:rPr>
      </w:pPr>
      <w:r>
        <w:rPr>
          <w:rFonts w:ascii="Arial" w:cs="Arial" w:eastAsia="Arial" w:hAnsi="Arial"/>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We depend on a limited number of clients and a loss of or significant decrease in business from them could affect our business.</w:t>
      </w:r>
    </w:p>
    <w:p>
      <w:pPr>
        <w:spacing w:after="0" w:line="285" w:lineRule="exact"/>
        <w:rPr>
          <w:sz w:val="20"/>
          <w:szCs w:val="20"/>
          <w:color w:val="auto"/>
        </w:rPr>
      </w:pPr>
    </w:p>
    <w:p>
      <w:pPr>
        <w:ind w:right="20" w:firstLine="648"/>
        <w:spacing w:after="0" w:line="292" w:lineRule="auto"/>
        <w:rPr>
          <w:sz w:val="20"/>
          <w:szCs w:val="20"/>
          <w:color w:val="auto"/>
        </w:rPr>
      </w:pPr>
      <w:r>
        <w:rPr>
          <w:rFonts w:ascii="Arial" w:cs="Arial" w:eastAsia="Arial" w:hAnsi="Arial"/>
          <w:sz w:val="13"/>
          <w:szCs w:val="13"/>
          <w:color w:val="auto"/>
        </w:rPr>
        <w:t>We have in the past and may in the future derive a significant portion of our net revenue from a relatively limited number of clients. A loss of, or a significant decrease in business from any one or more of such clients could have a material adverse effect on our business. During the year ended December 31, 2006, 35% of our net revenue was derived from our top five clients. During 2006, no client contributed more than 10% of net revenues. During the 7 month transition period ended December 31, 2005, 39% of our net revenue was derived from our top five clients and no client contributed more than 10% of net revenues. During the fiscal year ended May 31, 2005, 43% of our net revenue was derived from our top five clients. In the fiscal year ended May 31, 2005, 12% of our net revenue was from Astra Zeneca plc, no other client contributed more than 10% of net revenues. During the fiscal year ended May 31, 2004, 40% of our net revenue was derived from our top five clients. In fiscal 2004, 17% of our net revenue was from Astra Zeneca plc. No other client contributed more than 10% of net revenues.</w:t>
      </w:r>
    </w:p>
    <w:p>
      <w:pPr>
        <w:spacing w:after="0" w:line="232"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b w:val="1"/>
          <w:bCs w:val="1"/>
          <w:i w:val="1"/>
          <w:iCs w:val="1"/>
          <w:color w:val="auto"/>
        </w:rPr>
        <w:t>If our clients discontinue using our services, or cancel or discontinue projects, our revenue will be adversely affected and we may not receive their business in the future or may not be able to attract new clients.</w:t>
      </w:r>
    </w:p>
    <w:p>
      <w:pPr>
        <w:spacing w:after="0" w:line="22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4"/>
          <w:szCs w:val="14"/>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39"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failure of products being tested to satisfy safety or efficacy requirements;</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unexpected or undesired clinical results of the product;</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decision that a particular study is no longer necessary;</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poor project performance, insufficient patient enrollment or investigator recruitment;</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production problems resulting in shortages of the drug; or</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If we lose clients, we may not be able to attract new ones, and if we lose individual projects, we may not be able to replace them.</w:t>
      </w:r>
    </w:p>
    <w:p>
      <w:pPr>
        <w:spacing w:after="0" w:line="285" w:lineRule="exact"/>
        <w:rPr>
          <w:sz w:val="20"/>
          <w:szCs w:val="20"/>
          <w:color w:val="auto"/>
        </w:rPr>
      </w:pPr>
    </w:p>
    <w:p>
      <w:pPr>
        <w:spacing w:after="0" w:line="293" w:lineRule="auto"/>
        <w:rPr>
          <w:sz w:val="20"/>
          <w:szCs w:val="20"/>
          <w:color w:val="auto"/>
        </w:rPr>
      </w:pPr>
      <w:r>
        <w:rPr>
          <w:rFonts w:ascii="Arial" w:cs="Arial" w:eastAsia="Arial" w:hAnsi="Arial"/>
          <w:sz w:val="14"/>
          <w:szCs w:val="14"/>
          <w:b w:val="1"/>
          <w:bCs w:val="1"/>
          <w:i w:val="1"/>
          <w:iCs w:val="1"/>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228" w:lineRule="exact"/>
        <w:rPr>
          <w:sz w:val="20"/>
          <w:szCs w:val="20"/>
          <w:color w:val="auto"/>
        </w:rPr>
      </w:pPr>
    </w:p>
    <w:p>
      <w:pPr>
        <w:ind w:right="40" w:firstLine="486"/>
        <w:spacing w:after="0" w:line="268" w:lineRule="auto"/>
        <w:rPr>
          <w:sz w:val="20"/>
          <w:szCs w:val="20"/>
          <w:color w:val="auto"/>
        </w:rPr>
      </w:pPr>
      <w:r>
        <w:rPr>
          <w:rFonts w:ascii="Arial" w:cs="Arial" w:eastAsia="Arial" w:hAnsi="Arial"/>
          <w:sz w:val="14"/>
          <w:szCs w:val="14"/>
          <w:color w:val="auto"/>
        </w:rPr>
        <w:t>The market for Contract Research Organizations (CROs) is highly competitive. We primarily compete against in-house departments of pharmaceutical companies and other CROs including Quintiles Transnational Corporation, Covance Inc., PAREXEL International Corporation, Kendle International Inc., i3 Research (United Health Group Incorporated), Omnicare Inc., PRA International Inc., MDS Inc., PharmaNet Development Group,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results are dependent upon a number of factors and can fluctuate from quarter to quarter.</w:t>
      </w:r>
    </w:p>
    <w:p>
      <w:pPr>
        <w:spacing w:after="0" w:line="285" w:lineRule="exact"/>
        <w:rPr>
          <w:sz w:val="20"/>
          <w:szCs w:val="20"/>
          <w:color w:val="auto"/>
        </w:rPr>
      </w:pPr>
    </w:p>
    <w:p>
      <w:pPr>
        <w:ind w:firstLine="486"/>
        <w:spacing w:after="0" w:line="269" w:lineRule="auto"/>
        <w:rPr>
          <w:sz w:val="20"/>
          <w:szCs w:val="20"/>
          <w:color w:val="auto"/>
        </w:rPr>
      </w:pPr>
      <w:r>
        <w:rPr>
          <w:rFonts w:ascii="Arial" w:cs="Arial" w:eastAsia="Arial" w:hAnsi="Arial"/>
          <w:sz w:val="14"/>
          <w:szCs w:val="14"/>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Our Central Laboratory segment has been loss making in the past and may experience losses in the future.</w:t>
      </w:r>
    </w:p>
    <w:p>
      <w:pPr>
        <w:spacing w:after="0" w:line="28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3"/>
          <w:szCs w:val="13"/>
          <w:color w:val="auto"/>
        </w:rPr>
        <w:t>Our central laboratory has experienced a period of underperformance over the past number of years. This business segment returned to profitability for the year ended December 31, 2006. To maintain this profitability we require continued strong levels of new business awards and economies of scale in the usage of both resources and lab inputs. If we do not achieve continued momentum in winning new business and if these economies are not sustained, then our central laboratory may return to a loss making position in the future.</w:t>
      </w:r>
    </w:p>
    <w:p>
      <w:pPr>
        <w:spacing w:after="0" w:line="221" w:lineRule="exact"/>
        <w:rPr>
          <w:sz w:val="20"/>
          <w:szCs w:val="20"/>
          <w:color w:val="auto"/>
        </w:rPr>
      </w:pPr>
    </w:p>
    <w:p>
      <w:pPr>
        <w:ind w:right="200"/>
        <w:spacing w:after="0" w:line="293" w:lineRule="auto"/>
        <w:rPr>
          <w:sz w:val="20"/>
          <w:szCs w:val="20"/>
          <w:color w:val="auto"/>
        </w:rPr>
      </w:pPr>
      <w:r>
        <w:rPr>
          <w:rFonts w:ascii="Arial" w:cs="Arial" w:eastAsia="Arial" w:hAnsi="Arial"/>
          <w:sz w:val="14"/>
          <w:szCs w:val="14"/>
          <w:b w:val="1"/>
          <w:bCs w:val="1"/>
          <w:i w:val="1"/>
          <w:iCs w:val="1"/>
          <w:color w:val="auto"/>
        </w:rPr>
        <w:t>Approximately 82% of our net revenue is earned from long-term fixed-fee contracts. We would lose money in performing these contracts if the costs of performance exceed the fixed fees for these projects.</w:t>
      </w:r>
    </w:p>
    <w:p>
      <w:pPr>
        <w:spacing w:after="0" w:line="228" w:lineRule="exact"/>
        <w:rPr>
          <w:sz w:val="20"/>
          <w:szCs w:val="20"/>
          <w:color w:val="auto"/>
        </w:rPr>
      </w:pPr>
    </w:p>
    <w:p>
      <w:pPr>
        <w:ind w:firstLine="486"/>
        <w:spacing w:after="0" w:line="277" w:lineRule="auto"/>
        <w:rPr>
          <w:sz w:val="20"/>
          <w:szCs w:val="20"/>
          <w:color w:val="auto"/>
        </w:rPr>
      </w:pPr>
      <w:r>
        <w:rPr>
          <w:rFonts w:ascii="Arial" w:cs="Arial" w:eastAsia="Arial" w:hAnsi="Arial"/>
          <w:sz w:val="14"/>
          <w:szCs w:val="14"/>
          <w:color w:val="auto"/>
        </w:rPr>
        <w:t>Approximately 82% of our net revenue is earned from long-term fixed-fee contracts. We have in the past and will continue to bear the risk of cost overruns under these contracts. If the costs of performing these projects exceed the fixed fees for these projects, (for example if we under price these contracts), if there are significant cost overruns or if there are unanticipated delays under these contracts, our business, financial condition and operating results could be adversely affected.</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attract or retain qualified staff, our performance may suffer.</w:t>
      </w:r>
    </w:p>
    <w:p>
      <w:pPr>
        <w:spacing w:after="0" w:line="285" w:lineRule="exact"/>
        <w:rPr>
          <w:sz w:val="20"/>
          <w:szCs w:val="20"/>
          <w:color w:val="auto"/>
        </w:rPr>
      </w:pPr>
    </w:p>
    <w:p>
      <w:pPr>
        <w:ind w:right="40" w:firstLine="486"/>
        <w:spacing w:after="0" w:line="272" w:lineRule="auto"/>
        <w:rPr>
          <w:sz w:val="20"/>
          <w:szCs w:val="20"/>
          <w:color w:val="auto"/>
        </w:rPr>
      </w:pPr>
      <w:r>
        <w:rPr>
          <w:rFonts w:ascii="Arial" w:cs="Arial" w:eastAsia="Arial" w:hAnsi="Arial"/>
          <w:sz w:val="14"/>
          <w:szCs w:val="14"/>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comply with the regulations of the U.S. Food and Drug Administration and other regulatory authorities could result in substantial penalties and/or loss of business.</w:t>
      </w:r>
    </w:p>
    <w:p>
      <w:pPr>
        <w:spacing w:after="0" w:line="296" w:lineRule="exact"/>
        <w:rPr>
          <w:sz w:val="20"/>
          <w:szCs w:val="20"/>
          <w:color w:val="auto"/>
        </w:rPr>
      </w:pPr>
    </w:p>
    <w:p>
      <w:pPr>
        <w:ind w:right="40" w:firstLine="486"/>
        <w:spacing w:after="0" w:line="277" w:lineRule="auto"/>
        <w:rPr>
          <w:sz w:val="20"/>
          <w:szCs w:val="20"/>
          <w:color w:val="auto"/>
        </w:rPr>
      </w:pPr>
      <w:r>
        <w:rPr>
          <w:rFonts w:ascii="Arial" w:cs="Arial" w:eastAsia="Arial" w:hAnsi="Arial"/>
          <w:sz w:val="14"/>
          <w:szCs w:val="14"/>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239"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termination of any research;</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disqualification of data;</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denial of the right to conduct business;</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criminal penalties; and</w:t>
      </w:r>
    </w:p>
    <w:p>
      <w:pPr>
        <w:spacing w:after="0" w:line="284"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other enforcement actions.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exchange rate fluctuations could adversely affect our results of operations.</w:t>
      </w:r>
    </w:p>
    <w:p>
      <w:pPr>
        <w:spacing w:after="0" w:line="285" w:lineRule="exact"/>
        <w:rPr>
          <w:sz w:val="20"/>
          <w:szCs w:val="20"/>
          <w:color w:val="auto"/>
        </w:rPr>
      </w:pPr>
    </w:p>
    <w:p>
      <w:pPr>
        <w:ind w:right="60" w:firstLine="486"/>
        <w:spacing w:after="0" w:line="277" w:lineRule="auto"/>
        <w:rPr>
          <w:sz w:val="20"/>
          <w:szCs w:val="20"/>
          <w:color w:val="auto"/>
        </w:rPr>
      </w:pPr>
      <w:r>
        <w:rPr>
          <w:rFonts w:ascii="Arial" w:cs="Arial" w:eastAsia="Arial" w:hAnsi="Arial"/>
          <w:sz w:val="14"/>
          <w:szCs w:val="14"/>
          <w:color w:val="auto"/>
        </w:rPr>
        <w:t>We derived approximately 41.6% of our consolidated net revenue in the year ended December 31, 2006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7" w:right="279" w:bottom="1440" w:gutter="0" w:footer="0" w:header="0"/>
        </w:sectPr>
      </w:pPr>
    </w:p>
    <w:bookmarkStart w:id="8" w:name="page9"/>
    <w:bookmarkEnd w:id="8"/>
    <w:p>
      <w:pPr>
        <w:jc w:val="both"/>
        <w:ind w:right="460" w:firstLine="486"/>
        <w:spacing w:after="0" w:line="277" w:lineRule="auto"/>
        <w:rPr>
          <w:sz w:val="20"/>
          <w:szCs w:val="20"/>
          <w:color w:val="auto"/>
        </w:rPr>
      </w:pPr>
      <w:r>
        <w:rPr>
          <w:rFonts w:ascii="Arial" w:cs="Arial" w:eastAsia="Arial" w:hAnsi="Arial"/>
          <w:sz w:val="14"/>
          <w:szCs w:val="14"/>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Liability claims brought against us could result in payment of substantial damages to plaintiffs and decrease our profitability.</w:t>
      </w:r>
    </w:p>
    <w:p>
      <w:pPr>
        <w:spacing w:after="0" w:line="285" w:lineRule="exact"/>
        <w:rPr>
          <w:sz w:val="20"/>
          <w:szCs w:val="20"/>
          <w:color w:val="auto"/>
        </w:rPr>
      </w:pPr>
    </w:p>
    <w:p>
      <w:pPr>
        <w:ind w:right="100" w:firstLine="486"/>
        <w:spacing w:after="0" w:line="308" w:lineRule="auto"/>
        <w:rPr>
          <w:sz w:val="20"/>
          <w:szCs w:val="20"/>
          <w:color w:val="auto"/>
        </w:rPr>
      </w:pPr>
      <w:r>
        <w:rPr>
          <w:rFonts w:ascii="Arial" w:cs="Arial" w:eastAsia="Arial" w:hAnsi="Arial"/>
          <w:sz w:val="13"/>
          <w:szCs w:val="13"/>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221" w:lineRule="exact"/>
        <w:rPr>
          <w:sz w:val="20"/>
          <w:szCs w:val="20"/>
          <w:color w:val="auto"/>
        </w:rPr>
      </w:pPr>
    </w:p>
    <w:p>
      <w:pPr>
        <w:ind w:right="60" w:firstLine="486"/>
        <w:spacing w:after="0" w:line="334" w:lineRule="auto"/>
        <w:rPr>
          <w:sz w:val="20"/>
          <w:szCs w:val="20"/>
          <w:color w:val="auto"/>
        </w:rPr>
      </w:pPr>
      <w:r>
        <w:rPr>
          <w:rFonts w:ascii="Arial" w:cs="Arial" w:eastAsia="Arial" w:hAnsi="Arial"/>
          <w:sz w:val="13"/>
          <w:szCs w:val="13"/>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205" w:lineRule="exact"/>
        <w:rPr>
          <w:sz w:val="20"/>
          <w:szCs w:val="20"/>
          <w:color w:val="auto"/>
        </w:rPr>
      </w:pPr>
    </w:p>
    <w:p>
      <w:pPr>
        <w:ind w:right="80" w:firstLine="486"/>
        <w:spacing w:after="0" w:line="277" w:lineRule="auto"/>
        <w:rPr>
          <w:sz w:val="20"/>
          <w:szCs w:val="20"/>
          <w:color w:val="auto"/>
        </w:rPr>
      </w:pPr>
      <w:r>
        <w:rPr>
          <w:rFonts w:ascii="Arial" w:cs="Arial" w:eastAsia="Arial" w:hAnsi="Arial"/>
          <w:sz w:val="14"/>
          <w:szCs w:val="14"/>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opportunities as a result of health care reform and the expansion of managed care organizations.</w:t>
      </w:r>
    </w:p>
    <w:p>
      <w:pPr>
        <w:spacing w:after="0" w:line="285" w:lineRule="exact"/>
        <w:rPr>
          <w:sz w:val="20"/>
          <w:szCs w:val="20"/>
          <w:color w:val="auto"/>
        </w:rPr>
      </w:pPr>
    </w:p>
    <w:p>
      <w:pPr>
        <w:ind w:firstLine="486"/>
        <w:spacing w:after="0" w:line="277" w:lineRule="auto"/>
        <w:rPr>
          <w:sz w:val="20"/>
          <w:szCs w:val="20"/>
          <w:color w:val="auto"/>
        </w:rPr>
      </w:pPr>
      <w:r>
        <w:rPr>
          <w:rFonts w:ascii="Arial" w:cs="Arial" w:eastAsia="Arial" w:hAnsi="Arial"/>
          <w:sz w:val="14"/>
          <w:szCs w:val="14"/>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39" w:lineRule="exact"/>
        <w:rPr>
          <w:sz w:val="20"/>
          <w:szCs w:val="20"/>
          <w:color w:val="auto"/>
        </w:rPr>
      </w:pPr>
    </w:p>
    <w:p>
      <w:pPr>
        <w:ind w:right="60" w:firstLine="486"/>
        <w:spacing w:after="0" w:line="277" w:lineRule="auto"/>
        <w:rPr>
          <w:sz w:val="20"/>
          <w:szCs w:val="20"/>
          <w:color w:val="auto"/>
        </w:rPr>
      </w:pPr>
      <w:r>
        <w:rPr>
          <w:rFonts w:ascii="Arial" w:cs="Arial" w:eastAsia="Arial" w:hAnsi="Arial"/>
          <w:sz w:val="14"/>
          <w:szCs w:val="14"/>
          <w:color w:val="auto"/>
        </w:rPr>
        <w:t>For instance, in the past the U.S. Congress has entertained several comprehensive healthcare reform proposals. The proposals were generally intended to expand healthcare coverage for the uninsured and reduce the growth of total healthcare expenditures. While the U.S. Congress has not yet adopted any comprehensive reform proposals, members of Congress may raise similar proposals in the future. We are unable to predict the likelihood that healthcare reform proposals will be enacted into law.</w:t>
      </w:r>
    </w:p>
    <w:p>
      <w:pPr>
        <w:spacing w:after="0" w:line="239" w:lineRule="exact"/>
        <w:rPr>
          <w:sz w:val="20"/>
          <w:szCs w:val="20"/>
          <w:color w:val="auto"/>
        </w:rPr>
      </w:pPr>
    </w:p>
    <w:p>
      <w:pPr>
        <w:ind w:right="160" w:firstLine="486"/>
        <w:spacing w:after="0" w:line="308" w:lineRule="auto"/>
        <w:rPr>
          <w:sz w:val="20"/>
          <w:szCs w:val="20"/>
          <w:color w:val="auto"/>
        </w:rPr>
      </w:pPr>
      <w:r>
        <w:rPr>
          <w:rFonts w:ascii="Arial" w:cs="Arial" w:eastAsia="Arial" w:hAnsi="Arial"/>
          <w:sz w:val="13"/>
          <w:szCs w:val="13"/>
          <w:color w:val="auto"/>
        </w:rPr>
        <w:t>In addition to healthcare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as a result of changes in the regulatory environment</w:t>
      </w:r>
    </w:p>
    <w:p>
      <w:pPr>
        <w:spacing w:after="0" w:line="285" w:lineRule="exact"/>
        <w:rPr>
          <w:sz w:val="20"/>
          <w:szCs w:val="20"/>
          <w:color w:val="auto"/>
        </w:rPr>
      </w:pPr>
    </w:p>
    <w:p>
      <w:pPr>
        <w:ind w:right="220" w:firstLine="486"/>
        <w:spacing w:after="0" w:line="293" w:lineRule="auto"/>
        <w:rPr>
          <w:sz w:val="20"/>
          <w:szCs w:val="20"/>
          <w:color w:val="auto"/>
        </w:rPr>
      </w:pPr>
      <w:r>
        <w:rPr>
          <w:rFonts w:ascii="Arial" w:cs="Arial" w:eastAsia="Arial" w:hAnsi="Arial"/>
          <w:sz w:val="14"/>
          <w:szCs w:val="14"/>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successfully develop and market or acquire new services.</w:t>
      </w:r>
    </w:p>
    <w:p>
      <w:pPr>
        <w:spacing w:after="0" w:line="285" w:lineRule="exact"/>
        <w:rPr>
          <w:sz w:val="20"/>
          <w:szCs w:val="20"/>
          <w:color w:val="auto"/>
        </w:rPr>
      </w:pPr>
    </w:p>
    <w:p>
      <w:pPr>
        <w:ind w:right="80" w:firstLine="486"/>
        <w:spacing w:after="0" w:line="277" w:lineRule="auto"/>
        <w:rPr>
          <w:sz w:val="20"/>
          <w:szCs w:val="20"/>
          <w:color w:val="auto"/>
        </w:rPr>
      </w:pPr>
      <w:r>
        <w:rPr>
          <w:rFonts w:ascii="Arial" w:cs="Arial" w:eastAsia="Arial" w:hAnsi="Arial"/>
          <w:sz w:val="14"/>
          <w:szCs w:val="14"/>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7" w:right="2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We rely on third parties for important services.</w:t>
      </w:r>
    </w:p>
    <w:p>
      <w:pPr>
        <w:spacing w:after="0" w:line="285" w:lineRule="exact"/>
        <w:rPr>
          <w:sz w:val="20"/>
          <w:szCs w:val="20"/>
          <w:color w:val="auto"/>
        </w:rPr>
      </w:pPr>
    </w:p>
    <w:p>
      <w:pPr>
        <w:ind w:right="400" w:firstLine="486"/>
        <w:spacing w:after="0" w:line="293" w:lineRule="auto"/>
        <w:rPr>
          <w:sz w:val="20"/>
          <w:szCs w:val="20"/>
          <w:color w:val="auto"/>
        </w:rPr>
      </w:pPr>
      <w:r>
        <w:rPr>
          <w:rFonts w:ascii="Arial" w:cs="Arial" w:eastAsia="Arial" w:hAnsi="Arial"/>
          <w:sz w:val="14"/>
          <w:szCs w:val="14"/>
          <w:color w:val="auto"/>
        </w:rPr>
        <w:t>We depend on third parties to provide us with services critical to our business. The failure of any of these third parties to adequately provide the needed services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make acquisitions in the future, which may lead to disruptions to our ongoing business.</w:t>
      </w:r>
    </w:p>
    <w:p>
      <w:pPr>
        <w:spacing w:after="0" w:line="285" w:lineRule="exact"/>
        <w:rPr>
          <w:sz w:val="20"/>
          <w:szCs w:val="20"/>
          <w:color w:val="auto"/>
        </w:rPr>
      </w:pPr>
    </w:p>
    <w:p>
      <w:pPr>
        <w:ind w:firstLine="486"/>
        <w:spacing w:after="0" w:line="293" w:lineRule="auto"/>
        <w:rPr>
          <w:sz w:val="20"/>
          <w:szCs w:val="20"/>
          <w:color w:val="auto"/>
        </w:rPr>
      </w:pPr>
      <w:r>
        <w:rPr>
          <w:rFonts w:ascii="Arial" w:cs="Arial" w:eastAsia="Arial" w:hAnsi="Arial"/>
          <w:sz w:val="14"/>
          <w:szCs w:val="14"/>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228"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assimilate the operations and services or products of the acquired company;</w:t>
      </w:r>
    </w:p>
    <w:p>
      <w:pPr>
        <w:spacing w:after="0" w:line="379" w:lineRule="exact"/>
        <w:rPr>
          <w:rFonts w:ascii="Arial" w:cs="Arial" w:eastAsia="Arial" w:hAnsi="Arial"/>
          <w:sz w:val="14"/>
          <w:szCs w:val="14"/>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integrate acquired personnel;</w:t>
      </w:r>
    </w:p>
    <w:p>
      <w:pPr>
        <w:spacing w:after="0" w:line="379" w:lineRule="exact"/>
        <w:rPr>
          <w:rFonts w:ascii="Arial" w:cs="Arial" w:eastAsia="Arial" w:hAnsi="Arial"/>
          <w:sz w:val="14"/>
          <w:szCs w:val="14"/>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retain and motivate key employees;</w:t>
      </w:r>
    </w:p>
    <w:p>
      <w:pPr>
        <w:spacing w:after="0" w:line="379" w:lineRule="exact"/>
        <w:rPr>
          <w:rFonts w:ascii="Arial" w:cs="Arial" w:eastAsia="Arial" w:hAnsi="Arial"/>
          <w:sz w:val="14"/>
          <w:szCs w:val="14"/>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retain customers; and</w:t>
      </w:r>
    </w:p>
    <w:p>
      <w:pPr>
        <w:spacing w:after="0" w:line="379" w:lineRule="exact"/>
        <w:rPr>
          <w:rFonts w:ascii="Arial" w:cs="Arial" w:eastAsia="Arial" w:hAnsi="Arial"/>
          <w:sz w:val="14"/>
          <w:szCs w:val="14"/>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minimize the diversion of management's attention from other business concerns.</w:t>
      </w:r>
    </w:p>
    <w:p>
      <w:pPr>
        <w:spacing w:after="0" w:line="37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Acquisitions of foreign companies may also involve additional risks, including assimilating differences in foreign business practices and overcoming language and cultural barriers.</w:t>
      </w:r>
    </w:p>
    <w:p>
      <w:pPr>
        <w:spacing w:after="0" w:line="296" w:lineRule="exact"/>
        <w:rPr>
          <w:sz w:val="20"/>
          <w:szCs w:val="20"/>
          <w:color w:val="auto"/>
        </w:rPr>
      </w:pPr>
    </w:p>
    <w:p>
      <w:pPr>
        <w:ind w:right="120" w:firstLine="486"/>
        <w:spacing w:after="0" w:line="293" w:lineRule="auto"/>
        <w:rPr>
          <w:sz w:val="20"/>
          <w:szCs w:val="20"/>
          <w:color w:val="auto"/>
        </w:rPr>
      </w:pPr>
      <w:r>
        <w:rPr>
          <w:rFonts w:ascii="Arial" w:cs="Arial" w:eastAsia="Arial" w:hAnsi="Arial"/>
          <w:sz w:val="14"/>
          <w:szCs w:val="14"/>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voice response systems to provide accurate information regarding the randomization of patients and the dosage required for patients enrolled in the trials.</w:t>
      </w:r>
    </w:p>
    <w:p>
      <w:pPr>
        <w:spacing w:after="0" w:line="29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4"/>
          <w:szCs w:val="14"/>
          <w:color w:val="auto"/>
        </w:rPr>
        <w:t>We develop and maintain computer run interactive voice response systems to automatically manage the randomization of patients in trials, assign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or both.</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various control measures to mitigate the risk of a serious adverse event resulting from healthy volunteer Phase I trials.</w:t>
      </w:r>
    </w:p>
    <w:p>
      <w:pPr>
        <w:spacing w:after="0" w:line="285" w:lineRule="exact"/>
        <w:rPr>
          <w:sz w:val="20"/>
          <w:szCs w:val="20"/>
          <w:color w:val="auto"/>
        </w:rPr>
      </w:pPr>
    </w:p>
    <w:p>
      <w:pPr>
        <w:ind w:right="80" w:firstLine="648"/>
        <w:spacing w:after="0" w:line="269" w:lineRule="auto"/>
        <w:rPr>
          <w:sz w:val="20"/>
          <w:szCs w:val="20"/>
          <w:color w:val="auto"/>
        </w:rPr>
      </w:pPr>
      <w:r>
        <w:rPr>
          <w:rFonts w:ascii="Arial" w:cs="Arial" w:eastAsia="Arial" w:hAnsi="Arial"/>
          <w:sz w:val="14"/>
          <w:szCs w:val="14"/>
          <w:color w:val="auto"/>
        </w:rPr>
        <w:t>We conduct healthy volunteer Phase I trials including first-into-man trials for new clinical entities in the UK. Due to the experimental nature of these studies, serious adverse events may arise. We mitigate such events by following Good Clinical Practice and ensuring appropriately trained and experienced clinical physicians are managing these trials and that internal Standards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UK regulatory body.</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7" w:right="27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Item 4.</w:t>
      </w:r>
      <w:r>
        <w:rPr>
          <w:rFonts w:ascii="Arial" w:cs="Arial" w:eastAsia="Arial" w:hAnsi="Arial"/>
          <w:sz w:val="14"/>
          <w:szCs w:val="14"/>
          <w:b w:val="1"/>
          <w:bCs w:val="1"/>
          <w:i w:val="1"/>
          <w:iCs w:val="1"/>
          <w:color w:val="auto"/>
        </w:rPr>
        <w:t>Information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Our primary approach is to use dedicated teams to achieve optimum results, but we can implement a range of resourcing models to suit client requirements.</w:t>
      </w:r>
    </w:p>
    <w:p>
      <w:pPr>
        <w:spacing w:after="0" w:line="2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In a highly fragmented industry, we are one of a small number of companies with the capability and expertise to conduct clinical trials in all major therapeutic areas on a global basis. Currently, we have approximately 4,300 employees, in 49 locations in 30 countries, providing Phase I - IV Clinical Trial Management, Drug Development Support Services, Data Management and Biostatistics and Central Laboratory and Imaging Services. We have the operational flexibility to provide development services on a stand-alone basis or as part of an integrated “full service” solution.</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 For the year ended December 31, 2006, we derived approximately 58.4%, 35.8% and 5.8% of our net revenue in the United States, Europe and Rest of World, respectively.</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During the year ended December 31, 2006, we commenced operations in Vilnius, Lithuania, Warsaw, Poland, Beijing, China, San Diego, California, Salt Lake City, Utah and Bangalore, India and acquired an additional office, outside of Chicago, Illinois and also in San Francisco, California.</w:t>
      </w:r>
    </w:p>
    <w:p>
      <w:pPr>
        <w:spacing w:after="0" w:line="228"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July 10, 2006, we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$1.4 million. On October 27, 2006, $0.18 million was paid to the former shareholders of Ovation in full and final settlement of the working capital provisions.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July 27, 2005, our Board of Directors approved a change of our fiscal year end from a twelve-month period ending on May 31, to a twelve-month period ending on December 31. We have made this change in order to align our fiscal year end with the majority of other contract research organizations. Our fiscal quarters now end on the last day of March, June, September and December of each year.</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On December 1, 2004, we acquired the workforce of Biomines Research Solutions Private Limited, based in Chennai, India. The workforce is engaged in the business of clinical trial data management and statistical analysis services and has been transferred to our existing Indian operation.</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On July 1, 2004, we acquired 70% of the outstanding share capital of Beacon Bioscience, Inc., a leading specialist CRO, which provides a range of medical imaging services to the pharmaceutical, biotechnology and medical device industries.</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ICON plc’s principal executive office is located at: South County Business Park, Leopardstown, Dublin 18, Republic of Ireland. The contact telephone number of this office is 353 (1) 291 2000.</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Industry Overview</w:t>
      </w:r>
    </w:p>
    <w:p>
      <w:pPr>
        <w:spacing w:after="0" w:line="28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to cost-effectively maximize the profit potential of both patent-protected and generic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post marketing surveillance, central laboratory and regulatory affairs services. CROs are required to provide these services in accordance with good clinical and laboratory practices, as governed by the applicable regulatory authorities.</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Drug Development - An Overview</w:t>
      </w:r>
    </w:p>
    <w:p>
      <w:pPr>
        <w:spacing w:after="0" w:line="289" w:lineRule="exact"/>
        <w:rPr>
          <w:sz w:val="20"/>
          <w:szCs w:val="20"/>
          <w:color w:val="auto"/>
        </w:rPr>
      </w:pPr>
    </w:p>
    <w:p>
      <w:pPr>
        <w:ind w:right="360"/>
        <w:spacing w:after="0" w:line="334" w:lineRule="auto"/>
        <w:rPr>
          <w:sz w:val="20"/>
          <w:szCs w:val="20"/>
          <w:color w:val="auto"/>
        </w:rPr>
      </w:pPr>
      <w:r>
        <w:rPr>
          <w:rFonts w:ascii="Arial" w:cs="Arial" w:eastAsia="Arial" w:hAnsi="Arial"/>
          <w:sz w:val="13"/>
          <w:szCs w:val="13"/>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b w:val="1"/>
          <w:bCs w:val="1"/>
          <w:i w:val="1"/>
          <w:iCs w:val="1"/>
          <w:color w:val="auto"/>
        </w:rPr>
        <w:t>Preclinical Research (1 to 3.5 years).</w:t>
      </w:r>
      <w:r>
        <w:rPr>
          <w:rFonts w:ascii="Arial" w:cs="Arial" w:eastAsia="Arial" w:hAnsi="Arial"/>
          <w:sz w:val="14"/>
          <w:szCs w:val="14"/>
          <w:color w:val="auto"/>
        </w:rPr>
        <w:t>“In vitro” (test tube) and animal studies are conducted to establish the relative toxicity of the drug over a wide range of doses and to detect any potential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cause birth defects or cancer. If results warrant continuing development of the drug, the manufacturer will file for an Investigational New Drug Application, or IND, upon which the FDA may grant permission to begin human trials.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Trials (3.5 to 6 years)</w:t>
      </w:r>
    </w:p>
    <w:p>
      <w:pPr>
        <w:spacing w:after="0" w:line="281"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u w:val="single" w:color="auto"/>
          <w:color w:val="auto"/>
        </w:rPr>
        <w:t>Phase I</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(6 months to 1 year).</w:t>
      </w:r>
      <w:r>
        <w:rPr>
          <w:rFonts w:ascii="Arial" w:cs="Arial" w:eastAsia="Arial" w:hAnsi="Arial"/>
          <w:sz w:val="14"/>
          <w:szCs w:val="14"/>
          <w:b w:val="1"/>
          <w:bCs w:val="1"/>
          <w:color w:val="auto"/>
        </w:rPr>
        <w:t xml:space="preserve"> </w:t>
      </w:r>
      <w:r>
        <w:rPr>
          <w:rFonts w:ascii="Arial" w:cs="Arial" w:eastAsia="Arial" w:hAnsi="Arial"/>
          <w:sz w:val="14"/>
          <w:szCs w:val="14"/>
          <w:color w:val="auto"/>
        </w:rPr>
        <w:t>Basic safety and pharmacology testing in 20 to 80 human subjects, usually healthy volunteers, includes studies to determine how the drug works, if it is safe, how it is</w:t>
      </w:r>
      <w:r>
        <w:rPr>
          <w:rFonts w:ascii="Arial" w:cs="Arial" w:eastAsia="Arial" w:hAnsi="Arial"/>
          <w:sz w:val="14"/>
          <w:szCs w:val="14"/>
          <w:b w:val="1"/>
          <w:bCs w:val="1"/>
          <w:color w:val="auto"/>
        </w:rPr>
        <w:t xml:space="preserve"> </w:t>
      </w:r>
      <w:r>
        <w:rPr>
          <w:rFonts w:ascii="Arial" w:cs="Arial" w:eastAsia="Arial" w:hAnsi="Arial"/>
          <w:sz w:val="14"/>
          <w:szCs w:val="14"/>
          <w:color w:val="auto"/>
        </w:rPr>
        <w:t>affected by other drugs, where it goes in the body, how long it remains active and how it is broken down and eliminated from the body.</w:t>
      </w:r>
    </w:p>
    <w:p>
      <w:pPr>
        <w:spacing w:after="0" w:line="220" w:lineRule="exact"/>
        <w:rPr>
          <w:sz w:val="20"/>
          <w:szCs w:val="20"/>
          <w:color w:val="auto"/>
        </w:rPr>
      </w:pPr>
    </w:p>
    <w:p>
      <w:pPr>
        <w:ind w:right="220"/>
        <w:spacing w:after="0" w:line="299" w:lineRule="auto"/>
        <w:rPr>
          <w:sz w:val="20"/>
          <w:szCs w:val="20"/>
          <w:color w:val="auto"/>
        </w:rPr>
      </w:pPr>
      <w:r>
        <w:rPr>
          <w:rFonts w:ascii="Arial" w:cs="Arial" w:eastAsia="Arial" w:hAnsi="Arial"/>
          <w:sz w:val="14"/>
          <w:szCs w:val="14"/>
          <w:b w:val="1"/>
          <w:bCs w:val="1"/>
          <w:u w:val="single" w:color="auto"/>
          <w:color w:val="auto"/>
        </w:rPr>
        <w:t>Phase II</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(1 to 2 years).</w:t>
      </w:r>
      <w:r>
        <w:rPr>
          <w:rFonts w:ascii="Arial" w:cs="Arial" w:eastAsia="Arial" w:hAnsi="Arial"/>
          <w:sz w:val="14"/>
          <w:szCs w:val="14"/>
          <w:b w:val="1"/>
          <w:bCs w:val="1"/>
          <w:color w:val="auto"/>
        </w:rPr>
        <w:t xml:space="preserve"> </w:t>
      </w:r>
      <w:r>
        <w:rPr>
          <w:rFonts w:ascii="Arial" w:cs="Arial" w:eastAsia="Arial" w:hAnsi="Arial"/>
          <w:sz w:val="14"/>
          <w:szCs w:val="14"/>
          <w:color w:val="auto"/>
        </w:rPr>
        <w:t>Basic efficacy (effectiveness) and dose-range testing in 100 to 200 patients to help determine the best effective dose, confirm that the drug works as expected, and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additional safety data.</w:t>
      </w:r>
    </w:p>
    <w:p>
      <w:pPr>
        <w:spacing w:after="0" w:line="220" w:lineRule="exact"/>
        <w:rPr>
          <w:sz w:val="20"/>
          <w:szCs w:val="20"/>
          <w:color w:val="auto"/>
        </w:rPr>
      </w:pPr>
    </w:p>
    <w:p>
      <w:pPr>
        <w:ind w:right="80"/>
        <w:spacing w:after="0" w:line="340" w:lineRule="auto"/>
        <w:rPr>
          <w:sz w:val="20"/>
          <w:szCs w:val="20"/>
          <w:color w:val="auto"/>
        </w:rPr>
      </w:pPr>
      <w:r>
        <w:rPr>
          <w:rFonts w:ascii="Arial" w:cs="Arial" w:eastAsia="Arial" w:hAnsi="Arial"/>
          <w:sz w:val="13"/>
          <w:szCs w:val="13"/>
          <w:b w:val="1"/>
          <w:bCs w:val="1"/>
          <w:u w:val="single" w:color="auto"/>
          <w:color w:val="auto"/>
        </w:rPr>
        <w:t>Phase III</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(2 to 3 years).</w:t>
      </w:r>
      <w:r>
        <w:rPr>
          <w:rFonts w:ascii="Arial" w:cs="Arial" w:eastAsia="Arial" w:hAnsi="Arial"/>
          <w:sz w:val="13"/>
          <w:szCs w:val="13"/>
          <w:b w:val="1"/>
          <w:bCs w:val="1"/>
          <w:color w:val="auto"/>
        </w:rPr>
        <w:t xml:space="preserve"> </w:t>
      </w:r>
      <w:r>
        <w:rPr>
          <w:rFonts w:ascii="Arial" w:cs="Arial" w:eastAsia="Arial" w:hAnsi="Arial"/>
          <w:sz w:val="13"/>
          <w:szCs w:val="13"/>
          <w:color w:val="auto"/>
        </w:rPr>
        <w:t>Efficacy and safety studies in hundreds or thousands of patients at many investigational sites (hospitals and clinics). These studies can be placebo-controlled trials, in which</w:t>
      </w:r>
      <w:r>
        <w:rPr>
          <w:rFonts w:ascii="Arial" w:cs="Arial" w:eastAsia="Arial" w:hAnsi="Arial"/>
          <w:sz w:val="13"/>
          <w:szCs w:val="13"/>
          <w:b w:val="1"/>
          <w:bCs w:val="1"/>
          <w:color w:val="auto"/>
        </w:rPr>
        <w:t xml:space="preserve"> </w:t>
      </w:r>
      <w:r>
        <w:rPr>
          <w:rFonts w:ascii="Arial" w:cs="Arial" w:eastAsia="Arial" w:hAnsi="Arial"/>
          <w:sz w:val="13"/>
          <w:szCs w:val="13"/>
          <w:color w:val="auto"/>
        </w:rPr>
        <w:t>the new drug is compared with a “sugar pill”, or studies comparing the new drug with one or more drugs with established safety and efficacy profiles in the same therapeutic category.</w:t>
      </w:r>
    </w:p>
    <w:p>
      <w:pPr>
        <w:spacing w:after="0" w:line="202" w:lineRule="exact"/>
        <w:rPr>
          <w:sz w:val="20"/>
          <w:szCs w:val="20"/>
          <w:color w:val="auto"/>
        </w:rPr>
      </w:pPr>
    </w:p>
    <w:p>
      <w:pPr>
        <w:ind w:right="280"/>
        <w:spacing w:after="0" w:line="272" w:lineRule="auto"/>
        <w:rPr>
          <w:sz w:val="20"/>
          <w:szCs w:val="20"/>
          <w:color w:val="auto"/>
        </w:rPr>
      </w:pPr>
      <w:r>
        <w:rPr>
          <w:rFonts w:ascii="Arial" w:cs="Arial" w:eastAsia="Arial" w:hAnsi="Arial"/>
          <w:sz w:val="14"/>
          <w:szCs w:val="14"/>
          <w:b w:val="1"/>
          <w:bCs w:val="1"/>
          <w:i w:val="1"/>
          <w:iCs w:val="1"/>
          <w:color w:val="auto"/>
        </w:rPr>
        <w:t xml:space="preserve">TIND (may span late Phase II, Phase III, and FDA review). </w:t>
      </w:r>
      <w:r>
        <w:rPr>
          <w:rFonts w:ascii="Arial" w:cs="Arial" w:eastAsia="Arial" w:hAnsi="Arial"/>
          <w:sz w:val="14"/>
          <w:szCs w:val="14"/>
          <w:color w:val="auto"/>
        </w:rPr>
        <w:t>When results from Phase II or Phase III show special promise in the treatment of a serious condition for which existing therapeutic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2" w:name="page13"/>
    <w:bookmarkEnd w:id="12"/>
    <w:p>
      <w:pPr>
        <w:ind w:right="40"/>
        <w:spacing w:after="0" w:line="293" w:lineRule="auto"/>
        <w:rPr>
          <w:sz w:val="20"/>
          <w:szCs w:val="20"/>
          <w:color w:val="auto"/>
        </w:rPr>
      </w:pPr>
      <w:r>
        <w:rPr>
          <w:rFonts w:ascii="Arial" w:cs="Arial" w:eastAsia="Arial" w:hAnsi="Arial"/>
          <w:sz w:val="14"/>
          <w:szCs w:val="14"/>
          <w:b w:val="1"/>
          <w:bCs w:val="1"/>
          <w:i w:val="1"/>
          <w:iCs w:val="1"/>
          <w:color w:val="auto"/>
        </w:rPr>
        <w:t xml:space="preserve">NDA Preparation and Submission. </w:t>
      </w:r>
      <w:r>
        <w:rPr>
          <w:rFonts w:ascii="Arial" w:cs="Arial" w:eastAsia="Arial" w:hAnsi="Arial"/>
          <w:sz w:val="14"/>
          <w:szCs w:val="14"/>
          <w:color w:val="auto"/>
        </w:rPr>
        <w:t>Upon completion of Phase III trials, the manufacturer assembles the statistically analyzed data from all phases of development into a single large submission,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New Drug Application, or NDA, which today comprises, on average, approximately 100,000 pages.</w:t>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b w:val="1"/>
          <w:bCs w:val="1"/>
          <w:i w:val="1"/>
          <w:iCs w:val="1"/>
          <w:color w:val="auto"/>
        </w:rPr>
        <w:t xml:space="preserve">FDA Review &amp; Approval (1 to 1.5 years). </w:t>
      </w:r>
      <w:r>
        <w:rPr>
          <w:rFonts w:ascii="Arial" w:cs="Arial" w:eastAsia="Arial" w:hAnsi="Arial"/>
          <w:sz w:val="14"/>
          <w:szCs w:val="14"/>
          <w:color w:val="auto"/>
        </w:rPr>
        <w:t>Data from all phases of development (including a TIND) is scrutinized to confirm that the manufacturer has complied with regulations and that the drug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safe and effective for the specific use (or “indication”) under study.</w:t>
      </w:r>
    </w:p>
    <w:p>
      <w:pPr>
        <w:spacing w:after="0" w:line="228"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b w:val="1"/>
          <w:bCs w:val="1"/>
          <w:i w:val="1"/>
          <w:iCs w:val="1"/>
          <w:color w:val="auto"/>
        </w:rPr>
        <w:t xml:space="preserve">Post-Marketing Surveillance and Phase IV Studies. </w:t>
      </w:r>
      <w:r>
        <w:rPr>
          <w:rFonts w:ascii="Arial" w:cs="Arial" w:eastAsia="Arial" w:hAnsi="Arial"/>
          <w:sz w:val="14"/>
          <w:szCs w:val="14"/>
          <w:color w:val="auto"/>
        </w:rPr>
        <w:t>Federal regulation requires the manufacturer to collect and periodically report to the FDA additional safety and efficacy data on the drug for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Trends Affecting the CRO Industry</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2005 was approximately $14 billion. We believe that the following trends create further growth opportunities for global CROs, although there is no assurance that growth will materialize.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Innovation driving new Drug Development activity.</w:t>
      </w:r>
    </w:p>
    <w:p>
      <w:pPr>
        <w:spacing w:after="0" w:line="28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Technologies such as combinational chemistry and high throughput screening, together with improved understanding of disease pathology (driven by scientific advances such as the mapping of the human genome) have greatly increased the number of new drug candidates being investigated in early development and greatly broadened the number of biological mechanisms being targeted by such candidates. Arising from this innovation, funding for research and development, particularly by biotechnology companies, has been growing strongly. This is leading to significant increased activity in both Preclinical and Phase I development which we believe will lead to more treatments in Phase II-III clinical trials. As the number of trials that need to be performed increases, we believe that drug developers will increasingly rely on CROs to manage these trials in order to continue to focus on drug discovery.</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Declining productivity within Research and Development programs.</w:t>
      </w:r>
    </w:p>
    <w:p>
      <w:pPr>
        <w:spacing w:after="0" w:line="28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Whilst the total number of compounds that have entered clinical development has risen over the last few years, the number of novel drugs that have successfully been approved for marketing has remained relatively stable. Pharmaceutical and biotechnology companies have responded in a number of ways including looking to extend the product life cycle of existing drugs and initiating programs to drive efficiency in the development process. One example of this has been the efforts to achieve a more seamless transition across development phases, particularly Phase I-III. In parallel regulatory initiatives such as the FDA’s “Critical Path” and the emergence of techniques such as adaptive trial design are focused on ensuring unsafe or ineffective drugs are eliminated from the development process earlier, allowing effective treatments to get to patients quicker at potentially reduced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Pressure to Accelerate Time to Markets; Globalization of the Marketplace.</w:t>
      </w:r>
    </w:p>
    <w:p>
      <w:pPr>
        <w:spacing w:after="0" w:line="2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 Alongside this, the increasing need to access pools of “treatment naive” patients is leading to the conduct of clinical trials in new “emerging regions” such as Eastern Europe, Latin America, South America and India. We believe that having access to both traditional and emerging clinical research markets gives global CROs a competitive advantage.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Emergence of the Biotechnology Sector</w:t>
      </w:r>
    </w:p>
    <w:p>
      <w:pPr>
        <w:spacing w:after="0" w:line="28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nature of the drugs being developed is changing. Biotechnology is enabling the development of targeted drugs with diagnostic tests to determine a priori whether a drug will be effective given a patient’s genomic profile. An increasing proportion of R&amp;D expenditure is being spent on the development of highly technical drugs to treat very specific therapeutic areas. Much of this discovery expertise is found in smaller biotechnology firms. We believe that it is to these organizations that the large pharmaceutical companies will look for an increasing proportion of their new drug pipelines. Whether it is through licensing agreements, joint ventures or equity investment, we believe we will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Containment Pressures.</w:t>
      </w:r>
    </w:p>
    <w:p>
      <w:pPr>
        <w:spacing w:after="0" w:line="28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Increasing Number of Large Long-Term Studies</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focus on long-term product safety</w:t>
      </w:r>
    </w:p>
    <w:p>
      <w:pPr>
        <w:spacing w:after="0" w:line="28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High profile recalls for drugs in recent times have increased the emphasis on monitoring the health effects of long term drug usage. Historically the industry has not tracked what has happened to consumers of drugs over long periods. This is important given that people can potentially be taking a drug for 20 or 30 years, and may have no idea what side-effects it will have over that period of time. Registry studies are one method of collecting safety and efficacy data over an extensive patient population once a drug is on the market. Much of the information collected is voluntary by both physicians and patients as part of routine care. This data can provide an early warning if a patient were to experience a serious adverse reaction. With increasing regulation in the area of post marketing surveillance, we believe pharmaceutical firms will look to CROs for support in the design and rollout of major post marketing safety programs.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Increasing Regulatory Demands.</w:t>
      </w:r>
    </w:p>
    <w:p>
      <w:pPr>
        <w:spacing w:after="0" w:line="285" w:lineRule="exact"/>
        <w:rPr>
          <w:sz w:val="20"/>
          <w:szCs w:val="20"/>
          <w:color w:val="auto"/>
        </w:rPr>
      </w:pPr>
    </w:p>
    <w:p>
      <w:pPr>
        <w:jc w:val="both"/>
        <w:spacing w:after="0" w:line="334" w:lineRule="auto"/>
        <w:rPr>
          <w:sz w:val="20"/>
          <w:szCs w:val="20"/>
          <w:color w:val="auto"/>
        </w:rPr>
      </w:pPr>
      <w:r>
        <w:rPr>
          <w:rFonts w:ascii="Arial" w:cs="Arial" w:eastAsia="Arial" w:hAnsi="Arial"/>
          <w:sz w:val="13"/>
          <w:szCs w:val="13"/>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The ICON Strategy</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ICON’s mission is to provide flexible, superior quality, global pharmaceutical development services, that enable clients to expedite development, reduce costs and establish the benefits of treatments that enhance people’s lives.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provide these development services to clients on a stand-alone basis or as part of an integrated “full service” solution. Our primary approach is to use dedicated teams to achieve optimum results. While we believe that this operating model differentiates us from our competition in the CRO industry and enables us to deliver high quality services to our clients, we do retain the operational flexibility to implement a range of resourcing models to suit client requirements.</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Our strategy is to continue to grow by penetrating further our existing client base and adding new clients within the Phase I-IV outsourced development services market. The aim being to ensure we will be considered by every company for every major Phase I - IV project.</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intend to implement our strategy by continuing to deliver high quality services, by increasing our geographic presence, expanding the scale and range of our services and, where appropriate, cross selling these services into clients. As needed we intend to supplement our internal growth with strategic acquisitions.</w:t>
      </w:r>
    </w:p>
    <w:p>
      <w:pPr>
        <w:spacing w:after="0" w:line="228" w:lineRule="exact"/>
        <w:rPr>
          <w:sz w:val="20"/>
          <w:szCs w:val="20"/>
          <w:color w:val="auto"/>
        </w:rPr>
      </w:pPr>
    </w:p>
    <w:p>
      <w:pPr>
        <w:ind w:left="660" w:hanging="148"/>
        <w:spacing w:after="0" w:line="29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Continue to Deliver High Quality Services and Customer Satisfaction. </w:t>
      </w:r>
      <w:r>
        <w:rPr>
          <w:rFonts w:ascii="Arial" w:cs="Arial" w:eastAsia="Arial" w:hAnsi="Arial"/>
          <w:sz w:val="14"/>
          <w:szCs w:val="14"/>
          <w:color w:val="auto"/>
        </w:rPr>
        <w:t>ICON’s core competency is project management, built up over the last fifteen years managing complex projects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underpinned by comprehensive and consistent processes which conform to the ISO9001:2000 quality certification.</w:t>
      </w:r>
    </w:p>
    <w:p>
      <w:pPr>
        <w:spacing w:after="0" w:line="228" w:lineRule="exact"/>
        <w:rPr>
          <w:rFonts w:ascii="Arial" w:cs="Arial" w:eastAsia="Arial" w:hAnsi="Arial"/>
          <w:sz w:val="14"/>
          <w:szCs w:val="14"/>
          <w:color w:val="auto"/>
        </w:rPr>
      </w:pPr>
    </w:p>
    <w:p>
      <w:pPr>
        <w:ind w:left="660" w:right="380"/>
        <w:spacing w:after="0" w:line="293" w:lineRule="auto"/>
        <w:rPr>
          <w:rFonts w:ascii="Arial" w:cs="Arial" w:eastAsia="Arial" w:hAnsi="Arial"/>
          <w:sz w:val="14"/>
          <w:szCs w:val="14"/>
          <w:color w:val="auto"/>
        </w:rPr>
      </w:pPr>
      <w:r>
        <w:rPr>
          <w:rFonts w:ascii="Arial" w:cs="Arial" w:eastAsia="Arial" w:hAnsi="Arial"/>
          <w:sz w:val="14"/>
          <w:szCs w:val="14"/>
          <w:color w:val="auto"/>
        </w:rPr>
        <w:t>We have an extensive therapeutic and scientific knowledge residing in the organization and the capability to consistently solve the challenges that arise during clinical trials, each of which is the equivalent of a unique scientific study.</w:t>
      </w:r>
    </w:p>
    <w:p>
      <w:pPr>
        <w:spacing w:after="0" w:line="228" w:lineRule="exact"/>
        <w:rPr>
          <w:rFonts w:ascii="Arial" w:cs="Arial" w:eastAsia="Arial" w:hAnsi="Arial"/>
          <w:sz w:val="14"/>
          <w:szCs w:val="14"/>
          <w:color w:val="auto"/>
        </w:rPr>
      </w:pPr>
    </w:p>
    <w:p>
      <w:pPr>
        <w:ind w:left="660" w:right="200"/>
        <w:spacing w:after="0" w:line="293" w:lineRule="auto"/>
        <w:rPr>
          <w:rFonts w:ascii="Arial" w:cs="Arial" w:eastAsia="Arial" w:hAnsi="Arial"/>
          <w:sz w:val="14"/>
          <w:szCs w:val="14"/>
          <w:color w:val="auto"/>
        </w:rPr>
      </w:pPr>
      <w:r>
        <w:rPr>
          <w:rFonts w:ascii="Arial" w:cs="Arial" w:eastAsia="Arial" w:hAnsi="Arial"/>
          <w:sz w:val="14"/>
          <w:szCs w:val="14"/>
          <w:color w:val="auto"/>
        </w:rPr>
        <w:t>We believe our quality processes, extensive experience and dedicated team approach allows us to provide consistent high quality, timely and cost effective services. We believe that the resulting customer satisfaction and enhanced reputation in the industry will continue to enable us to penetrate our existing client base and add new clients.</w:t>
      </w:r>
    </w:p>
    <w:p>
      <w:pPr>
        <w:spacing w:after="0" w:line="228" w:lineRule="exact"/>
        <w:rPr>
          <w:rFonts w:ascii="Arial" w:cs="Arial" w:eastAsia="Arial" w:hAnsi="Arial"/>
          <w:sz w:val="14"/>
          <w:szCs w:val="14"/>
          <w:color w:val="auto"/>
        </w:rPr>
      </w:pPr>
    </w:p>
    <w:p>
      <w:pPr>
        <w:jc w:val="both"/>
        <w:ind w:left="660" w:hanging="148"/>
        <w:spacing w:after="0" w:line="269"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Expand Geographic Presence. </w:t>
      </w:r>
      <w:r>
        <w:rPr>
          <w:rFonts w:ascii="Arial" w:cs="Arial" w:eastAsia="Arial" w:hAnsi="Arial"/>
          <w:sz w:val="14"/>
          <w:szCs w:val="14"/>
          <w:color w:val="auto"/>
        </w:rPr>
        <w:t>In a highly fragmented industry, we are one of a small group of organizations with the capability and expertise to conduct clinical trials on a global basis.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through the establishment of 49 offices in 30 countries and intend to continue expanding in regions that have the potential to increase our client base or increase our investigator and patient populations. We have most recently been expanding our presence in Eastern Europe and Latin America as well as parts of Asia including India and Japan.</w:t>
      </w:r>
    </w:p>
    <w:p>
      <w:pPr>
        <w:spacing w:after="0" w:line="245" w:lineRule="exact"/>
        <w:rPr>
          <w:rFonts w:ascii="Arial" w:cs="Arial" w:eastAsia="Arial" w:hAnsi="Arial"/>
          <w:sz w:val="14"/>
          <w:szCs w:val="14"/>
          <w:color w:val="auto"/>
        </w:rPr>
      </w:pPr>
    </w:p>
    <w:p>
      <w:pPr>
        <w:jc w:val="both"/>
        <w:ind w:left="660" w:hanging="148"/>
        <w:spacing w:after="0" w:line="269"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Increase Scale and Range of Services. </w:t>
      </w:r>
      <w:r>
        <w:rPr>
          <w:rFonts w:ascii="Arial" w:cs="Arial" w:eastAsia="Arial" w:hAnsi="Arial"/>
          <w:sz w:val="14"/>
          <w:szCs w:val="14"/>
          <w:color w:val="auto"/>
        </w:rPr>
        <w:t>We seek to enhance our competitive position by increasing the scale and range of our services. We intend to expand our clinical trials, central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laboratory, digital imaging, IVRS (interactive voice recognition system), data management, statistical and consulting operations in order to capitalize further on the outsourcing opportunities currently available from our clients. The recent high profile withdrawal of several drugs from the market is also placing the spotlight on drug safety which will lead to greater emphasis, by all involved in drug development, on post-marketing safety monitoring. ICON’s recent acquisition of Ovation has added additional capabilities to the organization in the areas of health economics, patient registries and outcomes research.</w:t>
      </w:r>
    </w:p>
    <w:p>
      <w:pPr>
        <w:spacing w:after="0" w:line="245" w:lineRule="exact"/>
        <w:rPr>
          <w:rFonts w:ascii="Arial" w:cs="Arial" w:eastAsia="Arial" w:hAnsi="Arial"/>
          <w:sz w:val="14"/>
          <w:szCs w:val="14"/>
          <w:color w:val="auto"/>
        </w:rPr>
      </w:pPr>
    </w:p>
    <w:p>
      <w:pPr>
        <w:jc w:val="both"/>
        <w:ind w:left="660" w:hanging="148"/>
        <w:spacing w:after="0" w:line="272"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Cross Sell Services: </w:t>
      </w:r>
      <w:r>
        <w:rPr>
          <w:rFonts w:ascii="Arial" w:cs="Arial" w:eastAsia="Arial" w:hAnsi="Arial"/>
          <w:sz w:val="14"/>
          <w:szCs w:val="14"/>
          <w:color w:val="auto"/>
        </w:rPr>
        <w:t>By building up a full range of development services, ICON can support clients through all stages of their product lifecycle. There are signs that certain client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segments are looking to rationalize their supply base down to a small number of CROs who can provide this breadth of service. A core part of our business development strategy is to “cross sell” ICON’s service portfolio. By developing and maintaining close relationships with clients, we gain repeat business and achieve lateral penetration of services with the client organization.</w:t>
      </w:r>
    </w:p>
    <w:p>
      <w:pPr>
        <w:spacing w:after="0" w:line="242" w:lineRule="exact"/>
        <w:rPr>
          <w:rFonts w:ascii="Arial" w:cs="Arial" w:eastAsia="Arial" w:hAnsi="Arial"/>
          <w:sz w:val="14"/>
          <w:szCs w:val="14"/>
          <w:color w:val="auto"/>
        </w:rPr>
      </w:pPr>
    </w:p>
    <w:p>
      <w:pPr>
        <w:ind w:left="660" w:hanging="14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Strategic acquisitions: </w:t>
      </w:r>
      <w:r>
        <w:rPr>
          <w:rFonts w:ascii="Arial" w:cs="Arial" w:eastAsia="Arial" w:hAnsi="Arial"/>
          <w:sz w:val="14"/>
          <w:szCs w:val="14"/>
          <w:color w:val="auto"/>
        </w:rPr>
        <w:t>Alongside organic growth, we will continue to seek strategic acquisitions that fall within and are complimentary to our existing service lines.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Services</w:t>
      </w: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Our core Clinical Research business specializes in the planning, management, execution and analysis of Phase I - IV clinical trials, ranging from small studies to complex, multinational projects.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Specific clinical research services offered include:</w:t>
      </w:r>
    </w:p>
    <w:p>
      <w:pPr>
        <w:spacing w:after="0" w:line="278" w:lineRule="exact"/>
        <w:rPr>
          <w:sz w:val="20"/>
          <w:szCs w:val="20"/>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Investigator Recruitment</w:t>
      </w:r>
    </w:p>
    <w:p>
      <w:pPr>
        <w:spacing w:after="0" w:line="21"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Study Monitoring and Data Collection</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Case Report Form ("CRF") Preparation</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Patient Safety Monitoring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Clinical Data Management</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IVR (Interactive Voice Response)</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Medical Reporting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Patient Registries</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Outcomes Research</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Health Economics</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Strategic Analysis and Data Operations</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Clinical Pharmacology</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Bioanalysis</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Pharmacokinetic and Pharmacodynamic analysis</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Study Protocol Preparation</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Regulatory Consulting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 Development Planning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Strategic Consulting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Medical Imaging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Contract Staffing</w:t>
      </w:r>
    </w:p>
    <w:p>
      <w:pPr>
        <w:spacing w:after="0" w:line="278" w:lineRule="exact"/>
        <w:rPr>
          <w:sz w:val="20"/>
          <w:szCs w:val="20"/>
          <w:color w:val="auto"/>
        </w:rPr>
      </w:pPr>
    </w:p>
    <w:p>
      <w:pPr>
        <w:jc w:val="both"/>
        <w:ind w:right="140"/>
        <w:spacing w:after="0" w:line="277" w:lineRule="auto"/>
        <w:rPr>
          <w:sz w:val="20"/>
          <w:szCs w:val="20"/>
          <w:color w:val="auto"/>
        </w:rPr>
      </w:pPr>
      <w:r>
        <w:rPr>
          <w:rFonts w:ascii="Arial" w:cs="Arial" w:eastAsia="Arial" w:hAnsi="Arial"/>
          <w:sz w:val="14"/>
          <w:szCs w:val="14"/>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ICON Central Laboratories provides global central laboratory services dedicated exclusively to clinical trials. Specific services offered by ICON Central Laboratories include:</w:t>
      </w:r>
    </w:p>
    <w:p>
      <w:pPr>
        <w:spacing w:after="0" w:line="239" w:lineRule="exact"/>
        <w:rPr>
          <w:sz w:val="20"/>
          <w:szCs w:val="20"/>
          <w:color w:val="auto"/>
        </w:rPr>
      </w:pPr>
    </w:p>
    <w:p>
      <w:pPr>
        <w:ind w:left="660" w:hanging="14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Sample analyses</w:t>
      </w:r>
    </w:p>
    <w:p>
      <w:pPr>
        <w:spacing w:after="0" w:line="21" w:lineRule="exact"/>
        <w:rPr>
          <w:rFonts w:ascii="Arial" w:cs="Arial" w:eastAsia="Arial" w:hAnsi="Arial"/>
          <w:sz w:val="14"/>
          <w:szCs w:val="14"/>
          <w:color w:val="auto"/>
        </w:rPr>
      </w:pPr>
    </w:p>
    <w:p>
      <w:pPr>
        <w:ind w:left="660" w:hanging="14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Safety testing</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Microbiology</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 flow cytometry</w:t>
      </w:r>
    </w:p>
    <w:p>
      <w:pPr>
        <w:spacing w:after="0" w:line="14" w:lineRule="exact"/>
        <w:rPr>
          <w:rFonts w:ascii="Arial" w:cs="Arial" w:eastAsia="Arial" w:hAnsi="Arial"/>
          <w:sz w:val="14"/>
          <w:szCs w:val="14"/>
          <w:color w:val="auto"/>
        </w:rPr>
      </w:pPr>
    </w:p>
    <w:p>
      <w:pPr>
        <w:ind w:left="660" w:hanging="14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Electronic transmission of test results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20"/>
                <w:szCs w:val="20"/>
                <w:color w:val="auto"/>
              </w:rPr>
            </w:pPr>
            <w:r>
              <w:rPr>
                <w:rFonts w:ascii="Arial" w:cs="Arial" w:eastAsia="Arial" w:hAnsi="Arial"/>
                <w:sz w:val="14"/>
                <w:szCs w:val="14"/>
                <w:b w:val="1"/>
                <w:bCs w:val="1"/>
                <w:color w:val="auto"/>
              </w:rPr>
              <w:t>Organizational Structure</w:t>
            </w:r>
          </w:p>
        </w:tc>
        <w:tc>
          <w:tcPr>
            <w:tcW w:w="376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444"/>
        </w:trPr>
        <w:tc>
          <w:tcPr>
            <w:tcW w:w="372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Name</w:t>
            </w:r>
          </w:p>
        </w:tc>
        <w:tc>
          <w:tcPr>
            <w:tcW w:w="376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Country of incorporation</w:t>
            </w:r>
          </w:p>
        </w:tc>
        <w:tc>
          <w:tcPr>
            <w:tcW w:w="3940" w:type="dxa"/>
            <w:vAlign w:val="bottom"/>
          </w:tcPr>
          <w:p>
            <w:pPr>
              <w:ind w:left="1540"/>
              <w:spacing w:after="0"/>
              <w:rPr>
                <w:sz w:val="20"/>
                <w:szCs w:val="20"/>
                <w:color w:val="auto"/>
              </w:rPr>
            </w:pPr>
            <w:r>
              <w:rPr>
                <w:rFonts w:ascii="Arial" w:cs="Arial" w:eastAsia="Arial" w:hAnsi="Arial"/>
                <w:sz w:val="14"/>
                <w:szCs w:val="14"/>
                <w:b w:val="1"/>
                <w:bCs w:val="1"/>
                <w:i w:val="1"/>
                <w:iCs w:val="1"/>
                <w:color w:val="auto"/>
              </w:rPr>
              <w:t>Group ownership</w:t>
            </w: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(UK)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United Kingdom</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Republic of Ireland</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Japan K.K.</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Japan</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GmbH</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Germany</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Pty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Australia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S.A.</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Argentina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SARL</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France</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Pte.</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Singapore</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Israel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Israel</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Medeval Group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UK</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Laboratories,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Managed Clinical Solutions,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(Canada)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Canada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GloboMax LLC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Espana S.L.</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Spain</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Kft</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Hungary</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Beacon Bioscience,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2"/>
              </w:rPr>
              <w:t>70%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India Private Limited</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India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México, S.A. de C.V.</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Mexico</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Pesquisas Clinicas LTDA</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Brazil</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Ovation Research Group Inc.</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USA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Chile Limitada</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Chile</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243"/>
        </w:trPr>
        <w:tc>
          <w:tcPr>
            <w:tcW w:w="37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176"/>
        </w:trPr>
        <w:tc>
          <w:tcPr>
            <w:tcW w:w="3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ICON Clinical Research Korea Yuhan Hoesa</w:t>
            </w:r>
          </w:p>
        </w:tc>
        <w:tc>
          <w:tcPr>
            <w:tcW w:w="37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Korea</w:t>
            </w:r>
          </w:p>
        </w:tc>
        <w:tc>
          <w:tcPr>
            <w:tcW w:w="394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100%</w:t>
            </w:r>
          </w:p>
        </w:tc>
      </w:tr>
      <w:tr>
        <w:trPr>
          <w:trHeight w:val="420"/>
        </w:trPr>
        <w:tc>
          <w:tcPr>
            <w:tcW w:w="3720" w:type="dxa"/>
            <w:vAlign w:val="bottom"/>
          </w:tcPr>
          <w:p>
            <w:pPr>
              <w:spacing w:after="0"/>
              <w:rPr>
                <w:sz w:val="20"/>
                <w:szCs w:val="20"/>
                <w:color w:val="auto"/>
              </w:rPr>
            </w:pPr>
            <w:r>
              <w:rPr>
                <w:rFonts w:ascii="Arial" w:cs="Arial" w:eastAsia="Arial" w:hAnsi="Arial"/>
                <w:sz w:val="14"/>
                <w:szCs w:val="14"/>
                <w:color w:val="auto"/>
              </w:rPr>
              <w:t>All shareholdings comprise ordinary shares.</w:t>
            </w:r>
          </w:p>
        </w:tc>
        <w:tc>
          <w:tcPr>
            <w:tcW w:w="37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All subsidiary undertakings are involved in the provision of contract research services to the pharmaceutical, biotechnology and medical device industries.</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Information Systems</w:t>
      </w:r>
    </w:p>
    <w:p>
      <w:pPr>
        <w:spacing w:after="0" w:line="289"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Our information technology strategy is built around deploying IT systems to enable the delivery of our business services in a global environment. The focus is to provide ease of access to information for our staff and clients globally. Our current information systems are built on open standards and leading commercial business applications from vendors including Microsoft, Oracle, EMC, BEA, Phase Forward and Medidata. IT expenditure is authorized by strict IT Governance policies requiring senior level approval of all strategic IT expenditure. All critical business systems are formally delivered following a structured project management and systems delivery life cycle approach. Critical clinical information systems, which manage clinical data, are validated in accordance with FDA regulations and those of other equivalent regulatory bodies throughout the world.</w:t>
      </w:r>
    </w:p>
    <w:p>
      <w:pPr>
        <w:spacing w:after="0" w:line="246" w:lineRule="exact"/>
        <w:rPr>
          <w:sz w:val="20"/>
          <w:szCs w:val="20"/>
          <w:color w:val="auto"/>
        </w:rPr>
      </w:pPr>
    </w:p>
    <w:p>
      <w:pPr>
        <w:spacing w:after="0" w:line="292" w:lineRule="auto"/>
        <w:rPr>
          <w:sz w:val="20"/>
          <w:szCs w:val="20"/>
          <w:color w:val="auto"/>
        </w:rPr>
      </w:pPr>
      <w:r>
        <w:rPr>
          <w:rFonts w:ascii="Arial" w:cs="Arial" w:eastAsia="Arial" w:hAnsi="Arial"/>
          <w:sz w:val="13"/>
          <w:szCs w:val="13"/>
          <w:color w:val="auto"/>
        </w:rPr>
        <w:t>In Clinical Operations, we have deployed a suite of software applications that assist in the management and tracking of our clinical trials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In our Data Management function, we have deployed leading clinical data management solutions plus Electronic Data Capture (EDC) solutions from leading industry vendors. Our state of the art workflow technology allows us to process clinical trials data seamlessly throughout the Company.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a WAP enabled device.</w:t>
      </w:r>
    </w:p>
    <w:p>
      <w:pPr>
        <w:spacing w:after="0" w:line="232"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Recognizing that each client has its own requirements and systems, we seek to ensure an entirely flexible approach to client needs. An example of this flexibility is in the provision of portal solutions that allows clients access to study related information via a secure web based environment. We also provide secure remote access to client systems for clients to require us to utilize their internal platforms.</w:t>
      </w:r>
    </w:p>
    <w:p>
      <w:pPr>
        <w:spacing w:after="0" w:line="239"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ICON’s strategy of using technology to enhance our global process can be seen in our recent deployment of a new global SOP Document Management system and our current investment in WEB based training delivery solutions.</w:t>
      </w:r>
    </w:p>
    <w:p>
      <w:pPr>
        <w:spacing w:after="0" w:line="228"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228"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Our IT systems are operated from two centralized hubs in Philadelphia and Dublin. Other offices are linked to these hubs through a resilient network that is outsourced to a leading tier one telecommunications provider. Traveling staff can also access all systems via secure remote dial up facilities. A global corporate intranet portal provides access to all authorized data and applications for our internal staff as well as providing an internal platform for company wide communication.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can leverage a full service portfolio and achieve lateral penetration into other therapeutic divisions where applicable. Simultaneously, we are actively establishing new client relationships.</w:t>
      </w:r>
    </w:p>
    <w:p>
      <w:pPr>
        <w:spacing w:after="0" w:line="239"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While our sales and marketing activities are carried out locally by executives in each of the major locations, the sales and marketing process is coordinated centrally to ensure a consistent and differentiated market positioning for ICON. In addition, all our business development professionals, senior executives and project team leaders share responsibility for the maintenance of key client relationships and business development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2006, revenue was earned from over 350 clients, including all of the top 20 pharmaceutical companies as ranked by 2005 revenues.</w:t>
      </w:r>
    </w:p>
    <w:p>
      <w:pPr>
        <w:spacing w:after="0" w:line="285"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We have expanded geographically in order to pursue larger multi-national clinical trials in markets worldwide and have expanded through acquisition to offer a broader range of services. In the year ended December 31, 2006, 58.4% of our net revenue was generated in the United States, 35.8% in Europe and 5.8% in Rest of World.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4"/>
          <w:szCs w:val="14"/>
          <w:color w:val="auto"/>
        </w:rPr>
        <w:t>We have in the past and may in the future derive a significant portion of our net revenue from a relatively limited number of major projects or clients. During the fiscal year ended May 31, 2004, we received 17% of our net revenue from Astra Zeneca. No other client contributed more than 10% of net revenues in the fiscal year ended May 31, 2004. During the fiscal year ended May 31, 2005, we received 12% of our net revenue from Astra Zeneca. No other client contributed more than 10% of net revenues in the fiscal year ended May 31, 2005. In the transition period ended December 31, 2005, no client contributed more than 10% of net revenues. During the year ended December 31, 2006, 35% of our net revenue was derived from our top five clients and no one client contributed more then 10% of net revenues. We believe that the importance of certain clients reflects our success in penetrating our client base. The loss of, or a significant decrease in business from one or more of these key clients could result in a material adverse effect.</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 are generally awarded contracts based upon our response to requests for proposals received from pharmaceutical, biotechnology and medical device industries.</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Most of our revenues are earned from contracts which are fixed price, based on certain activities and performance specifications.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a change order or amendment is issued often resulting in additional revenues for us. We also contract on a "fee-for-service," or "time and materials" basis, but this accounts for a small portion of overall project activities.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Contract terms may range from several weeks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Most of our contracts are terminable immediately by the client with justifiable cause or with 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backlog consists of potential net revenue yet to be earned from projects awarded by clients.</w:t>
      </w:r>
    </w:p>
    <w:p>
      <w:pPr>
        <w:spacing w:after="0" w:line="285"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At December 31, 2006, we had a backlog of approximately $872 million, compared with approximately $633 million at December 31, 2005.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8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i3 Research. (United Health Group Incorporated), Omnicare, Inc., PRA International Inc., MDS Inc, PharmaNet Development Group, Inc. and Pharmaceutical Product Development, Inc. The trend toward CRO industry consolidation has resulted in heightened competition among the larger CROs for clients and acquisition candidates.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Government Regulation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Regulation of Clinical Trials</w:t>
      </w:r>
    </w:p>
    <w:p>
      <w:pPr>
        <w:spacing w:after="0" w:line="285" w:lineRule="exact"/>
        <w:rPr>
          <w:sz w:val="20"/>
          <w:szCs w:val="20"/>
          <w:color w:val="auto"/>
        </w:rPr>
      </w:pPr>
    </w:p>
    <w:p>
      <w:pPr>
        <w:ind w:right="300" w:firstLine="486"/>
        <w:spacing w:after="0" w:line="334" w:lineRule="auto"/>
        <w:rPr>
          <w:sz w:val="20"/>
          <w:szCs w:val="20"/>
          <w:color w:val="auto"/>
        </w:rPr>
      </w:pPr>
      <w:r>
        <w:rPr>
          <w:rFonts w:ascii="Arial" w:cs="Arial" w:eastAsia="Arial" w:hAnsi="Arial"/>
          <w:sz w:val="13"/>
          <w:szCs w:val="13"/>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w:t>
      </w:r>
    </w:p>
    <w:p>
      <w:pPr>
        <w:spacing w:after="0" w:line="20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w:t>
      </w:r>
    </w:p>
    <w:p>
      <w:pPr>
        <w:spacing w:after="0" w:line="243" w:lineRule="exact"/>
        <w:rPr>
          <w:sz w:val="20"/>
          <w:szCs w:val="20"/>
          <w:color w:val="auto"/>
        </w:rPr>
      </w:pPr>
    </w:p>
    <w:p>
      <w:pPr>
        <w:ind w:right="380" w:firstLine="486"/>
        <w:spacing w:after="0" w:line="272" w:lineRule="auto"/>
        <w:rPr>
          <w:sz w:val="20"/>
          <w:szCs w:val="20"/>
          <w:color w:val="auto"/>
        </w:rPr>
      </w:pPr>
      <w:r>
        <w:rPr>
          <w:rFonts w:ascii="Arial" w:cs="Arial" w:eastAsia="Arial" w:hAnsi="Arial"/>
          <w:sz w:val="14"/>
          <w:szCs w:val="14"/>
          <w:color w:val="auto"/>
        </w:rPr>
        <w:t>In providing our services in the United States, we are obligated to comply with FDA requirements governing such activities. These include ensuring that the study is approved by an appropriate independent review board (IRB)/Ethics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 during audits.</w:t>
      </w:r>
    </w:p>
    <w:p>
      <w:pPr>
        <w:spacing w:after="0" w:line="24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4"/>
          <w:szCs w:val="14"/>
          <w:color w:val="auto"/>
        </w:rPr>
        <w:t>The services we provide outside the United States are ultimately subject to similar regulation by the relevant regulatory authority, including the Medicines Control Agency in the United Kingdom and the Bundesinstitut für Arzneimittel und Medizinprodukte in Germany. In addition, our activities in Europe are affected by the European Medicines Evaluation Agency, which is based in London, England.</w:t>
      </w:r>
    </w:p>
    <w:p>
      <w:pPr>
        <w:spacing w:after="0" w:line="239" w:lineRule="exact"/>
        <w:rPr>
          <w:sz w:val="20"/>
          <w:szCs w:val="20"/>
          <w:color w:val="auto"/>
        </w:rPr>
      </w:pPr>
    </w:p>
    <w:p>
      <w:pPr>
        <w:ind w:firstLine="486"/>
        <w:spacing w:after="0" w:line="308" w:lineRule="auto"/>
        <w:rPr>
          <w:sz w:val="20"/>
          <w:szCs w:val="20"/>
          <w:color w:val="auto"/>
        </w:rPr>
      </w:pPr>
      <w:r>
        <w:rPr>
          <w:rFonts w:ascii="Arial" w:cs="Arial" w:eastAsia="Arial" w:hAnsi="Arial"/>
          <w:sz w:val="13"/>
          <w:szCs w:val="13"/>
          <w:color w:val="auto"/>
        </w:rPr>
        <w:t>We must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Liability and Insurance</w:t>
      </w:r>
    </w:p>
    <w:p>
      <w:pPr>
        <w:spacing w:after="0" w:line="289" w:lineRule="exact"/>
        <w:rPr>
          <w:sz w:val="20"/>
          <w:szCs w:val="20"/>
          <w:color w:val="auto"/>
        </w:rPr>
      </w:pPr>
    </w:p>
    <w:p>
      <w:pPr>
        <w:ind w:right="40" w:firstLine="486"/>
        <w:spacing w:after="0" w:line="272" w:lineRule="auto"/>
        <w:rPr>
          <w:sz w:val="20"/>
          <w:szCs w:val="20"/>
          <w:color w:val="auto"/>
        </w:rPr>
      </w:pPr>
      <w:r>
        <w:rPr>
          <w:rFonts w:ascii="Arial" w:cs="Arial" w:eastAsia="Arial" w:hAnsi="Arial"/>
          <w:sz w:val="14"/>
          <w:szCs w:val="14"/>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that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ind w:right="180" w:firstLine="486"/>
        <w:spacing w:after="0" w:line="272" w:lineRule="auto"/>
        <w:rPr>
          <w:sz w:val="20"/>
          <w:szCs w:val="20"/>
          <w:color w:val="auto"/>
        </w:rPr>
      </w:pPr>
      <w:r>
        <w:rPr>
          <w:rFonts w:ascii="Arial" w:cs="Arial" w:eastAsia="Arial" w:hAnsi="Arial"/>
          <w:sz w:val="14"/>
          <w:szCs w:val="14"/>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243" w:lineRule="exact"/>
        <w:rPr>
          <w:sz w:val="20"/>
          <w:szCs w:val="20"/>
          <w:color w:val="auto"/>
        </w:rPr>
      </w:pPr>
    </w:p>
    <w:p>
      <w:pPr>
        <w:ind w:right="20" w:firstLine="486"/>
        <w:spacing w:after="0" w:line="267" w:lineRule="auto"/>
        <w:rPr>
          <w:sz w:val="20"/>
          <w:szCs w:val="20"/>
          <w:color w:val="auto"/>
        </w:rPr>
      </w:pPr>
      <w:r>
        <w:rPr>
          <w:rFonts w:ascii="Arial" w:cs="Arial" w:eastAsia="Arial" w:hAnsi="Arial"/>
          <w:sz w:val="14"/>
          <w:szCs w:val="14"/>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Property</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 lease all but one of our facilities under operating leases.</w:t>
      </w:r>
    </w:p>
    <w:p>
      <w:pPr>
        <w:spacing w:after="0" w:line="285" w:lineRule="exact"/>
        <w:rPr>
          <w:sz w:val="20"/>
          <w:szCs w:val="20"/>
          <w:color w:val="auto"/>
        </w:rPr>
      </w:pPr>
    </w:p>
    <w:p>
      <w:pPr>
        <w:ind w:right="300"/>
        <w:spacing w:after="0" w:line="293" w:lineRule="auto"/>
        <w:rPr>
          <w:sz w:val="20"/>
          <w:szCs w:val="20"/>
          <w:color w:val="auto"/>
        </w:rPr>
      </w:pPr>
      <w:r>
        <w:rPr>
          <w:rFonts w:ascii="Arial" w:cs="Arial" w:eastAsia="Arial" w:hAnsi="Arial"/>
          <w:sz w:val="14"/>
          <w:szCs w:val="14"/>
          <w:color w:val="auto"/>
        </w:rPr>
        <w:t>Our principal executive offices are located in South County Business Park, Leopardstown, Dublin, Republic of Ireland, where we own an office facility of approximately 3,900 square meters on approximately four and a half acres. We currently lease an additional office facility of approximately 2,300 square meters in the same business park.</w:t>
      </w:r>
    </w:p>
    <w:p>
      <w:pPr>
        <w:spacing w:after="0" w:line="228"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In February 2006, we began building an extension to the development which comprises four 4 storey office blocks linked to the existing building. The four additional blocks will extend the premises by approximately 11,900 square meters, bringing the entire development when completed to approximately 15,800 square meters. The new development is due for completion on a phased basis from June 2007 to October 2008.</w:t>
      </w:r>
    </w:p>
    <w:p>
      <w:pPr>
        <w:spacing w:after="0" w:line="239"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We also maintain two U.S. offices in each of the following cities: New York, Chicago, Philadelphia and San Francisco, and one US office in each of the following cities: Irvine, Nashville, Houston, Wilmington, Raleigh, Baltimore, Tampa, San Diego and Salt Lake City. Our European subsidiaries maintain offices in Southampton, Frankfurt, Paris, Moscow, Amsterdam, Marlow, Manchester, Tel Aviv, Stockholm, Riga, Budapest, Milan, Barcelona, Vilinius and Warsaw. Our Rest of World offices are located in Tokyo, Singapore, Sydney, Chennai, Buenos Aires, Johannesburg, Montréal, Hong Kong, Mexico City, Taipei, São Paulo, Bangkok, Seoul, Santiago, Beijing and Bangalore.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w:t>
      </w:r>
      <w:r>
        <w:rPr>
          <w:rFonts w:ascii="Arial" w:cs="Arial" w:eastAsia="Arial" w:hAnsi="Arial"/>
          <w:sz w:val="14"/>
          <w:szCs w:val="14"/>
          <w:b w:val="1"/>
          <w:bCs w:val="1"/>
          <w:i w:val="1"/>
          <w:iCs w:val="1"/>
          <w:color w:val="auto"/>
        </w:rPr>
        <w:t>Operating and Financial Review and Prospects.</w:t>
      </w:r>
    </w:p>
    <w:p>
      <w:pPr>
        <w:spacing w:after="0" w:line="289"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8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4,300 employees, in 49 locations in 30 countries, providing Phase I - IV Clinical Trial Management, Drug Development Support Services, Data Management and Biostatistics and Central Laboratory and Imaging Services. For the year ended December 31, 2006 we derived approximately 58.4%, 35.8% and 5.8% of our net revenue in the United States, Europe and Rest of World, respectively.</w:t>
      </w:r>
    </w:p>
    <w:p>
      <w:pPr>
        <w:spacing w:after="0" w:line="24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Direct costs consist primarily of compensation and associated fringe benefits for project-related employees, other direct project driven costs and share based compensation expense. Selling, general and administrative expenses consist of compensation and related fringe benefits for selling and administrative employees, professional services, advertising costs, all costs related to facilities and information systems and share based compensation expense.</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backlog consists of potential net revenue yet to be earned from projects awarded by clients. At December 31, 2006, we had a backlog of approximately $872 million, compared with approximately $633 million at December 31, 2005.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6 trading in Euros, 3 in pounds Sterling, 2 in Indian Rupee and 1 each in Australian dollars, Singapore dollars, Yen, Israeli New Shekels, Latvian Lats, Swedish Krona, Argentine Peso, South African Rand, Russian Rouble, Canadian dollar, Hungarian Forint, Hong Kong dollar, Taiwan dollar, Mexican Peso, Brazilian Real, Chilean Peso, South Korean Won, Thai Baht, Polish Zloty, Chinese Yuan Renminbi and Lithuanian Litas.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2" w:name="page23"/>
    <w:bookmarkEnd w:id="22"/>
    <w:p>
      <w:pPr>
        <w:jc w:val="both"/>
        <w:spacing w:after="0" w:line="292" w:lineRule="auto"/>
        <w:rPr>
          <w:sz w:val="20"/>
          <w:szCs w:val="20"/>
          <w:color w:val="auto"/>
        </w:rPr>
      </w:pPr>
      <w:r>
        <w:rPr>
          <w:rFonts w:ascii="Arial" w:cs="Arial" w:eastAsia="Arial" w:hAnsi="Arial"/>
          <w:sz w:val="13"/>
          <w:szCs w:val="13"/>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 employee numbers. We have not recognized any loss contingency having assessed as remote the likelihood of these events arising. Up to December 31, 2006, we have received $2,695,280 and $2,003,315 under capital grants and operating grants, respectively. Pursuant to the terms of the grant agreements, we are restricted from distributing some of these amounts by way of dividend or otherwise.</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Results</w:t>
      </w:r>
    </w:p>
    <w:p>
      <w:pPr>
        <w:spacing w:after="0" w:line="289"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Transition</w:t>
            </w:r>
          </w:p>
        </w:tc>
        <w:tc>
          <w:tcPr>
            <w:tcW w:w="12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Transition</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spacing w:after="0"/>
              <w:rPr>
                <w:sz w:val="15"/>
                <w:szCs w:val="15"/>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June 1, 2005</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Jan 1, 2006</w:t>
            </w: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1, 2005</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May 31,</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to Dec 31,</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to Dec 31,</w:t>
            </w: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to Dec 31,</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Jan 1, 2006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2005</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2006</w:t>
            </w: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 2006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4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auto"/>
              </w:rPr>
              <w:t>Percentage Increase/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404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Percentage of Net Revenue</w:t>
            </w:r>
          </w:p>
        </w:tc>
        <w:tc>
          <w:tcPr>
            <w:tcW w:w="1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Net revenue</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(38.2%)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27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55.0%</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56.5%</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56.2%</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43"/>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31.8%</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30.8%</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43"/>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(39.3%)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43"/>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Share based compensation</w:t>
            </w:r>
          </w:p>
        </w:tc>
        <w:tc>
          <w:tcPr>
            <w:tcW w:w="27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w:t>
            </w: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100%</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43"/>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Other charges</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w:t>
            </w:r>
          </w:p>
        </w:tc>
        <w:tc>
          <w:tcPr>
            <w:tcW w:w="12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(100%)</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7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2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5.7%</w:t>
            </w:r>
          </w:p>
        </w:tc>
        <w:tc>
          <w:tcPr>
            <w:tcW w:w="12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5.7%</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w:t>
            </w:r>
          </w:p>
        </w:tc>
        <w:tc>
          <w:tcPr>
            <w:tcW w:w="1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(37.9%)</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60" w:type="dxa"/>
            <w:vAlign w:val="bottom"/>
          </w:tcPr>
          <w:p>
            <w:pPr>
              <w:jc w:val="right"/>
              <w:ind w:right="628"/>
              <w:spacing w:after="0"/>
              <w:rPr>
                <w:sz w:val="20"/>
                <w:szCs w:val="20"/>
                <w:color w:val="auto"/>
              </w:rPr>
            </w:pPr>
            <w:r>
              <w:rPr>
                <w:rFonts w:ascii="Arial" w:cs="Arial" w:eastAsia="Arial" w:hAnsi="Arial"/>
                <w:sz w:val="14"/>
                <w:szCs w:val="14"/>
                <w:color w:val="auto"/>
              </w:rPr>
              <w:t>20</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Year ended December 31, 2006 compared to Seven Month Transition Period Ended December 31, 2005</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below compare a 12 month accounting period ended December 31, 2006 to a 7 month accounting period ended December 31, 2005</w:t>
      </w:r>
    </w:p>
    <w:p>
      <w:pPr>
        <w:spacing w:after="0" w:line="28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Net revenue increased by $253.7 million, or 125.6%, from $201.9 million to $455.6 million. Revenues in the United States, Europe and the Rest of World increased by 125%, 139% and 70% respectively. In the year ended December 31, 2006, net revenue from our central laboratory business increased by 160%, from $18.2 million, to $47.2 million, while our clinical research segment improved by 122%, from $183.8 million to $408.4 million, over the prior period. This increase in net revenue has resulted from a combination of increased business from existing clients, business won from new clients, increased use of outsourcing by the pharmaceutical, biotechnology and medical device industries, an underlying increase in research and development spending and consolidation in the CRO industry.</w:t>
      </w:r>
    </w:p>
    <w:p>
      <w:pPr>
        <w:spacing w:after="0" w:line="246"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Direct costs increased by $142.3 million, or 124.8%, from $114.0 million to $256.3 million. Direct costs as a percentage of net revenue decreased from 56.5% in the seven month transition period ended December 31, 2005, to 56.2% in the year ended December 31, 2006. A comparative period analysis shows an increase in direct costs primarily due to increased staff numbers needed to support increased project related activity. In addition, $2.3m can be attributed to the share based compensation expense arising from the adoption of SFAS123R Share Based Payments in 2006.</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Selling, general and administrative expenses increased by $74.3 million, or 119.3%, from $62.3 million to $136.6 million. As a percentage of net revenue, selling, general and administrative expenses, decreased from 30.8% in the seven month transition period ended December 31, 2005, to 30% for the year ended December 31, 2006. A comparative period analysis shows an increase in SG&amp;A costs due to the continued expansion of our operations. In addition, $1.8m can be attributed to the share based compensation expense arising from the adoption of SFAS123R Share Based Payments in 2006.</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total share based compensation expense during 2006 amounted to $4.1m.</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Depreciation and amortization expense increased by $6.9 million, or 84.7%, from $8.1 million to $14.9 million. As a percentage of net revenue, depreciation and amortization decreased from 4% of net revenues in the seven month transition period ended December 31, 2005, to 3.3% for the year ended December 31, 2006. A comparative period analysis shows an increase in depreciation as a result of continued investment in facilities and information technology to support the growth in activity and in providing for future capacity.</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Income from operations increased by $36.3 million, or 313.9%, from $11.6 million to $47.8 million. As a percentage of net revenue, income from operations increased from 5.7% of net revenues in the seven month transition period ended December 31, 2005, to 10.5% for the year ended December 31, 2006. The year ended December 31, 2006, saw a continued improvement in the performance of the central laboratory business, from a loss from operations, as a percentage of net revenue of 16.7% for the seven month transition period ended December 31, 2005, to an operating profit of 4.9% for the year ended December 31, 2006. The central laboratory constitutes approximately 10.4% of our business revenues for the year ended December 31, 2006. Operating margins for our clinical research segment increased to 11.1% in the year ended December 31, 2006, from 7.9% for the seven month transition period ended December 31, 2005.</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Net interest income for the year ended December 31, 2006, was $3.6 million, an increase of $2.4 million from the seven month transition period ended December 31, 2005. Higher interest rates in 2006 over the 2005 transition period contributed to the increased interest income.</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ICON plc’s effective tax rate for the year ended December 31, 2006, was 25% compared with 42% for the seven month transition period ended December 31, 2005. The decrease in the effective tax rate is due to a number of factors, including the release of $3.04 million of the valuation allowance against the losses forward in ICON Laboratories, Inc. In addition, in the seven month period ended December 31, 2005, there had been a once off tax disallowance of the compensation expense amounting to $6.024 million in respect of the gift of 64,000 and 80,000 ADSs made by Dr. Ronan Lambe and Dr. John Climax to Mr. Peter Gray, the Company’s Chief Executive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color w:val="auto"/>
        </w:rPr>
        <w:t>Seven Month Transition Period Ended December 31, 2005 Compared to Fiscal Year Ended May 31, 2005</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below compare a 7 month accounting period ended December 31, 2005 to a 12 month accounting period ended May 31, 2005.</w:t>
      </w:r>
    </w:p>
    <w:p>
      <w:pPr>
        <w:spacing w:after="0" w:line="28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Net revenue decreased by $124.8 million, or 38.2%, from $326.7 million to $201.9 million. Revenues in the United States, Europe and the Rest of World fell by 36.6%, 44.1% and 14.9% respectively. In the transition period to December 31, 2005, net revenue from our central laboratory business decreased by 28.6% from $25.5 million to $18.2 million, while our clinical research segment declined by 39.0% from $301.2 million to $183.8 million over the prior period. If the figures above were analyzed with a comparative period, they would show a general improvement through a combination of increased business from existing clients, business won from new clients, increased use of outsourcing by the pharmaceutical, biotechnology and medical device industries, an underlying increase in research and development spending and consolidation in the CRO industry.</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Direct costs decreased by $65.7 million, or 36.5%, from $179.7 million to $114.0 million. Direct costs as a percentage of net revenue increased from 55.0% in the twelve months to May 31, 2005 to 56.5% in the 2005 transition period ending December 31, 2005. A comparative period analysis shows an increase in direct costs primarily due to increased staff numbers needed to support increased project related activity.</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Selling, general and administrative expenses decreased by $41.5 million, or 40.0%, from $103.8 million to $62.3 million. As a percentage of net revenue, selling, general and administrative expenses, decreased from 31.8% in the twelve months to May 31, 2005 to 30.8% for the transition period ended December 31, 2005. A comparative period analysis shows an increase in SG&amp;A costs due to the continued expansion of our operations.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Depreciation and amortization expense decreased by $5.2 million, or 39.3%, from $13.3 million to $8.1 million. As a percentage of net revenue, depreciation and amortization decreased from 4.1% of net revenues in the twelve months to May 31, 2005, to 4.0% for the transition period ended December 31, 2005. A comparative period analysis shows an increase in depreciation as a result of continued investment in facilities and information technology to support the growth in activity and in providing for future capacity.</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In the transition period an amount of $6.2 million was expensed in relation to share based compensation (See Item 7: Major Shareholders and Related Party Transactions).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principal items classified as other charges in the year ended May 31, 2005 were asset impairments, computer software write-off and lease termination and exit costs.</w:t>
      </w:r>
    </w:p>
    <w:p>
      <w:pPr>
        <w:spacing w:after="0" w:line="28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Income from operations decreased by $7.0 million, or 37.9%, from $18.6 million to $11.6 million. As a percentage of net revenue, income from operations remained static at 5.7% of net revenues for the transition period ended December 31, 2005 when compared to the twelve months to May 31, 2005. For the transition period ended December 31, 2005, losses from operations, as a percentage of net revenue for the central laboratory decreased to 16.7%, from 59.9%, in the twelve month period ending May 31, 2005. The loss for the year to May 31, 2005 included the effects of other charges. The central laboratory constitutes approximately 9.0% of our business revenues for the period ended December 31, 2005. Operating margins for our clinical research segment decreased to 7.9% in the transition period ended December 31, 2005 from 11.3% for the twelve month period ending May 31, 2005.</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Net interest income for the transition period ended December 31, 2005, was $1.3 million, an increase of $0.3 million on the year ended May 31, 2005. Higher interest rates in the 2005 transition period over fiscal 2005 contributed to the increased interest income.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ICON plc’s effective tax rate for the transition period ended December 31, 2005, was 42.0% compared with 29.9% for the year ended May 31, 2005.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Fiscal Year Ended May 31, 2005 Compared to Fiscal Year Ended May 31, 2004</w:t>
      </w:r>
    </w:p>
    <w:p>
      <w:pPr>
        <w:spacing w:after="0" w:line="28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Net revenue increased by $29.7 million, or 10.0%, from $296.9 million to $326.7 million. This improvement arose through a combination of increased business from existing clients, business won from new clients and revenues from acquisitions not included in the comparative period. The additional revenues from acquisitions amounted to $9.1 million for the fiscal year ended May 31, 2005. Including the impact of acquisition, revenues in the United States, Europe and the Rest of World grew by 0.9%, 20.1% and 73.5%, respectively. In the twelve months to May 31, 2005, net revenue from our central laboratory business decreased by 5.2% from $26.9 million to $25.5 million while our clinical research segment grew by 11.5% from $270.0 million to $301.2 million over the comparable period. The decrease in net revenue in our central laboratory segment is primarily due to lower testing volumes in fiscal 2005.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45" w:lineRule="exact"/>
        <w:rPr>
          <w:sz w:val="20"/>
          <w:szCs w:val="20"/>
          <w:color w:val="auto"/>
        </w:rPr>
      </w:pPr>
    </w:p>
    <w:p>
      <w:pPr>
        <w:jc w:val="both"/>
        <w:spacing w:after="0" w:line="334" w:lineRule="auto"/>
        <w:rPr>
          <w:sz w:val="20"/>
          <w:szCs w:val="20"/>
          <w:color w:val="auto"/>
        </w:rPr>
      </w:pPr>
      <w:r>
        <w:rPr>
          <w:rFonts w:ascii="Arial" w:cs="Arial" w:eastAsia="Arial" w:hAnsi="Arial"/>
          <w:sz w:val="13"/>
          <w:szCs w:val="13"/>
          <w:color w:val="auto"/>
        </w:rPr>
        <w:t>Direct costs increased by $17.1 million, or 10.5%, from $162.6 million to $179.7 million, primarily due to increased staff numbers needed to support increased project related activity and increased costs arising from acquisitions amounting to $4.3 million. Direct costs as a percentage of net revenue increased from 54.7% in the twelve months to May 31, 2004 to 55.0% in fiscal 2005.</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Selling, general and administrative expenses increased by $15.0 million, or 16.9%, from $88.8 million to $103.8 million. The increase in costs is due to the continued expansion of our operations and additional selling, general and administrative costs from acquisition of $3.3 million not included in the comparative period. As a percentage of net revenue, selling, general and administrative expenses, increased from 29.9% in the twelve months to May 31, 2004 to 31.8% for the fiscal year ended May 31, 2005.</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Depreciation and amortization expense increased by $2.1 million, or 19.3%, from $11.2 million to $13.3 million. This increase is due to the continued investment in facilities and information technology to support the growth in activity and in providing for future capacity and increased costs arising from acquisition of $0.4 million. As a percentage of net revenue, depreciation and amortization increased from 3.8% of net revenues in the twelve months to May 31, 2004, to 4.1% for the fiscal year ended May 31, 2005.</w:t>
      </w:r>
    </w:p>
    <w:p>
      <w:pPr>
        <w:spacing w:after="0" w:line="212"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Other charges of $11.3 million were incurred during the year ended May 31, 2005. The principal items classified as other charges include asset impairments, computer software write-off and lease termination and exit costs, as outlined in Note 14 to the Consolidated Financial Statements.</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Income from operations decreased by $15.8 million, or 45.9%, from $34.4 million to $18.6 million, including acquisitions. As a percentage of net revenue, income from operations decreased from 11.6% for the twelve months to May 31, 2004 to 5.7% of net revenues for the fiscal year ended May 31, 2005. For the fiscal year 2005, losses from operations, as a percentage of net revenue for the central laboratory increased to 59.9%, or 25.6% excluding other charges, from 12.2%, in fiscal 2004 due to an expanded cost base. The central laboratory constitutes approximately 7.8% of our business revenues in the year ended May 31, 2005. Operating margins for our clinical research segment decreased from 13.9% in the twelve months to May 31, 2004, to 11.3% for the fiscal year ended May 31, 2005.</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Net interest income for the year ended May 31, 2005, was $1.0 million, an increase of $0.7 million on the year ended May 31, 2004. Higher average level of funds invested and higher interest rates in fiscal 2005 over fiscal 2004 contributed to the increased interest income.</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ICON plc’s effective tax rate for the year ended May 31, 2005, was 29.9% compared with 25.8% for the comparable period in the previous year. The increase in the effective rate was primarily due to a change in the geographic distribution of pre-tax earnings.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8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investigators. The aggregate amount of employee compensation, excluding stock compensation expense, paid by us and our subsidiaries for the two years ended May 31, 2004 and 2005, the seven month transition period ending December 31, 2005 and the year ended December 31, 2006, amounted to $174.5 million, $194.1 million, $121.4 million and $274.6 million, respectively. Investing activities primarily reflect capital expenditures for facilities, information systems enhancements, the purchase of short-term investments and acquisitions.</w:t>
      </w:r>
    </w:p>
    <w:p>
      <w:pPr>
        <w:spacing w:after="0" w:line="22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As of December 31, 2006, our working capital was $160.3 million, compared to $132.3 million at December 31, 2005 and $125.3 million at May 31, 2005.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53 days at December 31, 2006, 65 days at December 31, 2005, and 63 days at May 31, 2005.</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Net cash provided by operating activities was $50.5 million in the year ended December 31, 2006, compared with $13.8 million in the transition period ended December 31, 2005, $25.2 million in fiscal year ended May 31, 2005, and $43.6 million in the fiscal year ended May 31, 2004.</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Net cash used in investing activities was $55.3 million in the year ended December 31, 2006, compared with $16.3 million in the seven month period ended December 31, 2005, $25.7 million in the year ended May 31, 2005 and $47.3 million in the year ended May 31, 2004. The increase in net cash used in the year ended December 31, 2006, over the seven month transition period ended December 31, 2005 is due principally to the commencement of the construction of the new facility head office building located in Dublin, Republic of Ireland, the acquisition of Ovation and the investment in short term investments.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Net cash provided by financing activities was $7.7 million in the year ended December 31, 2006, compared with $6.6 million in the seven month transition period ended December 31, 2005, $0.9 million in the year ended May 31, 2005 and $42.5 million in the fiscal year ended May 31, 2004.</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As a result of these cash flows, cash and cash equivalents increased by $3.5 million in the year ended December 31, 2006 compared to $3.2 million in the transition period ended December 31, 2005, $0.7 million in the year ended May 31, 2005 and $37.4 million in the year ended May 31, 2004.</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short-term bank loan facilities as follows: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ind w:right="80"/>
        <w:spacing w:after="0" w:line="288" w:lineRule="auto"/>
        <w:rPr>
          <w:sz w:val="20"/>
          <w:szCs w:val="20"/>
          <w:color w:val="auto"/>
        </w:rPr>
      </w:pPr>
      <w:r>
        <w:rPr>
          <w:rFonts w:ascii="Arial" w:cs="Arial" w:eastAsia="Arial" w:hAnsi="Arial"/>
          <w:sz w:val="13"/>
          <w:szCs w:val="13"/>
          <w:color w:val="auto"/>
        </w:rPr>
        <w:t>On July 3, 2003, we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favor of each of the banks. The term loan facility bears interest at an annual rate equal to the Banks’ prime rate plus one percent. The multi-currency overdraft facility and the revolving credit facility bear interest at an annual rate equal to the Banks’ prime rate plus three quarters of one percent. ICON plc and its subsidiaries are entitled to make borrowings under a term loan facility of $40 million and a multi currency overdraft facility of $5 million. As at December 31, 2006, $15 million of the term loan facility was available to be drawn down, while the entire $5 million multi currency overdraft had been drawn down. The multi currency overdraft facility will become payable on demand if the Company defaults under its obligations as specified in the loan agreement. The reduction in the term loan facility is due to amortization terms in the facility agreement. The term loan facility will reduce by a further $5 million dollars at six monthly intervals until the facility expires on June 30, 2008. ICON Clinical Research, Inc. (a subsidiary of ICON plc) is entitled to make borrowings under the revolving credit facility of $15 million. As at December 31, 2006, the full amount of this facility was available to be drawn down.</w:t>
      </w:r>
    </w:p>
    <w:p>
      <w:pPr>
        <w:spacing w:after="0" w:line="236"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color w:val="auto"/>
        </w:rPr>
        <w:t>We entered into an overdraft agreement with Allied Irish Banks, plc (“AIB”) whereby the Company guarantees any overdraft of its subsidiary ICON Clinical Research GmbH up to an amount of €120,000 (U.S.$157,645). As of December 31, 2006, the full facility was available to be drawn down.</w:t>
      </w:r>
    </w:p>
    <w:p>
      <w:pPr>
        <w:spacing w:after="0" w:line="228" w:lineRule="exact"/>
        <w:rPr>
          <w:sz w:val="20"/>
          <w:szCs w:val="20"/>
          <w:color w:val="auto"/>
        </w:rPr>
      </w:pPr>
    </w:p>
    <w:p>
      <w:pPr>
        <w:jc w:val="both"/>
        <w:ind w:right="40"/>
        <w:spacing w:after="0" w:line="277" w:lineRule="auto"/>
        <w:rPr>
          <w:sz w:val="20"/>
          <w:szCs w:val="20"/>
          <w:color w:val="auto"/>
        </w:rPr>
      </w:pPr>
      <w:r>
        <w:rPr>
          <w:rFonts w:ascii="Arial" w:cs="Arial" w:eastAsia="Arial" w:hAnsi="Arial"/>
          <w:sz w:val="14"/>
          <w:szCs w:val="14"/>
          <w:color w:val="auto"/>
        </w:rPr>
        <w:t>On July 10, 2006, we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On July 1, 2004, we completed the acquisition of 70% of Beacon Biosciences, Inc. for an initial cash consideration of U.S.$9.9 million.</w:t>
      </w:r>
    </w:p>
    <w:p>
      <w:pPr>
        <w:spacing w:after="0" w:line="285"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On December 1, 2004, we acquired the workforce of Biomines Research Solutions Private Limited for a total cash consideration of U.S. $0.25 million. The workforce is engaged in the business of clinical trial data management and statistical analysis services and has been transferred to our existing Indian operation.</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table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our contractual obligations and commercial commitments as of December 31, 2006: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Less than 1</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 to 3</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 to 5</w:t>
            </w:r>
          </w:p>
        </w:tc>
        <w:tc>
          <w:tcPr>
            <w:tcW w:w="3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More then</w:t>
            </w:r>
          </w:p>
        </w:tc>
      </w:tr>
      <w:tr>
        <w:trPr>
          <w:trHeight w:val="186"/>
        </w:trPr>
        <w:tc>
          <w:tcPr>
            <w:tcW w:w="36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 years</w:t>
            </w:r>
          </w:p>
        </w:tc>
      </w:tr>
      <w:tr>
        <w:trPr>
          <w:trHeight w:val="242"/>
        </w:trPr>
        <w:tc>
          <w:tcPr>
            <w:tcW w:w="3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in millions)</w:t>
            </w: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Capital lease obligations</w:t>
            </w:r>
          </w:p>
        </w:tc>
        <w:tc>
          <w:tcPr>
            <w:tcW w:w="19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4"/>
                <w:szCs w:val="14"/>
                <w:color w:val="auto"/>
              </w:rPr>
              <w:t>Bank credit lines and loans facilities</w:t>
            </w:r>
          </w:p>
        </w:tc>
        <w:tc>
          <w:tcPr>
            <w:tcW w:w="19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obligations</w:t>
            </w:r>
          </w:p>
        </w:tc>
        <w:tc>
          <w:tcPr>
            <w:tcW w:w="19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5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1"/>
                <w:szCs w:val="21"/>
                <w:color w:val="auto"/>
              </w:rPr>
            </w:pPr>
          </w:p>
        </w:tc>
      </w:tr>
      <w:tr>
        <w:trPr>
          <w:trHeight w:val="270"/>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Building construction commitments</w:t>
            </w:r>
          </w:p>
        </w:tc>
        <w:tc>
          <w:tcPr>
            <w:tcW w:w="19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r>
      <w:tr>
        <w:trPr>
          <w:trHeight w:val="237"/>
        </w:trPr>
        <w:tc>
          <w:tcPr>
            <w:tcW w:w="36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(U.S.$ in millions)</w:t>
            </w:r>
          </w:p>
        </w:tc>
        <w:tc>
          <w:tcPr>
            <w:tcW w:w="1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210.8</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Excluding the expenditure in relation to the building construction, we expect to spend approximately $16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89" w:lineRule="exact"/>
        <w:rPr>
          <w:sz w:val="20"/>
          <w:szCs w:val="20"/>
          <w:color w:val="auto"/>
        </w:rPr>
      </w:pPr>
    </w:p>
    <w:p>
      <w:pPr>
        <w:ind w:right="140"/>
        <w:spacing w:after="0" w:line="334" w:lineRule="auto"/>
        <w:rPr>
          <w:sz w:val="20"/>
          <w:szCs w:val="20"/>
          <w:color w:val="auto"/>
        </w:rPr>
      </w:pPr>
      <w:r>
        <w:rPr>
          <w:rFonts w:ascii="Arial" w:cs="Arial" w:eastAsia="Arial" w:hAnsi="Arial"/>
          <w:sz w:val="13"/>
          <w:szCs w:val="13"/>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239" w:lineRule="exact"/>
        <w:rPr>
          <w:sz w:val="20"/>
          <w:szCs w:val="20"/>
          <w:color w:val="auto"/>
        </w:rPr>
      </w:pPr>
    </w:p>
    <w:p>
      <w:pPr>
        <w:ind w:right="60"/>
        <w:spacing w:after="0" w:line="295" w:lineRule="auto"/>
        <w:rPr>
          <w:sz w:val="20"/>
          <w:szCs w:val="20"/>
          <w:color w:val="auto"/>
        </w:rPr>
      </w:pPr>
      <w:r>
        <w:rPr>
          <w:rFonts w:ascii="Arial" w:cs="Arial" w:eastAsia="Arial" w:hAnsi="Arial"/>
          <w:sz w:val="13"/>
          <w:szCs w:val="13"/>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29" w:lineRule="exact"/>
        <w:rPr>
          <w:sz w:val="20"/>
          <w:szCs w:val="20"/>
          <w:color w:val="auto"/>
        </w:rPr>
      </w:pPr>
    </w:p>
    <w:p>
      <w:pPr>
        <w:ind w:right="80"/>
        <w:spacing w:after="0" w:line="295" w:lineRule="auto"/>
        <w:rPr>
          <w:sz w:val="20"/>
          <w:szCs w:val="20"/>
          <w:color w:val="auto"/>
        </w:rPr>
      </w:pPr>
      <w:r>
        <w:rPr>
          <w:rFonts w:ascii="Arial" w:cs="Arial" w:eastAsia="Arial" w:hAnsi="Arial"/>
          <w:sz w:val="13"/>
          <w:szCs w:val="13"/>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285" w:lineRule="exact"/>
        <w:rPr>
          <w:sz w:val="20"/>
          <w:szCs w:val="20"/>
          <w:color w:val="auto"/>
        </w:rPr>
      </w:pPr>
    </w:p>
    <w:p>
      <w:pPr>
        <w:ind w:right="120"/>
        <w:spacing w:after="0" w:line="308" w:lineRule="auto"/>
        <w:rPr>
          <w:sz w:val="20"/>
          <w:szCs w:val="20"/>
          <w:color w:val="auto"/>
        </w:rPr>
      </w:pPr>
      <w:r>
        <w:rPr>
          <w:rFonts w:ascii="Arial" w:cs="Arial" w:eastAsia="Arial" w:hAnsi="Arial"/>
          <w:sz w:val="13"/>
          <w:szCs w:val="13"/>
          <w:color w:val="auto"/>
        </w:rPr>
        <w:t>The principal judgments and uncertainties affecting our accounting for goodwill relate to carrying values. The carrying values of purchased goodwill are assessed annually, using discounted cash flows and net realizable values. The estimates and judgments used to assess carrying values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221" w:lineRule="exact"/>
        <w:rPr>
          <w:sz w:val="20"/>
          <w:szCs w:val="20"/>
          <w:color w:val="auto"/>
        </w:rPr>
      </w:pPr>
    </w:p>
    <w:p>
      <w:pPr>
        <w:ind w:right="420"/>
        <w:spacing w:after="0" w:line="272" w:lineRule="auto"/>
        <w:rPr>
          <w:sz w:val="20"/>
          <w:szCs w:val="20"/>
          <w:color w:val="auto"/>
        </w:rPr>
      </w:pPr>
      <w:r>
        <w:rPr>
          <w:rFonts w:ascii="Arial" w:cs="Arial" w:eastAsia="Arial" w:hAnsi="Arial"/>
          <w:sz w:val="14"/>
          <w:szCs w:val="14"/>
          <w:color w:val="auto"/>
        </w:rPr>
        <w:t>If the implied fair value of reporting unit goodwill is lower then its carrying amount, goodwill is impaired and written down to its implied fair value. If we were to use different estimates or judgments, particularly with respect to expected revenue and cost projections or the impact of any reorganization or change of business focus, a material impairment charge to the statement of operations could arise. We believe that we have used reasonable estimates and judgments in assessing the carrying value of our goodwill. For further information, refer to Note 14 to the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Inflation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effects of inflation generally do not have a material adverse impact on our operations or financial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28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In May 2005, the FASB issued SFAS No. 154, Accounting Changes and Error Correction (SFAS No. 154). SFAS No.154 is a replacement of APB Opinion No. 20, Accounting Changes (APB Opinion No. 20), and SFAS No. 3, Reporting Accounting Changes in Interim Financial Statements. The statement applies to all voluntary changes in accounting principle, and changes the accounting for, and reporting of, a change in accounting principle. SFAS No. 154 requires retrospective application to prior period financial statements of a voluntary change in accounting principle unless it is impracticable to do so. APB Opinion No. 20 previously required that most voluntary changes in accounting principle be recognized by including in net income of the period of the change the cumulative effect of changing to the new accounting principle. SFAS No. 154 carries forward many provisions of APB Opinion No. 20 without change, including the provisions related to the reporting of a change in accounting estimate, and the correction of an error. SFAS No. 154 does not change the provisions of any existing accounting pronouncements, including those that are in a transition phase at the effective date of the statement. The Company adopted the provisions of SFAS No. 154 on January 1, 2006, and the adoption of the new standard did not have a material impact on the Company’s consolidated financial position or results of operations.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In June 2006, the FASB issued FASB Interpretation No. 48, Accounting for Uncertainty in Income Taxes - an interpretation of SFAS 109. This interpretation clarifies the accounting for uncertainty in income taxes recognized in a company’s financial statements in accordance with FASB Statement No.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This interpretation prescribes a recognition threshold and measurement attribute for the financial statement recognition and measurement of the tax position taken in a tax return. It also provides guidance on de-recognition classification, interest and penalties, accounting in interim periods, disclosure and transition. Interpretation No. 48 is effective for fiscal years beginning after December 15, 2006. Earlier application is encouraged if the company has not yet issued financial statements, including interim financial statements, in the period Interpretation No. 48 is adopted. The Company does not expect the adoption of Interpretation No. 48 to have a material impact on the financial statements.</w:t>
      </w:r>
    </w:p>
    <w:p>
      <w:pPr>
        <w:spacing w:after="0" w:line="245" w:lineRule="exact"/>
        <w:rPr>
          <w:sz w:val="20"/>
          <w:szCs w:val="20"/>
          <w:color w:val="auto"/>
        </w:rPr>
      </w:pPr>
    </w:p>
    <w:p>
      <w:pPr>
        <w:ind w:right="80"/>
        <w:spacing w:after="0" w:line="299" w:lineRule="auto"/>
        <w:rPr>
          <w:sz w:val="20"/>
          <w:szCs w:val="20"/>
          <w:color w:val="auto"/>
        </w:rPr>
      </w:pPr>
      <w:r>
        <w:rPr>
          <w:rFonts w:ascii="Arial" w:cs="Arial" w:eastAsia="Arial" w:hAnsi="Arial"/>
          <w:sz w:val="13"/>
          <w:szCs w:val="13"/>
          <w:color w:val="auto"/>
        </w:rPr>
        <w:t>In September 2006, the SEC issued SAB No. 108, Considering the Effects of Prior Year Misstatements when Quantifying Misstatements in Current Year Financial Statements. SAB No. 108 provides guidance on how prior year financial statement misstatements should be considered when quantifying misstatements in current year financial statements for purposes of determining whether the current year’s financial statements are materially misstated. SAB No. 108 is effective for fiscal years ending after November 15, 2006, and as such, the Company adopted SAB No. 108 in the year ended December 31, 2006. The adoption of SAB No. 108 did not have a material impact on the Company’s consolidated results of operations or financial position.</w:t>
      </w: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In March 2005, the Financial Accounting Standards Board (FASB) issued FASB Interpretation No. 47. In accordance with FASB Interpretation 47 companies must recognize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adoption of FASB Interpretation No 47 has not had a material impact on our financial position or results of operations.</w:t>
      </w:r>
    </w:p>
    <w:p>
      <w:pPr>
        <w:spacing w:after="0" w:line="246" w:lineRule="exact"/>
        <w:rPr>
          <w:sz w:val="20"/>
          <w:szCs w:val="20"/>
          <w:color w:val="auto"/>
        </w:rPr>
      </w:pPr>
    </w:p>
    <w:p>
      <w:pPr>
        <w:ind w:right="60"/>
        <w:spacing w:after="0" w:line="292" w:lineRule="auto"/>
        <w:rPr>
          <w:sz w:val="20"/>
          <w:szCs w:val="20"/>
          <w:color w:val="auto"/>
        </w:rPr>
      </w:pPr>
      <w:r>
        <w:rPr>
          <w:rFonts w:ascii="Arial" w:cs="Arial" w:eastAsia="Arial" w:hAnsi="Arial"/>
          <w:sz w:val="13"/>
          <w:szCs w:val="13"/>
          <w:color w:val="auto"/>
        </w:rPr>
        <w:t>In December 2004, the FASB issued Statement No. 123R, "Share-Based Payment” - An Amendment of FASB Statements No. 123 and 95 (“SFAS No.123R”), which is effective for public companies in periods beginning after June 15, 2005. We implemented the standard on January 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requires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adopted the Black-Scholes model to derive fair values.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0" w:right="259" w:bottom="1440" w:gutter="0" w:footer="0" w:header="0"/>
        </w:sectPr>
      </w:pPr>
    </w:p>
    <w:bookmarkStart w:id="30" w:name="page31"/>
    <w:bookmarkEnd w:id="30"/>
    <w:p>
      <w:pPr>
        <w:ind w:right="40"/>
        <w:spacing w:after="0" w:line="299" w:lineRule="auto"/>
        <w:rPr>
          <w:sz w:val="20"/>
          <w:szCs w:val="20"/>
          <w:color w:val="auto"/>
        </w:rPr>
      </w:pPr>
      <w:r>
        <w:rPr>
          <w:rFonts w:ascii="Arial" w:cs="Arial" w:eastAsia="Arial" w:hAnsi="Arial"/>
          <w:sz w:val="13"/>
          <w:szCs w:val="13"/>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The adoption of SFAS No. 151 has not had a material impact on our financial position or results of operations.</w:t>
      </w:r>
    </w:p>
    <w:p>
      <w:pPr>
        <w:spacing w:after="0" w:line="227"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adoption of SFAS No. 153 has not had a material impact on our financial position or results of operations.</w:t>
      </w:r>
    </w:p>
    <w:p>
      <w:pPr>
        <w:spacing w:after="0" w:line="245"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unrealized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4" w:right="29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 xml:space="preserve">Item 6. </w:t>
      </w:r>
      <w:r>
        <w:rPr>
          <w:rFonts w:ascii="Arial" w:cs="Arial" w:eastAsia="Arial" w:hAnsi="Arial"/>
          <w:sz w:val="14"/>
          <w:szCs w:val="14"/>
          <w:b w:val="1"/>
          <w:bCs w:val="1"/>
          <w:i w:val="1"/>
          <w:iCs w:val="1"/>
          <w:color w:val="auto"/>
        </w:rPr>
        <w:t>Directors, Senior Management and Employees.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Senior Management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and accompanying biographies set forth certain information concerning each of ICON plc’s directors, officers and other key employees as of December 31, 2006.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Age</w:t>
            </w:r>
          </w:p>
        </w:tc>
        <w:tc>
          <w:tcPr>
            <w:tcW w:w="8840" w:type="dxa"/>
            <w:vAlign w:val="bottom"/>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169"/>
        </w:trPr>
        <w:tc>
          <w:tcPr>
            <w:tcW w:w="20" w:type="dxa"/>
            <w:vAlign w:val="bottom"/>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Dr. John Climax (1)(5)</w:t>
            </w: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54</w:t>
            </w:r>
          </w:p>
        </w:tc>
        <w:tc>
          <w:tcPr>
            <w:tcW w:w="88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Executive Chairman of the Board, Director</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Peter Gray (1)(5)</w:t>
            </w:r>
          </w:p>
        </w:tc>
        <w:tc>
          <w:tcPr>
            <w:tcW w:w="740" w:type="dxa"/>
            <w:vAlign w:val="bottom"/>
          </w:tcPr>
          <w:p>
            <w:pPr>
              <w:ind w:left="340"/>
              <w:spacing w:after="0"/>
              <w:rPr>
                <w:sz w:val="20"/>
                <w:szCs w:val="20"/>
                <w:color w:val="auto"/>
              </w:rPr>
            </w:pPr>
            <w:r>
              <w:rPr>
                <w:rFonts w:ascii="Arial" w:cs="Arial" w:eastAsia="Arial" w:hAnsi="Arial"/>
                <w:sz w:val="14"/>
                <w:szCs w:val="14"/>
                <w:color w:val="auto"/>
              </w:rPr>
              <w:t>52</w:t>
            </w:r>
          </w:p>
        </w:tc>
        <w:tc>
          <w:tcPr>
            <w:tcW w:w="8840" w:type="dxa"/>
            <w:vAlign w:val="bottom"/>
          </w:tcPr>
          <w:p>
            <w:pPr>
              <w:ind w:left="160"/>
              <w:spacing w:after="0"/>
              <w:rPr>
                <w:sz w:val="20"/>
                <w:szCs w:val="20"/>
                <w:color w:val="auto"/>
              </w:rPr>
            </w:pPr>
            <w:r>
              <w:rPr>
                <w:rFonts w:ascii="Arial" w:cs="Arial" w:eastAsia="Arial" w:hAnsi="Arial"/>
                <w:sz w:val="14"/>
                <w:szCs w:val="14"/>
                <w:color w:val="auto"/>
              </w:rPr>
              <w:t>Chief Executive Officer, Director</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Ciaran Murray (1)(5)</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44</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Financial Officer</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Sean Leech (1)</w:t>
            </w:r>
          </w:p>
        </w:tc>
        <w:tc>
          <w:tcPr>
            <w:tcW w:w="740" w:type="dxa"/>
            <w:vAlign w:val="bottom"/>
          </w:tcPr>
          <w:p>
            <w:pPr>
              <w:ind w:left="340"/>
              <w:spacing w:after="0"/>
              <w:rPr>
                <w:sz w:val="20"/>
                <w:szCs w:val="20"/>
                <w:color w:val="auto"/>
              </w:rPr>
            </w:pPr>
            <w:r>
              <w:rPr>
                <w:rFonts w:ascii="Arial" w:cs="Arial" w:eastAsia="Arial" w:hAnsi="Arial"/>
                <w:sz w:val="14"/>
                <w:szCs w:val="14"/>
                <w:color w:val="auto"/>
              </w:rPr>
              <w:t>36</w:t>
            </w:r>
          </w:p>
        </w:tc>
        <w:tc>
          <w:tcPr>
            <w:tcW w:w="8840" w:type="dxa"/>
            <w:vAlign w:val="bottom"/>
          </w:tcPr>
          <w:p>
            <w:pPr>
              <w:ind w:left="160"/>
              <w:spacing w:after="0"/>
              <w:rPr>
                <w:sz w:val="20"/>
                <w:szCs w:val="20"/>
                <w:color w:val="auto"/>
              </w:rPr>
            </w:pPr>
            <w:r>
              <w:rPr>
                <w:rFonts w:ascii="Arial" w:cs="Arial" w:eastAsia="Arial" w:hAnsi="Arial"/>
                <w:sz w:val="14"/>
                <w:szCs w:val="14"/>
                <w:color w:val="auto"/>
              </w:rPr>
              <w:t>Executive Vice President Commercial and Organization Development</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Dr. Ronan Lambe (5)</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67</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Director</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Thomas Lynch (2)(3)(4)</w:t>
            </w:r>
          </w:p>
        </w:tc>
        <w:tc>
          <w:tcPr>
            <w:tcW w:w="740" w:type="dxa"/>
            <w:vAlign w:val="bottom"/>
          </w:tcPr>
          <w:p>
            <w:pPr>
              <w:ind w:left="340"/>
              <w:spacing w:after="0"/>
              <w:rPr>
                <w:sz w:val="20"/>
                <w:szCs w:val="20"/>
                <w:color w:val="auto"/>
              </w:rPr>
            </w:pPr>
            <w:r>
              <w:rPr>
                <w:rFonts w:ascii="Arial" w:cs="Arial" w:eastAsia="Arial" w:hAnsi="Arial"/>
                <w:sz w:val="14"/>
                <w:szCs w:val="14"/>
                <w:color w:val="auto"/>
              </w:rPr>
              <w:t>50</w:t>
            </w:r>
          </w:p>
        </w:tc>
        <w:tc>
          <w:tcPr>
            <w:tcW w:w="8840" w:type="dxa"/>
            <w:vAlign w:val="bottom"/>
          </w:tcPr>
          <w:p>
            <w:pPr>
              <w:ind w:left="160"/>
              <w:spacing w:after="0"/>
              <w:rPr>
                <w:sz w:val="20"/>
                <w:szCs w:val="20"/>
                <w:color w:val="auto"/>
              </w:rPr>
            </w:pPr>
            <w:r>
              <w:rPr>
                <w:rFonts w:ascii="Arial" w:cs="Arial" w:eastAsia="Arial" w:hAnsi="Arial"/>
                <w:sz w:val="14"/>
                <w:szCs w:val="14"/>
                <w:color w:val="auto"/>
              </w:rPr>
              <w:t>Director</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Edward Roberts (2)(3)(4)</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72</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Director</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Shuji Higuchi</w:t>
            </w:r>
          </w:p>
        </w:tc>
        <w:tc>
          <w:tcPr>
            <w:tcW w:w="740" w:type="dxa"/>
            <w:vAlign w:val="bottom"/>
          </w:tcPr>
          <w:p>
            <w:pPr>
              <w:ind w:left="340"/>
              <w:spacing w:after="0"/>
              <w:rPr>
                <w:sz w:val="20"/>
                <w:szCs w:val="20"/>
                <w:color w:val="auto"/>
              </w:rPr>
            </w:pPr>
            <w:r>
              <w:rPr>
                <w:rFonts w:ascii="Arial" w:cs="Arial" w:eastAsia="Arial" w:hAnsi="Arial"/>
                <w:sz w:val="14"/>
                <w:szCs w:val="14"/>
                <w:color w:val="auto"/>
              </w:rPr>
              <w:t>66</w:t>
            </w:r>
          </w:p>
        </w:tc>
        <w:tc>
          <w:tcPr>
            <w:tcW w:w="8840" w:type="dxa"/>
            <w:vAlign w:val="bottom"/>
          </w:tcPr>
          <w:p>
            <w:pPr>
              <w:ind w:left="160"/>
              <w:spacing w:after="0"/>
              <w:rPr>
                <w:sz w:val="20"/>
                <w:szCs w:val="20"/>
                <w:color w:val="auto"/>
              </w:rPr>
            </w:pPr>
            <w:r>
              <w:rPr>
                <w:rFonts w:ascii="Arial" w:cs="Arial" w:eastAsia="Arial" w:hAnsi="Arial"/>
                <w:sz w:val="14"/>
                <w:szCs w:val="14"/>
                <w:color w:val="auto"/>
              </w:rPr>
              <w:t>Director</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Dr. Bruce Given (2)(3)(4)</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52</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Director</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William Taaffe</w:t>
            </w:r>
          </w:p>
        </w:tc>
        <w:tc>
          <w:tcPr>
            <w:tcW w:w="740" w:type="dxa"/>
            <w:vAlign w:val="bottom"/>
          </w:tcPr>
          <w:p>
            <w:pPr>
              <w:ind w:left="340"/>
              <w:spacing w:after="0"/>
              <w:rPr>
                <w:sz w:val="20"/>
                <w:szCs w:val="20"/>
                <w:color w:val="auto"/>
              </w:rPr>
            </w:pPr>
            <w:r>
              <w:rPr>
                <w:rFonts w:ascii="Arial" w:cs="Arial" w:eastAsia="Arial" w:hAnsi="Arial"/>
                <w:sz w:val="14"/>
                <w:szCs w:val="14"/>
                <w:color w:val="auto"/>
              </w:rPr>
              <w:t>58</w:t>
            </w:r>
          </w:p>
        </w:tc>
        <w:tc>
          <w:tcPr>
            <w:tcW w:w="8840" w:type="dxa"/>
            <w:vAlign w:val="bottom"/>
          </w:tcPr>
          <w:p>
            <w:pPr>
              <w:ind w:left="160"/>
              <w:spacing w:after="0"/>
              <w:rPr>
                <w:sz w:val="20"/>
                <w:szCs w:val="20"/>
                <w:color w:val="auto"/>
              </w:rPr>
            </w:pPr>
            <w:r>
              <w:rPr>
                <w:rFonts w:ascii="Arial" w:cs="Arial" w:eastAsia="Arial" w:hAnsi="Arial"/>
                <w:sz w:val="14"/>
                <w:szCs w:val="14"/>
                <w:color w:val="auto"/>
              </w:rPr>
              <w:t>President Corporate Development</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Dr. John Hubbard</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50</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President and Chief Operating Officer, ICON Clinical Research - U.S.</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Dr. Peter Sowood</w:t>
            </w:r>
          </w:p>
        </w:tc>
        <w:tc>
          <w:tcPr>
            <w:tcW w:w="740" w:type="dxa"/>
            <w:vAlign w:val="bottom"/>
          </w:tcPr>
          <w:p>
            <w:pPr>
              <w:ind w:left="340"/>
              <w:spacing w:after="0"/>
              <w:rPr>
                <w:sz w:val="20"/>
                <w:szCs w:val="20"/>
                <w:color w:val="auto"/>
              </w:rPr>
            </w:pPr>
            <w:r>
              <w:rPr>
                <w:rFonts w:ascii="Arial" w:cs="Arial" w:eastAsia="Arial" w:hAnsi="Arial"/>
                <w:sz w:val="14"/>
                <w:szCs w:val="14"/>
                <w:color w:val="auto"/>
              </w:rPr>
              <w:t>53</w:t>
            </w:r>
          </w:p>
        </w:tc>
        <w:tc>
          <w:tcPr>
            <w:tcW w:w="8840" w:type="dxa"/>
            <w:vAlign w:val="bottom"/>
          </w:tcPr>
          <w:p>
            <w:pPr>
              <w:ind w:left="160"/>
              <w:spacing w:after="0"/>
              <w:rPr>
                <w:sz w:val="20"/>
                <w:szCs w:val="20"/>
                <w:color w:val="auto"/>
              </w:rPr>
            </w:pPr>
            <w:r>
              <w:rPr>
                <w:rFonts w:ascii="Arial" w:cs="Arial" w:eastAsia="Arial" w:hAnsi="Arial"/>
                <w:sz w:val="14"/>
                <w:szCs w:val="14"/>
                <w:color w:val="auto"/>
              </w:rPr>
              <w:t>President of ICON Clinical Research - Europe</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Robert Scott-Edwards</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53</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President of ICON Laboratories</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Dr. Dan Weng</w:t>
            </w:r>
          </w:p>
        </w:tc>
        <w:tc>
          <w:tcPr>
            <w:tcW w:w="740" w:type="dxa"/>
            <w:vAlign w:val="bottom"/>
          </w:tcPr>
          <w:p>
            <w:pPr>
              <w:ind w:left="340"/>
              <w:spacing w:after="0"/>
              <w:rPr>
                <w:sz w:val="20"/>
                <w:szCs w:val="20"/>
                <w:color w:val="auto"/>
              </w:rPr>
            </w:pPr>
            <w:r>
              <w:rPr>
                <w:rFonts w:ascii="Arial" w:cs="Arial" w:eastAsia="Arial" w:hAnsi="Arial"/>
                <w:sz w:val="14"/>
                <w:szCs w:val="14"/>
                <w:color w:val="auto"/>
              </w:rPr>
              <w:t>44</w:t>
            </w:r>
          </w:p>
        </w:tc>
        <w:tc>
          <w:tcPr>
            <w:tcW w:w="8840" w:type="dxa"/>
            <w:vAlign w:val="bottom"/>
          </w:tcPr>
          <w:p>
            <w:pPr>
              <w:ind w:left="160"/>
              <w:spacing w:after="0"/>
              <w:rPr>
                <w:sz w:val="20"/>
                <w:szCs w:val="20"/>
                <w:color w:val="auto"/>
              </w:rPr>
            </w:pPr>
            <w:r>
              <w:rPr>
                <w:rFonts w:ascii="Arial" w:cs="Arial" w:eastAsia="Arial" w:hAnsi="Arial"/>
                <w:sz w:val="14"/>
                <w:szCs w:val="14"/>
                <w:color w:val="auto"/>
              </w:rPr>
              <w:t>President of ICON Clinical Research - Rest of World</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Dr. Thomas Frey</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54</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President Strategic Drug Development</w:t>
            </w:r>
          </w:p>
        </w:tc>
      </w:tr>
      <w:tr>
        <w:trPr>
          <w:trHeight w:val="176"/>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Josephine Coyle</w:t>
            </w:r>
          </w:p>
        </w:tc>
        <w:tc>
          <w:tcPr>
            <w:tcW w:w="740" w:type="dxa"/>
            <w:vAlign w:val="bottom"/>
          </w:tcPr>
          <w:p>
            <w:pPr>
              <w:ind w:left="340"/>
              <w:spacing w:after="0"/>
              <w:rPr>
                <w:sz w:val="20"/>
                <w:szCs w:val="20"/>
                <w:color w:val="auto"/>
              </w:rPr>
            </w:pPr>
            <w:r>
              <w:rPr>
                <w:rFonts w:ascii="Arial" w:cs="Arial" w:eastAsia="Arial" w:hAnsi="Arial"/>
                <w:sz w:val="14"/>
                <w:szCs w:val="14"/>
                <w:color w:val="auto"/>
              </w:rPr>
              <w:t>49</w:t>
            </w:r>
          </w:p>
        </w:tc>
        <w:tc>
          <w:tcPr>
            <w:tcW w:w="8840" w:type="dxa"/>
            <w:vAlign w:val="bottom"/>
          </w:tcPr>
          <w:p>
            <w:pPr>
              <w:ind w:left="160"/>
              <w:spacing w:after="0"/>
              <w:rPr>
                <w:sz w:val="20"/>
                <w:szCs w:val="20"/>
                <w:color w:val="auto"/>
              </w:rPr>
            </w:pPr>
            <w:r>
              <w:rPr>
                <w:rFonts w:ascii="Arial" w:cs="Arial" w:eastAsia="Arial" w:hAnsi="Arial"/>
                <w:sz w:val="14"/>
                <w:szCs w:val="14"/>
                <w:color w:val="auto"/>
              </w:rPr>
              <w:t>Vice President for Corporate Quality Assurance</w:t>
            </w:r>
          </w:p>
        </w:tc>
      </w:tr>
      <w:tr>
        <w:trPr>
          <w:trHeight w:val="176"/>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Malcolm Burgess</w:t>
            </w: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55</w:t>
            </w:r>
          </w:p>
        </w:tc>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Operating Officer, U.S. Operations</w:t>
            </w:r>
          </w:p>
        </w:tc>
      </w:tr>
      <w:tr>
        <w:trPr>
          <w:trHeight w:val="176"/>
        </w:trPr>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Alan Morgan</w:t>
            </w: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42</w:t>
            </w:r>
          </w:p>
        </w:tc>
        <w:tc>
          <w:tcPr>
            <w:tcW w:w="8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Vice President, Process Development</w:t>
            </w:r>
          </w:p>
        </w:tc>
      </w:tr>
    </w:tbl>
    <w:p>
      <w:pPr>
        <w:spacing w:after="0" w:line="17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Executive Officer of the Company.</w:t>
      </w:r>
    </w:p>
    <w:p>
      <w:pPr>
        <w:spacing w:after="0" w:line="21"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4"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4"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Nomination Committee.</w:t>
      </w:r>
    </w:p>
    <w:p>
      <w:pPr>
        <w:spacing w:after="0" w:line="14"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 of Executive Committee.</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Dr. John Climax</w:t>
      </w:r>
      <w:r>
        <w:rPr>
          <w:rFonts w:ascii="Arial" w:cs="Arial" w:eastAsia="Arial" w:hAnsi="Arial"/>
          <w:sz w:val="14"/>
          <w:szCs w:val="14"/>
          <w:color w:val="auto"/>
        </w:rPr>
        <w:t>, one of the Company’s co-founders, has served as a director of the Company and its subsidiaries since June 1990. Dr. Climax served as Chief Executive Officer from June 1990 to</w:t>
      </w:r>
      <w:r>
        <w:rPr>
          <w:rFonts w:ascii="Arial" w:cs="Arial" w:eastAsia="Arial" w:hAnsi="Arial"/>
          <w:sz w:val="14"/>
          <w:szCs w:val="14"/>
          <w:i w:val="1"/>
          <w:iCs w:val="1"/>
          <w:color w:val="auto"/>
        </w:rPr>
        <w:t xml:space="preserve"> </w:t>
      </w:r>
      <w:r>
        <w:rPr>
          <w:rFonts w:ascii="Arial" w:cs="Arial" w:eastAsia="Arial" w:hAnsi="Arial"/>
          <w:sz w:val="14"/>
          <w:szCs w:val="14"/>
          <w:color w:val="auto"/>
        </w:rPr>
        <w:t>October 2002 and was appointed Executive Chairman of the Board in November 2002. Dr. Climax has over 21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i w:val="1"/>
          <w:iCs w:val="1"/>
          <w:color w:val="auto"/>
        </w:rPr>
        <w:t xml:space="preserve">Peter Gray </w:t>
      </w:r>
      <w:r>
        <w:rPr>
          <w:rFonts w:ascii="Arial" w:cs="Arial" w:eastAsia="Arial" w:hAnsi="Arial"/>
          <w:sz w:val="13"/>
          <w:szCs w:val="13"/>
          <w:color w:val="auto"/>
        </w:rPr>
        <w:t>has served as the Chief Executive Officer of ICON and its subsidiaries since November 2002. He served as the Group Chief Operating Officer of ICON and its subsidiaries from June</w:t>
      </w:r>
      <w:r>
        <w:rPr>
          <w:rFonts w:ascii="Arial" w:cs="Arial" w:eastAsia="Arial" w:hAnsi="Arial"/>
          <w:sz w:val="13"/>
          <w:szCs w:val="13"/>
          <w:i w:val="1"/>
          <w:iCs w:val="1"/>
          <w:color w:val="auto"/>
        </w:rPr>
        <w:t xml:space="preserve"> </w:t>
      </w:r>
      <w:r>
        <w:rPr>
          <w:rFonts w:ascii="Arial" w:cs="Arial" w:eastAsia="Arial" w:hAnsi="Arial"/>
          <w:sz w:val="13"/>
          <w:szCs w:val="13"/>
          <w:color w:val="auto"/>
        </w:rPr>
        <w:t>2001, and was Chief Financial Officer from June 1997 to June 2001. He has been a director of the Company since June 1997. Mr. Gray has over 16 years experience in the pharmaceutical services industry and has also worked in the engineering and food sectors. Mr. Gray received a degree in Law from Trinity College Dublin in 1977 and became a chartered accountant in 1980.</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Ciaran Murray </w:t>
      </w:r>
      <w:r>
        <w:rPr>
          <w:rFonts w:ascii="Arial" w:cs="Arial" w:eastAsia="Arial" w:hAnsi="Arial"/>
          <w:sz w:val="14"/>
          <w:szCs w:val="14"/>
          <w:color w:val="auto"/>
        </w:rPr>
        <w:t>was appointed as Chief Financial Officer of ICON and its subsidiaries in October 2005. Mr. Murray developed his experience in senior financial positions in the technology and food</w:t>
      </w:r>
      <w:r>
        <w:rPr>
          <w:rFonts w:ascii="Arial" w:cs="Arial" w:eastAsia="Arial" w:hAnsi="Arial"/>
          <w:sz w:val="14"/>
          <w:szCs w:val="14"/>
          <w:i w:val="1"/>
          <w:iCs w:val="1"/>
          <w:color w:val="auto"/>
        </w:rPr>
        <w:t xml:space="preserve"> </w:t>
      </w:r>
      <w:r>
        <w:rPr>
          <w:rFonts w:ascii="Arial" w:cs="Arial" w:eastAsia="Arial" w:hAnsi="Arial"/>
          <w:sz w:val="14"/>
          <w:szCs w:val="14"/>
          <w:color w:val="auto"/>
        </w:rPr>
        <w:t>sectors, in such companies as Kraft foods and Novell. Prior to joining ICON, Mr. Murray served as the CFO of Codec Systems from 1999 to 2005, a technology company headquartered in Ireland. Mr. Murray is a business graduate of University College Dublin. He trained as a chartered accountant with PricewaterhouseCoopers and is a Fellow of the Institute of Chartered Accountants in Ireland.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4"/>
          <w:szCs w:val="14"/>
          <w:i w:val="1"/>
          <w:iCs w:val="1"/>
          <w:color w:val="auto"/>
        </w:rPr>
        <w:t xml:space="preserve">Sean Leech </w:t>
      </w:r>
      <w:r>
        <w:rPr>
          <w:rFonts w:ascii="Arial" w:cs="Arial" w:eastAsia="Arial" w:hAnsi="Arial"/>
          <w:sz w:val="14"/>
          <w:szCs w:val="14"/>
          <w:color w:val="auto"/>
        </w:rPr>
        <w:t>has served as Executive Vice President Commercial and Organization Development since October 2005. In this role Mr. Leech is responsible for providing support and assistance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divisions of the Company as they grow and develop. Prior to this Mr. Leech served as the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Dr. Ronan Lambe</w:t>
      </w:r>
      <w:r>
        <w:rPr>
          <w:rFonts w:ascii="Arial" w:cs="Arial" w:eastAsia="Arial" w:hAnsi="Arial"/>
          <w:sz w:val="14"/>
          <w:szCs w:val="14"/>
          <w:color w:val="auto"/>
        </w:rPr>
        <w:t>, one of the Company’s co-founders, served as Chairman of the Board of the Company from June 1990 to November 2002. Dr. Lambe has over 24 years of experience in the</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Thomas Lynch </w:t>
      </w:r>
      <w:r>
        <w:rPr>
          <w:rFonts w:ascii="Arial" w:cs="Arial" w:eastAsia="Arial" w:hAnsi="Arial"/>
          <w:sz w:val="14"/>
          <w:szCs w:val="14"/>
          <w:color w:val="auto"/>
        </w:rPr>
        <w:t>has served as an outside director of the Company since January 1996. Mr. Lynch served as a director of Nanogen Inc., from 1996 to 2000. Mr. Lynch is currently the Chairman of</w:t>
      </w:r>
      <w:r>
        <w:rPr>
          <w:rFonts w:ascii="Arial" w:cs="Arial" w:eastAsia="Arial" w:hAnsi="Arial"/>
          <w:sz w:val="14"/>
          <w:szCs w:val="14"/>
          <w:i w:val="1"/>
          <w:iCs w:val="1"/>
          <w:color w:val="auto"/>
        </w:rPr>
        <w:t xml:space="preserve"> </w:t>
      </w:r>
      <w:r>
        <w:rPr>
          <w:rFonts w:ascii="Arial" w:cs="Arial" w:eastAsia="Arial" w:hAnsi="Arial"/>
          <w:sz w:val="14"/>
          <w:szCs w:val="14"/>
          <w:color w:val="auto"/>
        </w:rPr>
        <w:t>Amarin Corporation plc, a director of Royal Opera House (Covent Garden) and a non-executive director of IDA Ireland. In the period from May 1993 to July 2004, 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i w:val="1"/>
          <w:iCs w:val="1"/>
          <w:color w:val="auto"/>
        </w:rPr>
        <w:t xml:space="preserve">Edward Roberts </w:t>
      </w:r>
      <w:r>
        <w:rPr>
          <w:rFonts w:ascii="Arial" w:cs="Arial" w:eastAsia="Arial" w:hAnsi="Arial"/>
          <w:sz w:val="13"/>
          <w:szCs w:val="13"/>
          <w:color w:val="auto"/>
        </w:rPr>
        <w:t>has served as an outside director of the Company since February 1998. Mr. Roberts was Managing Director of the Pharmaceutical Division of Merck KGaA from 1990 to 1998.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that, he held a number of senior management positions with Eli Lilly International in Europe and the United States. Mr. Roberts has over 40 years of experience in the pharmaceutical industry. He has been a partner in Global Health Care Partners since June 1998, and also serves as Chairman of Biopartners and Chairman of the Advisory Board of Merz &amp; Co. GmbH.</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Mr. Shuji Higuchi </w:t>
      </w:r>
      <w:r>
        <w:rPr>
          <w:rFonts w:ascii="Arial" w:cs="Arial" w:eastAsia="Arial" w:hAnsi="Arial"/>
          <w:sz w:val="14"/>
          <w:szCs w:val="14"/>
          <w:color w:val="auto"/>
        </w:rPr>
        <w:t>has served as an outside director of the Company since September 2004. Dr. Higuchi has over 40 years of experience in the pharmaceutical industry. Dr. Higuchi is currently</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 of R&amp;D and Corporate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23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i w:val="1"/>
          <w:iCs w:val="1"/>
          <w:color w:val="auto"/>
        </w:rPr>
        <w:t xml:space="preserve">Dr. Bruce Given </w:t>
      </w:r>
      <w:r>
        <w:rPr>
          <w:rFonts w:ascii="Arial" w:cs="Arial" w:eastAsia="Arial" w:hAnsi="Arial"/>
          <w:sz w:val="14"/>
          <w:szCs w:val="14"/>
          <w:color w:val="auto"/>
        </w:rPr>
        <w:t>has served as an outside director of the Company since September 2004. Since March 2002, he has served as President and Chief Executive Officer of Encysive Pharmaceuticals</w:t>
      </w:r>
      <w:r>
        <w:rPr>
          <w:rFonts w:ascii="Arial" w:cs="Arial" w:eastAsia="Arial" w:hAnsi="Arial"/>
          <w:sz w:val="14"/>
          <w:szCs w:val="14"/>
          <w:i w:val="1"/>
          <w:iCs w:val="1"/>
          <w:color w:val="auto"/>
        </w:rPr>
        <w:t xml:space="preserve"> </w:t>
      </w:r>
      <w:r>
        <w:rPr>
          <w:rFonts w:ascii="Arial" w:cs="Arial" w:eastAsia="Arial" w:hAnsi="Arial"/>
          <w:sz w:val="14"/>
          <w:szCs w:val="14"/>
          <w:color w:val="auto"/>
        </w:rPr>
        <w:t>Inc. Previously, Dr. Given has held various positions in Johnson &amp; Johnson group companies. Dr. Given obtained his doctorate from the University of Chicago in 1980.</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William Taaffe </w:t>
      </w:r>
      <w:r>
        <w:rPr>
          <w:rFonts w:ascii="Arial" w:cs="Arial" w:eastAsia="Arial" w:hAnsi="Arial"/>
          <w:sz w:val="14"/>
          <w:szCs w:val="14"/>
          <w:color w:val="auto"/>
        </w:rPr>
        <w:t>has served as President Corporate Development since April 2005. Prior to this Mr. Taaffe served as President and Chief Executive Officer of ICON Clinical Research - U.S. since</w:t>
      </w:r>
      <w:r>
        <w:rPr>
          <w:rFonts w:ascii="Arial" w:cs="Arial" w:eastAsia="Arial" w:hAnsi="Arial"/>
          <w:sz w:val="14"/>
          <w:szCs w:val="14"/>
          <w:i w:val="1"/>
          <w:iCs w:val="1"/>
          <w:color w:val="auto"/>
        </w:rPr>
        <w:t xml:space="preserve"> </w:t>
      </w:r>
      <w:r>
        <w:rPr>
          <w:rFonts w:ascii="Arial" w:cs="Arial" w:eastAsia="Arial" w:hAnsi="Arial"/>
          <w:sz w:val="14"/>
          <w:szCs w:val="14"/>
          <w:color w:val="auto"/>
        </w:rPr>
        <w:t>1993. Mr. Taaffe has over 30 years of experience in the contract research and pharmaceutical industries in Ireland, Canada and the United States. Mr. Taaffe received his bachelor of science degree in 1970 from University College Dublin.</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Dr. John W. Hubbard </w:t>
      </w:r>
      <w:r>
        <w:rPr>
          <w:rFonts w:ascii="Arial" w:cs="Arial" w:eastAsia="Arial" w:hAnsi="Arial"/>
          <w:sz w:val="14"/>
          <w:szCs w:val="14"/>
          <w:color w:val="auto"/>
        </w:rPr>
        <w:t>has served as President of ICON Clinical Research - U.S. since April 2005 and currently also serves as Chief Operating Officer, U.S Operations, a position he has held since</w:t>
      </w:r>
      <w:r>
        <w:rPr>
          <w:rFonts w:ascii="Arial" w:cs="Arial" w:eastAsia="Arial" w:hAnsi="Arial"/>
          <w:sz w:val="14"/>
          <w:szCs w:val="14"/>
          <w:i w:val="1"/>
          <w:iCs w:val="1"/>
          <w:color w:val="auto"/>
        </w:rPr>
        <w:t xml:space="preserve"> </w:t>
      </w:r>
      <w:r>
        <w:rPr>
          <w:rFonts w:ascii="Arial" w:cs="Arial" w:eastAsia="Arial" w:hAnsi="Arial"/>
          <w:sz w:val="14"/>
          <w:szCs w:val="14"/>
          <w:color w:val="auto"/>
        </w:rPr>
        <w:t>October 1999.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4"/>
          <w:szCs w:val="14"/>
          <w:i w:val="1"/>
          <w:iCs w:val="1"/>
          <w:color w:val="auto"/>
        </w:rPr>
        <w:t>Dr. Peter Sowood</w:t>
      </w:r>
      <w:r>
        <w:rPr>
          <w:rFonts w:ascii="Arial" w:cs="Arial" w:eastAsia="Arial" w:hAnsi="Arial"/>
          <w:sz w:val="14"/>
          <w:szCs w:val="14"/>
          <w:color w:val="auto"/>
        </w:rPr>
        <w:t>, has served the Company as President of ICON Clinical Research Europe since November 2003. Prior to joining the Company, Dr. Sowood held various positions at Covance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and Periapproval Services Ltd., including the position of Vice-President Clinical Research. Dr. Sowood was educated at the University of Cambridge in Medical Sciences and followed on to Oxford University where he took Medical Degrees before joining the RAF as a Medical Officer. Dr. Sowood obtained his PhD in 1988 and his MBA in 1993.</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Robert Scott-Edwards, </w:t>
      </w:r>
      <w:r>
        <w:rPr>
          <w:rFonts w:ascii="Arial" w:cs="Arial" w:eastAsia="Arial" w:hAnsi="Arial"/>
          <w:sz w:val="14"/>
          <w:szCs w:val="14"/>
          <w:color w:val="auto"/>
        </w:rPr>
        <w:t>has served the Company as President of ICON Laboratories since August 2004, having previously held the position of Vice President, Sales &amp; Marketing for ICON</w:t>
      </w:r>
      <w:r>
        <w:rPr>
          <w:rFonts w:ascii="Arial" w:cs="Arial" w:eastAsia="Arial" w:hAnsi="Arial"/>
          <w:sz w:val="14"/>
          <w:szCs w:val="14"/>
          <w:i w:val="1"/>
          <w:iCs w:val="1"/>
          <w:color w:val="auto"/>
        </w:rPr>
        <w:t xml:space="preserve"> </w:t>
      </w:r>
      <w:r>
        <w:rPr>
          <w:rFonts w:ascii="Arial" w:cs="Arial" w:eastAsia="Arial" w:hAnsi="Arial"/>
          <w:sz w:val="14"/>
          <w:szCs w:val="14"/>
          <w:color w:val="auto"/>
        </w:rPr>
        <w:t>Laboratories since June 2000. Prior to joining ICON, Mr. Scott-Edwards held various senior positions at Bristol-Myers Squibb from 1979 through 1997. Mr. Scott-Edwards began his career in the pharmaceutical industry in 1971 at Wyeth.</w:t>
      </w:r>
    </w:p>
    <w:p>
      <w:pPr>
        <w:spacing w:after="0" w:line="239" w:lineRule="exact"/>
        <w:rPr>
          <w:sz w:val="20"/>
          <w:szCs w:val="20"/>
          <w:color w:val="auto"/>
        </w:rPr>
      </w:pPr>
    </w:p>
    <w:p>
      <w:pPr>
        <w:jc w:val="both"/>
        <w:spacing w:after="0" w:line="308" w:lineRule="auto"/>
        <w:rPr>
          <w:sz w:val="20"/>
          <w:szCs w:val="20"/>
          <w:color w:val="auto"/>
        </w:rPr>
      </w:pPr>
      <w:r>
        <w:rPr>
          <w:rFonts w:ascii="Arial" w:cs="Arial" w:eastAsia="Arial" w:hAnsi="Arial"/>
          <w:sz w:val="13"/>
          <w:szCs w:val="13"/>
          <w:i w:val="1"/>
          <w:iCs w:val="1"/>
          <w:color w:val="auto"/>
        </w:rPr>
        <w:t>Dr. Dan Weng</w:t>
      </w:r>
      <w:r>
        <w:rPr>
          <w:rFonts w:ascii="Arial" w:cs="Arial" w:eastAsia="Arial" w:hAnsi="Arial"/>
          <w:sz w:val="13"/>
          <w:szCs w:val="13"/>
          <w:color w:val="auto"/>
        </w:rPr>
        <w:t>, has served as President of ICON Clinical Research Rest of World since April 2004, having previously held the position of Senior Vice President of ICON Clinical Research Rest of</w:t>
      </w:r>
      <w:r>
        <w:rPr>
          <w:rFonts w:ascii="Arial" w:cs="Arial" w:eastAsia="Arial" w:hAnsi="Arial"/>
          <w:sz w:val="13"/>
          <w:szCs w:val="13"/>
          <w:i w:val="1"/>
          <w:iCs w:val="1"/>
          <w:color w:val="auto"/>
        </w:rPr>
        <w:t xml:space="preserve"> </w:t>
      </w:r>
      <w:r>
        <w:rPr>
          <w:rFonts w:ascii="Arial" w:cs="Arial" w:eastAsia="Arial" w:hAnsi="Arial"/>
          <w:sz w:val="13"/>
          <w:szCs w:val="13"/>
          <w:color w:val="auto"/>
        </w:rPr>
        <w:t>World since joining the Company in January 2003. Dr. Weng previously worked in the Asia Pacific region for both Pharmanet and Quintiles. Prior to joining the CRO industry in 1997, Dr. Weng worked in the US at the Harvard Medical School and at UCSF. Educated as a physician in China, Dr. Weng subsequently obtained an MBA and a PhD in the UK.</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i w:val="1"/>
          <w:iCs w:val="1"/>
          <w:color w:val="auto"/>
        </w:rPr>
        <w:t xml:space="preserve">Dr. Thomas Frey </w:t>
      </w:r>
      <w:r>
        <w:rPr>
          <w:rFonts w:ascii="Arial" w:cs="Arial" w:eastAsia="Arial" w:hAnsi="Arial"/>
          <w:sz w:val="13"/>
          <w:szCs w:val="13"/>
          <w:color w:val="auto"/>
        </w:rPr>
        <w:t>has served as Chief Operating Officer for ICON Clinical Research Europe since June 2001 and previously served as Vice President of ICON Clinical Operations Europe from</w:t>
      </w:r>
      <w:r>
        <w:rPr>
          <w:rFonts w:ascii="Arial" w:cs="Arial" w:eastAsia="Arial" w:hAnsi="Arial"/>
          <w:sz w:val="13"/>
          <w:szCs w:val="13"/>
          <w:i w:val="1"/>
          <w:iCs w:val="1"/>
          <w:color w:val="auto"/>
        </w:rPr>
        <w:t xml:space="preserve"> </w:t>
      </w:r>
      <w:r>
        <w:rPr>
          <w:rFonts w:ascii="Arial" w:cs="Arial" w:eastAsia="Arial" w:hAnsi="Arial"/>
          <w:sz w:val="13"/>
          <w:szCs w:val="13"/>
          <w:color w:val="auto"/>
        </w:rPr>
        <w:t>January 2000 to May 2001. Dr. Frey has 18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 xml:space="preserve">Josephine Coyle </w:t>
      </w:r>
      <w:r>
        <w:rPr>
          <w:rFonts w:ascii="Arial" w:cs="Arial" w:eastAsia="Arial" w:hAnsi="Arial"/>
          <w:sz w:val="14"/>
          <w:szCs w:val="14"/>
          <w:color w:val="auto"/>
        </w:rPr>
        <w:t>has served as Vice President for Corporate Quality Assurance since April 2000. Ms. Coyle has held positions of increasing responsibility in ICON since August 1992 and previously</w:t>
      </w:r>
      <w:r>
        <w:rPr>
          <w:rFonts w:ascii="Arial" w:cs="Arial" w:eastAsia="Arial" w:hAnsi="Arial"/>
          <w:sz w:val="14"/>
          <w:szCs w:val="14"/>
          <w:i w:val="1"/>
          <w:iCs w:val="1"/>
          <w:color w:val="auto"/>
        </w:rPr>
        <w:t xml:space="preserve"> </w:t>
      </w:r>
      <w:r>
        <w:rPr>
          <w:rFonts w:ascii="Arial" w:cs="Arial" w:eastAsia="Arial" w:hAnsi="Arial"/>
          <w:sz w:val="14"/>
          <w:szCs w:val="14"/>
          <w:color w:val="auto"/>
        </w:rPr>
        <w:t>held the position of Director of Quality Assurance.</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Malcolm Burgess </w:t>
      </w:r>
      <w:r>
        <w:rPr>
          <w:rFonts w:ascii="Arial" w:cs="Arial" w:eastAsia="Arial" w:hAnsi="Arial"/>
          <w:sz w:val="14"/>
          <w:szCs w:val="14"/>
          <w:color w:val="auto"/>
        </w:rPr>
        <w:t>has served as Chief Operating Officer, US Operations since April 2006, and previously served as Senior Vice President, Biometrics, and Data Management &amp; Interactive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Technologies since December 2002. He has nearly thirty years experience within the Pharmaceutical sector having held senior positions within Novartis, Hoechst Marion Roussel and SmithKline Beecham. Dr Burgess holds a BSC in Chemistry from University College, London and a PhD. in Biochemistry and Physiology from Bath University, UK.</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i w:val="1"/>
          <w:iCs w:val="1"/>
          <w:color w:val="auto"/>
        </w:rPr>
        <w:t xml:space="preserve">Alan Morgan </w:t>
      </w:r>
      <w:r>
        <w:rPr>
          <w:rFonts w:ascii="Arial" w:cs="Arial" w:eastAsia="Arial" w:hAnsi="Arial"/>
          <w:sz w:val="14"/>
          <w:szCs w:val="14"/>
          <w:color w:val="auto"/>
        </w:rPr>
        <w:t>has served as the Vice President of Process Development for ICON plc since August 2006. He has over 17 years experience in the Pharmaceutical services industry, having joined</w:t>
      </w:r>
      <w:r>
        <w:rPr>
          <w:rFonts w:ascii="Arial" w:cs="Arial" w:eastAsia="Arial" w:hAnsi="Arial"/>
          <w:sz w:val="14"/>
          <w:szCs w:val="14"/>
          <w:i w:val="1"/>
          <w:iCs w:val="1"/>
          <w:color w:val="auto"/>
        </w:rPr>
        <w:t xml:space="preserve"> </w:t>
      </w:r>
      <w:r>
        <w:rPr>
          <w:rFonts w:ascii="Arial" w:cs="Arial" w:eastAsia="Arial" w:hAnsi="Arial"/>
          <w:sz w:val="14"/>
          <w:szCs w:val="14"/>
          <w:color w:val="auto"/>
        </w:rPr>
        <w:t>ICON from MDS Pharma Services Inc where he held the position of Global General Manager of the Phase II-IV business from August 2005. He joined MDS in September 2002 as General Manager of their European, Latin American and Asian Clinical Development operations. Previous to MDS Pharma Services Inc he held a number of senior positions in Covance Clinical and Periapproval Services, Ltd. including General Manager of their Phase II-IV business in Europe, Asia and Latin America.</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of Directors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2007, it is anticipated that two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committees</w:t>
      </w:r>
    </w:p>
    <w:p>
      <w:pPr>
        <w:spacing w:after="0" w:line="2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We established a compensation committee and an audit committee in 1998 and a nomination committee in 2004, and an executive committee in 2005, all of which are committees of the Board of Directors and are composed mainly of non-executive directors of ICON plc.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color w:val="auto"/>
        </w:rPr>
        <w:t>Compensation Committee</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Compensation Committee comprises Thomas Lynch (Chairman), Edward Roberts, and Dr. Bruce Given. It deals with all aspects of senior executive remuneration. The committee aims to ensure that remuneration packages are competitive so that individuals are appropriately rewarded relative to their responsibility, experience and value to ICON.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Annual bonuses for executive directors are determined by the committee based on the achievement of ICON’s objectives.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21"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auto"/>
        </w:rPr>
        <w:t>The Audit Committee comprises Edward Roberts (Chairman), Thomas Lynch and Dr. Bruce Given. It reviews the annual report, the quarterly earnings releases, the effectiveness of the system of internal controls, compliance with our ethical code and legal requirements, and approves the appointment and removal of the external auditors. It also addresses all issues raised and recommendations made by the external auditors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and pre-approves all auditor services.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Nomination Committee</w:t>
      </w:r>
    </w:p>
    <w:p>
      <w:pPr>
        <w:spacing w:after="0" w:line="2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The Nomination Committee comprises Thomas Lynch,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Executive Committee</w:t>
      </w:r>
    </w:p>
    <w:p>
      <w:pPr>
        <w:spacing w:after="0" w:line="21" w:lineRule="exact"/>
        <w:rPr>
          <w:sz w:val="20"/>
          <w:szCs w:val="20"/>
          <w:color w:val="auto"/>
        </w:rPr>
      </w:pPr>
    </w:p>
    <w:p>
      <w:pPr>
        <w:ind w:right="60"/>
        <w:spacing w:after="0" w:line="338" w:lineRule="auto"/>
        <w:rPr>
          <w:sz w:val="20"/>
          <w:szCs w:val="20"/>
          <w:color w:val="auto"/>
        </w:rPr>
      </w:pPr>
      <w:r>
        <w:rPr>
          <w:rFonts w:ascii="Arial" w:cs="Arial" w:eastAsia="Arial" w:hAnsi="Arial"/>
          <w:sz w:val="12"/>
          <w:szCs w:val="12"/>
          <w:color w:val="auto"/>
        </w:rPr>
        <w:t>The Executive Committee comprises Dr. John Climax, Peter Gray, Dr. Ronan Lambe and Ciaran Murray. Established in March 2005, this Committee is responsible for the direction of the business and the affairs of the Company in intervals between meetings of the Board and exercises business judgment to act in what the Committee members reasonably believe to be in the best interest of the Company and its shareholders. All powers exercised by the Executive Committee are ratified at board meetings. This Committee convenes as often as it determines to be necessary or appropriate.</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aggregate compensation paid by ICON to all persons who served in the capacity of director or executive officer in the 2006 (9 persons) was approximately $3.2 million, but does not include expenses reimbursed to directors and executive officers (including business travel, professional and business association dues and expenses). As of December 31, 2006, options granted to directors and executive officers of ICON to purchase an aggregate of 274,800 of our ordinary shares were outstanding. The options are exercisable at prices between $9.00 and $22.00 and expire between February 14, 2008 and February 3, 2014.</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officers are eligible to participate in ICON’s Incentive Share Option Scheme. See Note 10 to the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employed 4,290, 3,036, 2,713 and 2,432 people for the year ended December 31, 2006, the seven month period ended December 31, 2005, and the years ended May 31, 2005 and May 31, 2004 respectively. Our employees are not unionized and we believe that our relations with our employees are good.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Share Ownership</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4"/>
          <w:szCs w:val="14"/>
          <w:color w:val="auto"/>
        </w:rPr>
        <w:t>The following table sets forth certain information regarding beneficial ownership of our ordinary shares (including ADSs) as of February 12, 2007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tcPr>
          <w:p>
            <w:pPr>
              <w:spacing w:after="0"/>
              <w:rPr>
                <w:sz w:val="20"/>
                <w:szCs w:val="20"/>
                <w:color w:val="auto"/>
              </w:rPr>
            </w:pPr>
            <w:r>
              <w:rPr>
                <w:rFonts w:ascii="Arial" w:cs="Arial" w:eastAsia="Arial" w:hAnsi="Arial"/>
                <w:sz w:val="14"/>
                <w:szCs w:val="14"/>
                <w:b w:val="1"/>
                <w:bCs w:val="1"/>
                <w:color w:val="auto"/>
              </w:rPr>
              <w:t>Name of Owner or</w:t>
            </w:r>
          </w:p>
        </w:tc>
        <w:tc>
          <w:tcPr>
            <w:tcW w:w="2800" w:type="dxa"/>
            <w:vAlign w:val="bottom"/>
          </w:tcPr>
          <w:p>
            <w:pPr>
              <w:jc w:val="right"/>
              <w:ind w:right="428"/>
              <w:spacing w:after="0"/>
              <w:rPr>
                <w:sz w:val="20"/>
                <w:szCs w:val="20"/>
                <w:color w:val="auto"/>
              </w:rPr>
            </w:pPr>
            <w:r>
              <w:rPr>
                <w:rFonts w:ascii="Arial" w:cs="Arial" w:eastAsia="Arial" w:hAnsi="Arial"/>
                <w:sz w:val="14"/>
                <w:szCs w:val="14"/>
                <w:b w:val="1"/>
                <w:bCs w:val="1"/>
                <w:color w:val="auto"/>
              </w:rPr>
              <w:t>No. of Shares</w:t>
            </w: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 of 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No. of Options</w:t>
            </w:r>
          </w:p>
        </w:tc>
        <w:tc>
          <w:tcPr>
            <w:tcW w:w="580" w:type="dxa"/>
            <w:vAlign w:val="bottom"/>
          </w:tcPr>
          <w:p>
            <w:pPr>
              <w:spacing w:after="0"/>
              <w:rPr>
                <w:sz w:val="15"/>
                <w:szCs w:val="15"/>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Exercise</w:t>
            </w:r>
          </w:p>
        </w:tc>
        <w:tc>
          <w:tcPr>
            <w:tcW w:w="1420" w:type="dxa"/>
            <w:vAlign w:val="bottom"/>
          </w:tcPr>
          <w:p>
            <w:pPr>
              <w:spacing w:after="0"/>
              <w:rPr>
                <w:sz w:val="15"/>
                <w:szCs w:val="15"/>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b w:val="1"/>
                <w:bCs w:val="1"/>
                <w:color w:val="auto"/>
              </w:rPr>
              <w:t>Identity of Group</w:t>
            </w:r>
          </w:p>
        </w:tc>
        <w:tc>
          <w:tcPr>
            <w:tcW w:w="2800" w:type="dxa"/>
            <w:vAlign w:val="bottom"/>
          </w:tcPr>
          <w:p>
            <w:pPr>
              <w:jc w:val="right"/>
              <w:ind w:right="428"/>
              <w:spacing w:after="0"/>
              <w:rPr>
                <w:sz w:val="20"/>
                <w:szCs w:val="20"/>
                <w:color w:val="auto"/>
              </w:rPr>
            </w:pPr>
            <w:r>
              <w:rPr>
                <w:rFonts w:ascii="Arial" w:cs="Arial" w:eastAsia="Arial" w:hAnsi="Arial"/>
                <w:sz w:val="14"/>
                <w:szCs w:val="14"/>
                <w:b w:val="1"/>
                <w:bCs w:val="1"/>
                <w:color w:val="auto"/>
              </w:rPr>
              <w:t>(1)</w:t>
            </w: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580" w:type="dxa"/>
            <w:vAlign w:val="bottom"/>
          </w:tcPr>
          <w:p>
            <w:pPr>
              <w:spacing w:after="0"/>
              <w:rPr>
                <w:sz w:val="16"/>
                <w:szCs w:val="16"/>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price</w:t>
            </w:r>
          </w:p>
        </w:tc>
        <w:tc>
          <w:tcPr>
            <w:tcW w:w="1420" w:type="dxa"/>
            <w:vAlign w:val="bottom"/>
          </w:tcPr>
          <w:p>
            <w:pPr>
              <w:jc w:val="right"/>
              <w:ind w:right="28"/>
              <w:spacing w:after="0"/>
              <w:rPr>
                <w:sz w:val="20"/>
                <w:szCs w:val="20"/>
                <w:color w:val="auto"/>
              </w:rPr>
            </w:pPr>
            <w:r>
              <w:rPr>
                <w:rFonts w:ascii="Arial" w:cs="Arial" w:eastAsia="Arial" w:hAnsi="Arial"/>
                <w:sz w:val="14"/>
                <w:szCs w:val="14"/>
                <w:b w:val="1"/>
                <w:bCs w:val="1"/>
                <w:color w:val="auto"/>
              </w:rPr>
              <w:t>Expiration Date</w:t>
            </w:r>
          </w:p>
        </w:tc>
      </w:tr>
      <w:tr>
        <w:trPr>
          <w:trHeight w:val="242"/>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Dr. John Climax</w:t>
            </w:r>
          </w:p>
        </w:tc>
        <w:tc>
          <w:tcPr>
            <w:tcW w:w="28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1,953,784</w:t>
            </w:r>
          </w:p>
        </w:tc>
        <w:tc>
          <w:tcPr>
            <w:tcW w:w="1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70"/>
        </w:trPr>
        <w:tc>
          <w:tcPr>
            <w:tcW w:w="26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Dr. Ronan Lambe</w:t>
            </w:r>
          </w:p>
        </w:tc>
        <w:tc>
          <w:tcPr>
            <w:tcW w:w="28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888,940</w:t>
            </w:r>
          </w:p>
        </w:tc>
        <w:tc>
          <w:tcPr>
            <w:tcW w:w="1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tcPr>
          <w:p>
            <w:pPr>
              <w:spacing w:after="0"/>
              <w:rPr>
                <w:sz w:val="20"/>
                <w:szCs w:val="20"/>
                <w:color w:val="auto"/>
              </w:rPr>
            </w:pPr>
            <w:r>
              <w:rPr>
                <w:rFonts w:ascii="Arial" w:cs="Arial" w:eastAsia="Arial" w:hAnsi="Arial"/>
                <w:sz w:val="14"/>
                <w:szCs w:val="14"/>
                <w:color w:val="auto"/>
              </w:rPr>
              <w:t>Mr. Peter Gray</w:t>
            </w:r>
          </w:p>
        </w:tc>
        <w:tc>
          <w:tcPr>
            <w:tcW w:w="2800" w:type="dxa"/>
            <w:vAlign w:val="bottom"/>
          </w:tcPr>
          <w:p>
            <w:pPr>
              <w:jc w:val="right"/>
              <w:ind w:right="428"/>
              <w:spacing w:after="0"/>
              <w:rPr>
                <w:sz w:val="20"/>
                <w:szCs w:val="20"/>
                <w:color w:val="auto"/>
              </w:rPr>
            </w:pPr>
            <w:r>
              <w:rPr>
                <w:rFonts w:ascii="Arial" w:cs="Arial" w:eastAsia="Arial" w:hAnsi="Arial"/>
                <w:sz w:val="14"/>
                <w:szCs w:val="14"/>
                <w:color w:val="auto"/>
              </w:rPr>
              <w:t>316,440</w:t>
            </w:r>
          </w:p>
        </w:tc>
        <w:tc>
          <w:tcPr>
            <w:tcW w:w="152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1240" w:type="dxa"/>
            <w:vAlign w:val="bottom"/>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tcPr>
          <w:p>
            <w:pPr>
              <w:spacing w:after="0"/>
              <w:rPr>
                <w:sz w:val="20"/>
                <w:szCs w:val="20"/>
                <w:color w:val="auto"/>
              </w:rPr>
            </w:pPr>
            <w:r>
              <w:rPr>
                <w:rFonts w:ascii="Arial" w:cs="Arial" w:eastAsia="Arial" w:hAnsi="Arial"/>
                <w:sz w:val="14"/>
                <w:szCs w:val="14"/>
                <w:color w:val="auto"/>
              </w:rPr>
              <w:t>Mr. Ciaran Murray</w:t>
            </w:r>
          </w:p>
        </w:tc>
        <w:tc>
          <w:tcPr>
            <w:tcW w:w="28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20.84</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17, 2014</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tcPr>
          <w:p>
            <w:pPr>
              <w:spacing w:after="0"/>
              <w:rPr>
                <w:sz w:val="20"/>
                <w:szCs w:val="20"/>
                <w:color w:val="auto"/>
              </w:rPr>
            </w:pPr>
            <w:r>
              <w:rPr>
                <w:rFonts w:ascii="Arial" w:cs="Arial" w:eastAsia="Arial" w:hAnsi="Arial"/>
                <w:sz w:val="14"/>
                <w:szCs w:val="14"/>
                <w:color w:val="auto"/>
              </w:rPr>
              <w:t>Mr. Sean Leech</w:t>
            </w:r>
          </w:p>
        </w:tc>
        <w:tc>
          <w:tcPr>
            <w:tcW w:w="28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9.00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14, 2008</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10.63</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29, 2009</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7, 2013</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tcPr>
          <w:p>
            <w:pPr>
              <w:spacing w:after="0"/>
              <w:rPr>
                <w:sz w:val="20"/>
                <w:szCs w:val="20"/>
                <w:color w:val="auto"/>
              </w:rPr>
            </w:pPr>
            <w:r>
              <w:rPr>
                <w:rFonts w:ascii="Arial" w:cs="Arial" w:eastAsia="Arial" w:hAnsi="Arial"/>
                <w:sz w:val="14"/>
                <w:szCs w:val="14"/>
                <w:color w:val="auto"/>
              </w:rPr>
              <w:t>Mr. Thomas Lynch</w:t>
            </w:r>
          </w:p>
        </w:tc>
        <w:tc>
          <w:tcPr>
            <w:tcW w:w="2800" w:type="dxa"/>
            <w:vAlign w:val="bottom"/>
          </w:tcPr>
          <w:p>
            <w:pPr>
              <w:jc w:val="right"/>
              <w:ind w:right="428"/>
              <w:spacing w:after="0"/>
              <w:rPr>
                <w:sz w:val="20"/>
                <w:szCs w:val="20"/>
                <w:color w:val="auto"/>
              </w:rPr>
            </w:pPr>
            <w:r>
              <w:rPr>
                <w:rFonts w:ascii="Arial" w:cs="Arial" w:eastAsia="Arial" w:hAnsi="Arial"/>
                <w:sz w:val="14"/>
                <w:szCs w:val="14"/>
                <w:color w:val="auto"/>
              </w:rPr>
              <w:t>2</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Mr. Edward Roberts</w:t>
            </w:r>
          </w:p>
        </w:tc>
        <w:tc>
          <w:tcPr>
            <w:tcW w:w="28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8,002</w:t>
            </w:r>
          </w:p>
        </w:tc>
        <w:tc>
          <w:tcPr>
            <w:tcW w:w="1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14.50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January 11, 2010</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14.00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January 21, 2011</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tcPr>
          <w:p>
            <w:pPr>
              <w:spacing w:after="0"/>
              <w:rPr>
                <w:sz w:val="20"/>
                <w:szCs w:val="20"/>
                <w:color w:val="auto"/>
              </w:rPr>
            </w:pPr>
            <w:r>
              <w:rPr>
                <w:rFonts w:ascii="Arial" w:cs="Arial" w:eastAsia="Arial" w:hAnsi="Arial"/>
                <w:sz w:val="14"/>
                <w:szCs w:val="14"/>
                <w:color w:val="auto"/>
              </w:rPr>
              <w:t>Mr. Shugi Higuchi</w:t>
            </w:r>
          </w:p>
        </w:tc>
        <w:tc>
          <w:tcPr>
            <w:tcW w:w="28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17.75</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4, 2012</w:t>
            </w:r>
          </w:p>
        </w:tc>
      </w:tr>
      <w:tr>
        <w:trPr>
          <w:trHeight w:val="243"/>
        </w:trPr>
        <w:tc>
          <w:tcPr>
            <w:tcW w:w="264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3"/>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3, 2014</w:t>
            </w: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Dr. Bruce Given</w:t>
            </w:r>
          </w:p>
        </w:tc>
        <w:tc>
          <w:tcPr>
            <w:tcW w:w="28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17.20</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February 24, 2013</w:t>
            </w:r>
          </w:p>
        </w:tc>
      </w:tr>
      <w:tr>
        <w:trPr>
          <w:trHeight w:val="245"/>
        </w:trPr>
        <w:tc>
          <w:tcPr>
            <w:tcW w:w="2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22.00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February 3, 2014</w:t>
            </w:r>
          </w:p>
        </w:tc>
      </w:tr>
    </w:tbl>
    <w:p>
      <w:pPr>
        <w:spacing w:after="0" w:line="236" w:lineRule="exact"/>
        <w:rPr>
          <w:sz w:val="20"/>
          <w:szCs w:val="20"/>
          <w:color w:val="auto"/>
        </w:rPr>
      </w:pPr>
    </w:p>
    <w:p>
      <w:pPr>
        <w:jc w:val="both"/>
        <w:ind w:left="460" w:hanging="452"/>
        <w:spacing w:after="0" w:line="277"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used in this table, each person has the sole or shared power to vote or direct the voting of a security, or the sole or shared investment power with respect to a security (</w:t>
      </w:r>
      <w:r>
        <w:rPr>
          <w:rFonts w:ascii="Arial" w:cs="Arial" w:eastAsia="Arial" w:hAnsi="Arial"/>
          <w:sz w:val="14"/>
          <w:szCs w:val="14"/>
          <w:i w:val="1"/>
          <w:iCs w:val="1"/>
          <w:color w:val="auto"/>
        </w:rPr>
        <w:t>i.e.</w:t>
      </w:r>
      <w:r>
        <w:rPr>
          <w:rFonts w:ascii="Arial" w:cs="Arial" w:eastAsia="Arial" w:hAnsi="Arial"/>
          <w:sz w:val="14"/>
          <w:szCs w:val="14"/>
          <w:color w:val="auto"/>
        </w:rPr>
        <w:t xml:space="preserve"> the power to dispose, or direct the disposition, of a security). A person is deemed as of any date to have "beneficial ownership" of any security if that such person has the right to acquire such security within 60 days after such date.</w:t>
      </w:r>
    </w:p>
    <w:p>
      <w:pPr>
        <w:spacing w:after="0" w:line="212" w:lineRule="exact"/>
        <w:rPr>
          <w:rFonts w:ascii="Arial" w:cs="Arial" w:eastAsia="Arial" w:hAnsi="Arial"/>
          <w:sz w:val="14"/>
          <w:szCs w:val="14"/>
          <w:color w:val="auto"/>
        </w:rPr>
      </w:pP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title of securities covered by all of the above options are non-revenue qualified.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Employee Share Option Schemes</w:t>
      </w:r>
    </w:p>
    <w:p>
      <w:pPr>
        <w:spacing w:after="0" w:line="289" w:lineRule="exact"/>
        <w:rPr>
          <w:sz w:val="20"/>
          <w:szCs w:val="20"/>
          <w:color w:val="auto"/>
        </w:rPr>
      </w:pPr>
    </w:p>
    <w:p>
      <w:pPr>
        <w:spacing w:after="0" w:line="299" w:lineRule="auto"/>
        <w:rPr>
          <w:sz w:val="20"/>
          <w:szCs w:val="20"/>
          <w:color w:val="auto"/>
        </w:rPr>
      </w:pPr>
      <w:r>
        <w:rPr>
          <w:rFonts w:ascii="Arial" w:cs="Arial" w:eastAsia="Arial" w:hAnsi="Arial"/>
          <w:sz w:val="13"/>
          <w:szCs w:val="13"/>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Internal Revenue Code or an employee stock option, or NSO.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An aggregate of 3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No options can be granted after January 17, 2013.</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 Remuneration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Discussion &amp; Analysis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21" w:lineRule="exact"/>
        <w:rPr>
          <w:sz w:val="20"/>
          <w:szCs w:val="20"/>
          <w:color w:val="auto"/>
        </w:rPr>
      </w:pPr>
    </w:p>
    <w:p>
      <w:pPr>
        <w:jc w:val="both"/>
        <w:ind w:right="260"/>
        <w:spacing w:after="0" w:line="272" w:lineRule="auto"/>
        <w:rPr>
          <w:sz w:val="20"/>
          <w:szCs w:val="20"/>
          <w:color w:val="auto"/>
        </w:rPr>
      </w:pPr>
      <w:r>
        <w:rPr>
          <w:rFonts w:ascii="Arial" w:cs="Arial" w:eastAsia="Arial" w:hAnsi="Arial"/>
          <w:sz w:val="14"/>
          <w:szCs w:val="14"/>
          <w:color w:val="auto"/>
        </w:rPr>
        <w:t>The Compensation Committee (the Committee) seeks to achieve the following goals with the Company’s executive compensation programs: to attract, motivate and retain key executives and to reward executives for value creation. The Committee seeks to foster a performance-oriented environment by tying a significant portion of each executive’s cash and equity compensation to the achievement of performance targets that are important to the Company and its shareholders.</w:t>
      </w:r>
    </w:p>
    <w:p>
      <w:pPr>
        <w:spacing w:after="0" w:line="243"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The Company’s executive compensation program has three elements: base salary, a bonus plan and equity incentives in the form of stock option awards granted under the Share Option Plan 2003 (the “2003 Plan”). All elements of executive compensation are determined by the Committee based on the achievement of ICON’s objectives.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2006 the officers earned a bonus and the Company awarded executive officers equity incentives in the form of stock options.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Base Salary and Bonus Incentive</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3"/>
          <w:szCs w:val="13"/>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ranges from approximately 60% to 80% of base salary of executive officers.</w:t>
      </w:r>
    </w:p>
    <w:p>
      <w:pPr>
        <w:spacing w:after="0" w:line="231"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For fiscal 2006, based upon the Company’s income performance relative to the targets set by the Committee, and Company business unit, and individual objectives approved by the Committee, the Company’s named executive officers, excluding the Chief Executive Officer, earned an aggregate bonus of $722,079.</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Incentive</w:t>
      </w:r>
    </w:p>
    <w:p>
      <w:pPr>
        <w:spacing w:after="0" w:line="21" w:lineRule="exact"/>
        <w:rPr>
          <w:sz w:val="20"/>
          <w:szCs w:val="20"/>
          <w:color w:val="auto"/>
        </w:rPr>
      </w:pPr>
    </w:p>
    <w:p>
      <w:pPr>
        <w:ind w:right="200"/>
        <w:spacing w:after="0" w:line="302" w:lineRule="auto"/>
        <w:rPr>
          <w:sz w:val="20"/>
          <w:szCs w:val="20"/>
          <w:color w:val="auto"/>
        </w:rPr>
      </w:pPr>
      <w:r>
        <w:rPr>
          <w:rFonts w:ascii="Arial" w:cs="Arial" w:eastAsia="Arial" w:hAnsi="Arial"/>
          <w:sz w:val="13"/>
          <w:szCs w:val="13"/>
          <w:color w:val="auto"/>
        </w:rPr>
        <w:t>The Company’s executive officers are eligible to receive stock options granted under the Company’s equity incentive plans. If executive officers receive equity incentive grants, they are awarded annually at the first regularly scheduled meeting of the Committee in the fiscal year. Newly hired executive officers may receive sign-on grants, if approved by the Committee. In addition, the Committee may, in its discretion, issue additional equity incentive awards to executive officers if the Committee determines the awards are necessary for retention.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3" w:right="279" w:bottom="1440" w:gutter="0" w:footer="0" w:header="0"/>
        </w:sectPr>
      </w:pPr>
    </w:p>
    <w:bookmarkStart w:id="37" w:name="page38"/>
    <w:bookmarkEnd w:id="37"/>
    <w:p>
      <w:pPr>
        <w:ind w:right="40"/>
        <w:spacing w:after="0" w:line="269" w:lineRule="auto"/>
        <w:rPr>
          <w:sz w:val="20"/>
          <w:szCs w:val="20"/>
          <w:color w:val="auto"/>
        </w:rPr>
      </w:pPr>
      <w:r>
        <w:rPr>
          <w:rFonts w:ascii="Arial" w:cs="Arial" w:eastAsia="Arial" w:hAnsi="Arial"/>
          <w:sz w:val="14"/>
          <w:szCs w:val="14"/>
          <w:color w:val="auto"/>
        </w:rPr>
        <w:t>The Company granted equity incentive awards to executive officers in its fiscal year ended December 31, 2006. On February 3, 2006, the Company granted performance-based stock options to executive officers. The purpose of these grants is to align management and shareholder interests as measured by revenue growth and the stock markets’ assessment of the Company’s performance. The number of equity awards granted to each participant is determined primarily based on an award range determined by the Committee at the start of each year. The extent of existing options is not generally considered in granting equity awards, except that the Company sometimes grants an initial round of equity awards to newly recruited executives to provide them with some stake in the Company’s success from the commencement of their employment.</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Chief Executive Officer Compensation</w:t>
      </w:r>
    </w:p>
    <w:p>
      <w:pPr>
        <w:spacing w:after="0" w:line="21"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The Committee uses the same factors in determining the compensation of the Chief Executive Officer as it does for the other participants. The Chief Executive Officer’s base salary for the year ended December 31, 2006 was $435,200. The Chief Executive Officer received a cash incentive payment for fiscal 2006 totaling $284,797.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20"/>
                <w:szCs w:val="20"/>
                <w:color w:val="auto"/>
              </w:rPr>
            </w:pPr>
            <w:r>
              <w:rPr>
                <w:rFonts w:ascii="Arial" w:cs="Arial" w:eastAsia="Arial" w:hAnsi="Arial"/>
                <w:sz w:val="14"/>
                <w:szCs w:val="14"/>
                <w:b w:val="1"/>
                <w:bCs w:val="1"/>
                <w:color w:val="auto"/>
              </w:rPr>
              <w:t>Executive Compensation Section</w:t>
            </w: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46"/>
        </w:trPr>
        <w:tc>
          <w:tcPr>
            <w:tcW w:w="3540" w:type="dxa"/>
            <w:vAlign w:val="bottom"/>
          </w:tcPr>
          <w:p>
            <w:pPr>
              <w:spacing w:after="0"/>
              <w:rPr>
                <w:sz w:val="20"/>
                <w:szCs w:val="20"/>
                <w:color w:val="auto"/>
              </w:rPr>
            </w:pPr>
            <w:r>
              <w:rPr>
                <w:rFonts w:ascii="Arial" w:cs="Arial" w:eastAsia="Arial" w:hAnsi="Arial"/>
                <w:sz w:val="14"/>
                <w:szCs w:val="14"/>
                <w:i w:val="1"/>
                <w:iCs w:val="1"/>
                <w:color w:val="auto"/>
              </w:rPr>
              <w:t>Summary compensation table</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9"/>
        </w:trPr>
        <w:tc>
          <w:tcPr>
            <w:tcW w:w="3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93"/>
              </w:rPr>
              <w:t>Company</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color w:val="auto"/>
                <w:w w:val="96"/>
              </w:rPr>
              <w:t>contribution</w:t>
            </w: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w w:val="96"/>
              </w:rPr>
              <w:t>Option</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to</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rPr>
              <w:t>All other</w:t>
            </w:r>
          </w:p>
        </w:tc>
        <w:tc>
          <w:tcPr>
            <w:tcW w:w="104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w w:val="88"/>
              </w:rPr>
              <w:t>awards</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w w:val="89"/>
              </w:rPr>
              <w:t>pension</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w w:val="91"/>
              </w:rPr>
              <w:t>compensation</w:t>
            </w:r>
          </w:p>
        </w:tc>
        <w:tc>
          <w:tcPr>
            <w:tcW w:w="1040" w:type="dxa"/>
            <w:vAlign w:val="bottom"/>
          </w:tcPr>
          <w:p>
            <w:pPr>
              <w:spacing w:after="0"/>
              <w:rPr>
                <w:sz w:val="15"/>
                <w:szCs w:val="15"/>
                <w:color w:val="auto"/>
              </w:rPr>
            </w:pPr>
          </w:p>
        </w:tc>
      </w:tr>
      <w:tr>
        <w:trPr>
          <w:trHeight w:val="181"/>
        </w:trPr>
        <w:tc>
          <w:tcPr>
            <w:tcW w:w="3540" w:type="dxa"/>
            <w:vAlign w:val="bottom"/>
          </w:tcPr>
          <w:p>
            <w:pPr>
              <w:spacing w:after="0"/>
              <w:rPr>
                <w:sz w:val="20"/>
                <w:szCs w:val="20"/>
                <w:color w:val="auto"/>
              </w:rPr>
            </w:pPr>
            <w:r>
              <w:rPr>
                <w:rFonts w:ascii="Arial" w:cs="Arial" w:eastAsia="Arial" w:hAnsi="Arial"/>
                <w:sz w:val="14"/>
                <w:szCs w:val="14"/>
                <w:color w:val="auto"/>
              </w:rPr>
              <w:t>Name &amp; principal position</w:t>
            </w:r>
          </w:p>
        </w:tc>
        <w:tc>
          <w:tcPr>
            <w:tcW w:w="1120" w:type="dxa"/>
            <w:vAlign w:val="bottom"/>
          </w:tcPr>
          <w:p>
            <w:pPr>
              <w:jc w:val="right"/>
              <w:ind w:right="488"/>
              <w:spacing w:after="0"/>
              <w:rPr>
                <w:sz w:val="20"/>
                <w:szCs w:val="20"/>
                <w:color w:val="auto"/>
              </w:rPr>
            </w:pPr>
            <w:r>
              <w:rPr>
                <w:rFonts w:ascii="Arial" w:cs="Arial" w:eastAsia="Arial" w:hAnsi="Arial"/>
                <w:sz w:val="14"/>
                <w:szCs w:val="14"/>
                <w:color w:val="auto"/>
              </w:rPr>
              <w:t>Year</w:t>
            </w: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Salary ($)</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Bonus ($)</w:t>
            </w: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w w:val="93"/>
              </w:rPr>
              <w:t>($)</w:t>
            </w:r>
          </w:p>
        </w:tc>
        <w:tc>
          <w:tcPr>
            <w:tcW w:w="1100" w:type="dxa"/>
            <w:vAlign w:val="bottom"/>
          </w:tcPr>
          <w:p>
            <w:pPr>
              <w:jc w:val="center"/>
              <w:ind w:right="28"/>
              <w:spacing w:after="0"/>
              <w:rPr>
                <w:sz w:val="20"/>
                <w:szCs w:val="20"/>
                <w:color w:val="auto"/>
              </w:rPr>
            </w:pPr>
            <w:r>
              <w:rPr>
                <w:rFonts w:ascii="Arial" w:cs="Arial" w:eastAsia="Arial" w:hAnsi="Arial"/>
                <w:sz w:val="14"/>
                <w:szCs w:val="14"/>
                <w:color w:val="auto"/>
                <w:w w:val="93"/>
              </w:rPr>
              <w:t>($)</w:t>
            </w:r>
          </w:p>
        </w:tc>
        <w:tc>
          <w:tcPr>
            <w:tcW w:w="1200" w:type="dxa"/>
            <w:vAlign w:val="bottom"/>
          </w:tcPr>
          <w:p>
            <w:pPr>
              <w:jc w:val="center"/>
              <w:ind w:right="128"/>
              <w:spacing w:after="0"/>
              <w:rPr>
                <w:sz w:val="20"/>
                <w:szCs w:val="20"/>
                <w:color w:val="auto"/>
              </w:rPr>
            </w:pPr>
            <w:r>
              <w:rPr>
                <w:rFonts w:ascii="Arial" w:cs="Arial" w:eastAsia="Arial" w:hAnsi="Arial"/>
                <w:sz w:val="14"/>
                <w:szCs w:val="14"/>
                <w:color w:val="auto"/>
                <w:w w:val="93"/>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Total ($)</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Peter Gray, Chief Executive Officer</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2006</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435,200</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305,509</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54,283</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44,274</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47,267</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886,533</w:t>
            </w:r>
          </w:p>
        </w:tc>
      </w:tr>
      <w:tr>
        <w:trPr>
          <w:trHeight w:val="243"/>
        </w:trPr>
        <w:tc>
          <w:tcPr>
            <w:tcW w:w="3540" w:type="dxa"/>
            <w:vAlign w:val="bottom"/>
          </w:tcPr>
          <w:p>
            <w:pPr>
              <w:spacing w:after="0"/>
              <w:rPr>
                <w:sz w:val="20"/>
                <w:szCs w:val="20"/>
                <w:color w:val="auto"/>
              </w:rPr>
            </w:pPr>
            <w:r>
              <w:rPr>
                <w:rFonts w:ascii="Arial" w:cs="Arial" w:eastAsia="Arial" w:hAnsi="Arial"/>
                <w:sz w:val="14"/>
                <w:szCs w:val="14"/>
                <w:color w:val="auto"/>
              </w:rPr>
              <w:t>Ciaran Murray, Chief Financial Officer</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2006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246,190</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148,871</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106,198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27,670</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19,934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548,863</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John Climax, Executive Chairman</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2006</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611,666</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433,668</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54,283</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18,674</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62,340</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1,180,631</w:t>
            </w:r>
          </w:p>
        </w:tc>
      </w:tr>
      <w:tr>
        <w:trPr>
          <w:trHeight w:val="170"/>
        </w:trPr>
        <w:tc>
          <w:tcPr>
            <w:tcW w:w="3540" w:type="dxa"/>
            <w:vAlign w:val="bottom"/>
          </w:tcPr>
          <w:p>
            <w:pPr>
              <w:spacing w:after="0"/>
              <w:rPr>
                <w:sz w:val="20"/>
                <w:szCs w:val="20"/>
                <w:color w:val="auto"/>
              </w:rPr>
            </w:pPr>
            <w:r>
              <w:rPr>
                <w:rFonts w:ascii="Arial" w:cs="Arial" w:eastAsia="Arial" w:hAnsi="Arial"/>
                <w:sz w:val="14"/>
                <w:szCs w:val="14"/>
                <w:color w:val="auto"/>
              </w:rPr>
              <w:t>Sean Leech, Executive VP Commercial &amp; Organization</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1"/>
        </w:trPr>
        <w:tc>
          <w:tcPr>
            <w:tcW w:w="3540" w:type="dxa"/>
            <w:vAlign w:val="bottom"/>
          </w:tcPr>
          <w:p>
            <w:pPr>
              <w:spacing w:after="0"/>
              <w:rPr>
                <w:sz w:val="20"/>
                <w:szCs w:val="20"/>
                <w:color w:val="auto"/>
              </w:rPr>
            </w:pPr>
            <w:r>
              <w:rPr>
                <w:rFonts w:ascii="Arial" w:cs="Arial" w:eastAsia="Arial" w:hAnsi="Arial"/>
                <w:sz w:val="14"/>
                <w:szCs w:val="14"/>
                <w:color w:val="auto"/>
              </w:rPr>
              <w:t>Development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2006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282,652</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139,540</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229,391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10,686</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27,461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689,730</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1,575,708</w:t>
            </w:r>
          </w:p>
        </w:tc>
        <w:tc>
          <w:tcPr>
            <w:tcW w:w="11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1,027,588</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444,155</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101,304</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157,002</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3,305,757</w:t>
            </w:r>
          </w:p>
        </w:tc>
      </w:tr>
    </w:tbl>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There were two employees who had total compensation higher than the lowest paid Named Executive Officer. The aggregate remuneration received by these two executives totaled $1,332,973 in the year ended December 31, 2006.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20"/>
                <w:szCs w:val="20"/>
                <w:color w:val="auto"/>
              </w:rPr>
            </w:pPr>
            <w:r>
              <w:rPr>
                <w:rFonts w:ascii="Arial" w:cs="Arial" w:eastAsia="Arial" w:hAnsi="Arial"/>
                <w:sz w:val="14"/>
                <w:szCs w:val="14"/>
                <w:i w:val="1"/>
                <w:iCs w:val="1"/>
                <w:color w:val="auto"/>
              </w:rPr>
              <w:t>Director compensation table</w:t>
            </w: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439"/>
        </w:trPr>
        <w:tc>
          <w:tcPr>
            <w:tcW w:w="2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jc w:val="center"/>
              <w:ind w:right="288"/>
              <w:spacing w:after="0"/>
              <w:rPr>
                <w:sz w:val="20"/>
                <w:szCs w:val="20"/>
                <w:color w:val="auto"/>
              </w:rPr>
            </w:pPr>
            <w:r>
              <w:rPr>
                <w:rFonts w:ascii="Arial" w:cs="Arial" w:eastAsia="Arial" w:hAnsi="Arial"/>
                <w:sz w:val="14"/>
                <w:szCs w:val="14"/>
                <w:color w:val="auto"/>
                <w:w w:val="93"/>
              </w:rPr>
              <w:t>Company</w:t>
            </w:r>
          </w:p>
        </w:tc>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6"/>
        </w:trPr>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jc w:val="center"/>
              <w:ind w:right="308"/>
              <w:spacing w:after="0"/>
              <w:rPr>
                <w:sz w:val="20"/>
                <w:szCs w:val="20"/>
                <w:color w:val="auto"/>
              </w:rPr>
            </w:pPr>
            <w:r>
              <w:rPr>
                <w:rFonts w:ascii="Arial" w:cs="Arial" w:eastAsia="Arial" w:hAnsi="Arial"/>
                <w:sz w:val="14"/>
                <w:szCs w:val="14"/>
                <w:color w:val="auto"/>
                <w:w w:val="96"/>
              </w:rPr>
              <w:t>contribution</w:t>
            </w:r>
          </w:p>
        </w:tc>
        <w:tc>
          <w:tcPr>
            <w:tcW w:w="16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jc w:val="center"/>
              <w:ind w:right="408"/>
              <w:spacing w:after="0"/>
              <w:rPr>
                <w:sz w:val="20"/>
                <w:szCs w:val="20"/>
                <w:color w:val="auto"/>
              </w:rPr>
            </w:pPr>
            <w:r>
              <w:rPr>
                <w:rFonts w:ascii="Arial" w:cs="Arial" w:eastAsia="Arial" w:hAnsi="Arial"/>
                <w:sz w:val="14"/>
                <w:szCs w:val="14"/>
                <w:color w:val="auto"/>
                <w:w w:val="96"/>
              </w:rPr>
              <w:t>Option</w:t>
            </w:r>
          </w:p>
        </w:tc>
        <w:tc>
          <w:tcPr>
            <w:tcW w:w="1560" w:type="dxa"/>
            <w:vAlign w:val="bottom"/>
          </w:tcPr>
          <w:p>
            <w:pPr>
              <w:jc w:val="center"/>
              <w:ind w:right="288"/>
              <w:spacing w:after="0"/>
              <w:rPr>
                <w:sz w:val="20"/>
                <w:szCs w:val="20"/>
                <w:color w:val="auto"/>
              </w:rPr>
            </w:pPr>
            <w:r>
              <w:rPr>
                <w:rFonts w:ascii="Arial" w:cs="Arial" w:eastAsia="Arial" w:hAnsi="Arial"/>
                <w:sz w:val="14"/>
                <w:szCs w:val="14"/>
                <w:color w:val="auto"/>
              </w:rPr>
              <w:t>to</w:t>
            </w:r>
          </w:p>
        </w:tc>
        <w:tc>
          <w:tcPr>
            <w:tcW w:w="1640" w:type="dxa"/>
            <w:vAlign w:val="bottom"/>
          </w:tcPr>
          <w:p>
            <w:pPr>
              <w:jc w:val="center"/>
              <w:ind w:right="328"/>
              <w:spacing w:after="0"/>
              <w:rPr>
                <w:sz w:val="20"/>
                <w:szCs w:val="20"/>
                <w:color w:val="auto"/>
              </w:rPr>
            </w:pPr>
            <w:r>
              <w:rPr>
                <w:rFonts w:ascii="Arial" w:cs="Arial" w:eastAsia="Arial" w:hAnsi="Arial"/>
                <w:sz w:val="14"/>
                <w:szCs w:val="14"/>
                <w:color w:val="auto"/>
              </w:rPr>
              <w:t>All other</w:t>
            </w:r>
          </w:p>
        </w:tc>
        <w:tc>
          <w:tcPr>
            <w:tcW w:w="1400" w:type="dxa"/>
            <w:vAlign w:val="bottom"/>
          </w:tcPr>
          <w:p>
            <w:pPr>
              <w:spacing w:after="0"/>
              <w:rPr>
                <w:sz w:val="15"/>
                <w:szCs w:val="15"/>
                <w:color w:val="auto"/>
              </w:rPr>
            </w:pPr>
          </w:p>
        </w:tc>
      </w:tr>
      <w:tr>
        <w:trPr>
          <w:trHeight w:val="176"/>
        </w:trPr>
        <w:tc>
          <w:tcPr>
            <w:tcW w:w="2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20" w:type="dxa"/>
            <w:vAlign w:val="bottom"/>
          </w:tcPr>
          <w:p>
            <w:pPr>
              <w:jc w:val="center"/>
              <w:ind w:right="388"/>
              <w:spacing w:after="0"/>
              <w:rPr>
                <w:sz w:val="20"/>
                <w:szCs w:val="20"/>
                <w:color w:val="auto"/>
              </w:rPr>
            </w:pPr>
            <w:r>
              <w:rPr>
                <w:rFonts w:ascii="Arial" w:cs="Arial" w:eastAsia="Arial" w:hAnsi="Arial"/>
                <w:sz w:val="14"/>
                <w:szCs w:val="14"/>
                <w:color w:val="auto"/>
                <w:w w:val="92"/>
              </w:rPr>
              <w:t>awards</w:t>
            </w:r>
          </w:p>
        </w:tc>
        <w:tc>
          <w:tcPr>
            <w:tcW w:w="1560" w:type="dxa"/>
            <w:vAlign w:val="bottom"/>
          </w:tcPr>
          <w:p>
            <w:pPr>
              <w:jc w:val="center"/>
              <w:ind w:right="288"/>
              <w:spacing w:after="0"/>
              <w:rPr>
                <w:sz w:val="20"/>
                <w:szCs w:val="20"/>
                <w:color w:val="auto"/>
              </w:rPr>
            </w:pPr>
            <w:r>
              <w:rPr>
                <w:rFonts w:ascii="Arial" w:cs="Arial" w:eastAsia="Arial" w:hAnsi="Arial"/>
                <w:sz w:val="14"/>
                <w:szCs w:val="14"/>
                <w:color w:val="auto"/>
                <w:w w:val="89"/>
              </w:rPr>
              <w:t>pension</w:t>
            </w:r>
          </w:p>
        </w:tc>
        <w:tc>
          <w:tcPr>
            <w:tcW w:w="1640" w:type="dxa"/>
            <w:vAlign w:val="bottom"/>
          </w:tcPr>
          <w:p>
            <w:pPr>
              <w:jc w:val="center"/>
              <w:ind w:right="328"/>
              <w:spacing w:after="0"/>
              <w:rPr>
                <w:sz w:val="20"/>
                <w:szCs w:val="20"/>
                <w:color w:val="auto"/>
              </w:rPr>
            </w:pPr>
            <w:r>
              <w:rPr>
                <w:rFonts w:ascii="Arial" w:cs="Arial" w:eastAsia="Arial" w:hAnsi="Arial"/>
                <w:sz w:val="14"/>
                <w:szCs w:val="14"/>
                <w:color w:val="auto"/>
                <w:w w:val="91"/>
              </w:rPr>
              <w:t>compensation</w:t>
            </w:r>
          </w:p>
        </w:tc>
        <w:tc>
          <w:tcPr>
            <w:tcW w:w="1400" w:type="dxa"/>
            <w:vAlign w:val="bottom"/>
          </w:tcPr>
          <w:p>
            <w:pPr>
              <w:spacing w:after="0"/>
              <w:rPr>
                <w:sz w:val="15"/>
                <w:szCs w:val="15"/>
                <w:color w:val="auto"/>
              </w:rPr>
            </w:pPr>
          </w:p>
        </w:tc>
      </w:tr>
      <w:tr>
        <w:trPr>
          <w:trHeight w:val="181"/>
        </w:trPr>
        <w:tc>
          <w:tcPr>
            <w:tcW w:w="2060" w:type="dxa"/>
            <w:vAlign w:val="bottom"/>
          </w:tcPr>
          <w:p>
            <w:pPr>
              <w:spacing w:after="0"/>
              <w:rPr>
                <w:sz w:val="20"/>
                <w:szCs w:val="20"/>
                <w:color w:val="auto"/>
              </w:rPr>
            </w:pPr>
            <w:r>
              <w:rPr>
                <w:rFonts w:ascii="Arial" w:cs="Arial" w:eastAsia="Arial" w:hAnsi="Arial"/>
                <w:sz w:val="14"/>
                <w:szCs w:val="14"/>
                <w:color w:val="auto"/>
              </w:rPr>
              <w:t>Name</w:t>
            </w:r>
          </w:p>
        </w:tc>
        <w:tc>
          <w:tcPr>
            <w:tcW w:w="1580" w:type="dxa"/>
            <w:vAlign w:val="bottom"/>
          </w:tcPr>
          <w:p>
            <w:pPr>
              <w:jc w:val="right"/>
              <w:ind w:right="848"/>
              <w:spacing w:after="0"/>
              <w:rPr>
                <w:sz w:val="20"/>
                <w:szCs w:val="20"/>
                <w:color w:val="auto"/>
              </w:rPr>
            </w:pPr>
            <w:r>
              <w:rPr>
                <w:rFonts w:ascii="Arial" w:cs="Arial" w:eastAsia="Arial" w:hAnsi="Arial"/>
                <w:sz w:val="14"/>
                <w:szCs w:val="14"/>
                <w:color w:val="auto"/>
              </w:rPr>
              <w:t>Year</w:t>
            </w:r>
          </w:p>
        </w:tc>
        <w:tc>
          <w:tcPr>
            <w:tcW w:w="1660" w:type="dxa"/>
            <w:vAlign w:val="bottom"/>
          </w:tcPr>
          <w:p>
            <w:pPr>
              <w:jc w:val="right"/>
              <w:ind w:right="728"/>
              <w:spacing w:after="0"/>
              <w:rPr>
                <w:sz w:val="20"/>
                <w:szCs w:val="20"/>
                <w:color w:val="auto"/>
              </w:rPr>
            </w:pPr>
            <w:r>
              <w:rPr>
                <w:rFonts w:ascii="Arial" w:cs="Arial" w:eastAsia="Arial" w:hAnsi="Arial"/>
                <w:sz w:val="14"/>
                <w:szCs w:val="14"/>
                <w:color w:val="auto"/>
              </w:rPr>
              <w:t>Salary ($)</w:t>
            </w:r>
          </w:p>
        </w:tc>
        <w:tc>
          <w:tcPr>
            <w:tcW w:w="1520" w:type="dxa"/>
            <w:vAlign w:val="bottom"/>
          </w:tcPr>
          <w:p>
            <w:pPr>
              <w:jc w:val="center"/>
              <w:ind w:right="388"/>
              <w:spacing w:after="0"/>
              <w:rPr>
                <w:sz w:val="20"/>
                <w:szCs w:val="20"/>
                <w:color w:val="auto"/>
              </w:rPr>
            </w:pPr>
            <w:r>
              <w:rPr>
                <w:rFonts w:ascii="Arial" w:cs="Arial" w:eastAsia="Arial" w:hAnsi="Arial"/>
                <w:sz w:val="14"/>
                <w:szCs w:val="14"/>
                <w:color w:val="auto"/>
              </w:rPr>
              <w:t>($)</w:t>
            </w:r>
          </w:p>
        </w:tc>
        <w:tc>
          <w:tcPr>
            <w:tcW w:w="1560" w:type="dxa"/>
            <w:vAlign w:val="bottom"/>
          </w:tcPr>
          <w:p>
            <w:pPr>
              <w:jc w:val="center"/>
              <w:ind w:right="288"/>
              <w:spacing w:after="0"/>
              <w:rPr>
                <w:sz w:val="20"/>
                <w:szCs w:val="20"/>
                <w:color w:val="auto"/>
              </w:rPr>
            </w:pPr>
            <w:r>
              <w:rPr>
                <w:rFonts w:ascii="Arial" w:cs="Arial" w:eastAsia="Arial" w:hAnsi="Arial"/>
                <w:sz w:val="14"/>
                <w:szCs w:val="14"/>
                <w:color w:val="auto"/>
                <w:w w:val="93"/>
              </w:rPr>
              <w:t>($)</w:t>
            </w:r>
          </w:p>
        </w:tc>
        <w:tc>
          <w:tcPr>
            <w:tcW w:w="1640" w:type="dxa"/>
            <w:vAlign w:val="bottom"/>
          </w:tcPr>
          <w:p>
            <w:pPr>
              <w:jc w:val="center"/>
              <w:ind w:right="328"/>
              <w:spacing w:after="0"/>
              <w:rPr>
                <w:sz w:val="20"/>
                <w:szCs w:val="20"/>
                <w:color w:val="auto"/>
              </w:rPr>
            </w:pPr>
            <w:r>
              <w:rPr>
                <w:rFonts w:ascii="Arial" w:cs="Arial" w:eastAsia="Arial" w:hAnsi="Arial"/>
                <w:sz w:val="14"/>
                <w:szCs w:val="14"/>
                <w:color w:val="auto"/>
                <w:w w:val="93"/>
              </w:rPr>
              <w:t>($)</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Total ($)</w:t>
            </w:r>
          </w:p>
        </w:tc>
      </w:tr>
      <w:tr>
        <w:trPr>
          <w:trHeight w:val="24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John Climax</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611,666</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54,283</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18,674</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496,008</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1,180,631</w:t>
            </w:r>
          </w:p>
        </w:tc>
      </w:tr>
      <w:tr>
        <w:trPr>
          <w:trHeight w:val="243"/>
        </w:trPr>
        <w:tc>
          <w:tcPr>
            <w:tcW w:w="2060" w:type="dxa"/>
            <w:vAlign w:val="bottom"/>
          </w:tcPr>
          <w:p>
            <w:pPr>
              <w:spacing w:after="0"/>
              <w:rPr>
                <w:sz w:val="20"/>
                <w:szCs w:val="20"/>
                <w:color w:val="auto"/>
              </w:rPr>
            </w:pPr>
            <w:r>
              <w:rPr>
                <w:rFonts w:ascii="Arial" w:cs="Arial" w:eastAsia="Arial" w:hAnsi="Arial"/>
                <w:sz w:val="14"/>
                <w:szCs w:val="14"/>
                <w:color w:val="auto"/>
              </w:rPr>
              <w:t>Peter Gray</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435,200</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54,283</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44,274</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352,776</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886,533</w:t>
            </w:r>
          </w:p>
        </w:tc>
      </w:tr>
      <w:tr>
        <w:trPr>
          <w:trHeight w:val="24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Ronan Lambe</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183,500</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23,839</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31,124</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57,551</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296,014</w:t>
            </w:r>
          </w:p>
        </w:tc>
      </w:tr>
      <w:tr>
        <w:trPr>
          <w:trHeight w:val="243"/>
        </w:trPr>
        <w:tc>
          <w:tcPr>
            <w:tcW w:w="2060" w:type="dxa"/>
            <w:vAlign w:val="bottom"/>
          </w:tcPr>
          <w:p>
            <w:pPr>
              <w:spacing w:after="0"/>
              <w:rPr>
                <w:sz w:val="20"/>
                <w:szCs w:val="20"/>
                <w:color w:val="auto"/>
              </w:rPr>
            </w:pPr>
            <w:r>
              <w:rPr>
                <w:rFonts w:ascii="Arial" w:cs="Arial" w:eastAsia="Arial" w:hAnsi="Arial"/>
                <w:sz w:val="14"/>
                <w:szCs w:val="14"/>
                <w:color w:val="auto"/>
              </w:rPr>
              <w:t>Thomas Lynch</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35,000</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21,645</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56,645</w:t>
            </w:r>
          </w:p>
        </w:tc>
      </w:tr>
      <w:tr>
        <w:trPr>
          <w:trHeight w:val="24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Edward Roberts</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50,000</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19,665</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69,665</w:t>
            </w:r>
          </w:p>
        </w:tc>
      </w:tr>
      <w:tr>
        <w:trPr>
          <w:trHeight w:val="243"/>
        </w:trPr>
        <w:tc>
          <w:tcPr>
            <w:tcW w:w="2060" w:type="dxa"/>
            <w:vAlign w:val="bottom"/>
          </w:tcPr>
          <w:p>
            <w:pPr>
              <w:spacing w:after="0"/>
              <w:rPr>
                <w:sz w:val="20"/>
                <w:szCs w:val="20"/>
                <w:color w:val="auto"/>
              </w:rPr>
            </w:pPr>
            <w:r>
              <w:rPr>
                <w:rFonts w:ascii="Arial" w:cs="Arial" w:eastAsia="Arial" w:hAnsi="Arial"/>
                <w:sz w:val="14"/>
                <w:szCs w:val="14"/>
                <w:color w:val="auto"/>
              </w:rPr>
              <w:t>Shuji Higuchi</w:t>
            </w:r>
          </w:p>
        </w:tc>
        <w:tc>
          <w:tcPr>
            <w:tcW w:w="1580" w:type="dxa"/>
            <w:vAlign w:val="bottom"/>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30,000</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11,585</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41,585</w:t>
            </w:r>
          </w:p>
        </w:tc>
      </w:tr>
      <w:tr>
        <w:trPr>
          <w:trHeight w:val="243"/>
        </w:trPr>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Bruce Given</w:t>
            </w:r>
          </w:p>
        </w:tc>
        <w:tc>
          <w:tcPr>
            <w:tcW w:w="15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2006</w:t>
            </w:r>
          </w:p>
        </w:tc>
        <w:tc>
          <w:tcPr>
            <w:tcW w:w="16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35,000</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6,620</w:t>
            </w:r>
          </w:p>
        </w:tc>
        <w:tc>
          <w:tcPr>
            <w:tcW w:w="15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41,620</w:t>
            </w:r>
          </w:p>
        </w:tc>
      </w:tr>
      <w:tr>
        <w:trPr>
          <w:trHeight w:val="245"/>
        </w:trPr>
        <w:tc>
          <w:tcPr>
            <w:tcW w:w="2060" w:type="dxa"/>
            <w:vAlign w:val="bottom"/>
          </w:tcPr>
          <w:p>
            <w:pPr>
              <w:spacing w:after="0"/>
              <w:rPr>
                <w:sz w:val="20"/>
                <w:szCs w:val="20"/>
                <w:color w:val="auto"/>
              </w:rPr>
            </w:pPr>
            <w:r>
              <w:rPr>
                <w:rFonts w:ascii="Arial" w:cs="Arial" w:eastAsia="Arial" w:hAnsi="Arial"/>
                <w:sz w:val="14"/>
                <w:szCs w:val="14"/>
                <w:color w:val="auto"/>
              </w:rPr>
              <w:t>Total</w:t>
            </w:r>
          </w:p>
        </w:tc>
        <w:tc>
          <w:tcPr>
            <w:tcW w:w="1580" w:type="dxa"/>
            <w:vAlign w:val="bottom"/>
          </w:tcPr>
          <w:p>
            <w:pPr>
              <w:spacing w:after="0"/>
              <w:rPr>
                <w:sz w:val="21"/>
                <w:szCs w:val="21"/>
                <w:color w:val="auto"/>
              </w:rPr>
            </w:pPr>
          </w:p>
        </w:tc>
        <w:tc>
          <w:tcPr>
            <w:tcW w:w="1660" w:type="dxa"/>
            <w:vAlign w:val="bottom"/>
          </w:tcPr>
          <w:p>
            <w:pPr>
              <w:jc w:val="right"/>
              <w:ind w:right="268"/>
              <w:spacing w:after="0"/>
              <w:rPr>
                <w:sz w:val="20"/>
                <w:szCs w:val="20"/>
                <w:color w:val="auto"/>
              </w:rPr>
            </w:pPr>
            <w:r>
              <w:rPr>
                <w:rFonts w:ascii="Arial" w:cs="Arial" w:eastAsia="Arial" w:hAnsi="Arial"/>
                <w:sz w:val="14"/>
                <w:szCs w:val="14"/>
                <w:color w:val="auto"/>
              </w:rPr>
              <w:t>1,380,366</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191,920</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94,072</w:t>
            </w:r>
          </w:p>
        </w:tc>
        <w:tc>
          <w:tcPr>
            <w:tcW w:w="1640" w:type="dxa"/>
            <w:vAlign w:val="bottom"/>
          </w:tcPr>
          <w:p>
            <w:pPr>
              <w:jc w:val="right"/>
              <w:ind w:right="208"/>
              <w:spacing w:after="0"/>
              <w:rPr>
                <w:sz w:val="20"/>
                <w:szCs w:val="20"/>
                <w:color w:val="auto"/>
              </w:rPr>
            </w:pPr>
            <w:r>
              <w:rPr>
                <w:rFonts w:ascii="Arial" w:cs="Arial" w:eastAsia="Arial" w:hAnsi="Arial"/>
                <w:sz w:val="14"/>
                <w:szCs w:val="14"/>
                <w:color w:val="auto"/>
              </w:rPr>
              <w:t>906,335</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2,572,693</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Grant of Plan-Based Awards - Fiscal 2006</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With the exception of the bonus element of compensation mentioned above, there were no plan based awards for any of the named executive officers in fiscal 2006.</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Interests Received as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Outstanding Equity Awards Table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stock options held by the Named Executive Officers at December 31, 2006:</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60" w:type="dxa"/>
            <w:vAlign w:val="bottom"/>
          </w:tcPr>
          <w:p>
            <w:pPr>
              <w:spacing w:after="0"/>
              <w:rPr>
                <w:sz w:val="20"/>
                <w:szCs w:val="20"/>
                <w:color w:val="auto"/>
              </w:rPr>
            </w:pPr>
            <w:r>
              <w:rPr>
                <w:rFonts w:ascii="Arial" w:cs="Arial" w:eastAsia="Arial" w:hAnsi="Arial"/>
                <w:sz w:val="14"/>
                <w:szCs w:val="14"/>
                <w:color w:val="auto"/>
              </w:rPr>
              <w:t>Name</w:t>
            </w: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Option awards</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412"/>
        </w:trPr>
        <w:tc>
          <w:tcPr>
            <w:tcW w:w="3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Arial" w:cs="Arial" w:eastAsia="Arial" w:hAnsi="Arial"/>
                <w:sz w:val="14"/>
                <w:szCs w:val="14"/>
                <w:color w:val="auto"/>
              </w:rPr>
              <w:t>Equity incentive</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3060" w:type="dxa"/>
            <w:vAlign w:val="bottom"/>
          </w:tcPr>
          <w:p>
            <w:pPr>
              <w:spacing w:after="0"/>
              <w:rPr>
                <w:sz w:val="15"/>
                <w:szCs w:val="15"/>
                <w:color w:val="auto"/>
              </w:rPr>
            </w:pPr>
          </w:p>
        </w:tc>
        <w:tc>
          <w:tcPr>
            <w:tcW w:w="3380" w:type="dxa"/>
            <w:vAlign w:val="bottom"/>
          </w:tcPr>
          <w:p>
            <w:pPr>
              <w:ind w:left="2220"/>
              <w:spacing w:after="0"/>
              <w:rPr>
                <w:sz w:val="20"/>
                <w:szCs w:val="20"/>
                <w:color w:val="auto"/>
              </w:rPr>
            </w:pPr>
            <w:r>
              <w:rPr>
                <w:rFonts w:ascii="Arial" w:cs="Arial" w:eastAsia="Arial" w:hAnsi="Arial"/>
                <w:sz w:val="14"/>
                <w:szCs w:val="14"/>
                <w:color w:val="auto"/>
              </w:rPr>
              <w:t>No of securities</w:t>
            </w:r>
          </w:p>
        </w:tc>
        <w:tc>
          <w:tcPr>
            <w:tcW w:w="1260" w:type="dxa"/>
            <w:vAlign w:val="bottom"/>
          </w:tcPr>
          <w:p>
            <w:pPr>
              <w:ind w:left="120"/>
              <w:spacing w:after="0"/>
              <w:rPr>
                <w:sz w:val="20"/>
                <w:szCs w:val="20"/>
                <w:color w:val="auto"/>
              </w:rPr>
            </w:pPr>
            <w:r>
              <w:rPr>
                <w:rFonts w:ascii="Arial" w:cs="Arial" w:eastAsia="Arial" w:hAnsi="Arial"/>
                <w:sz w:val="14"/>
                <w:szCs w:val="14"/>
                <w:color w:val="auto"/>
              </w:rPr>
              <w:t>No of securities</w:t>
            </w:r>
          </w:p>
        </w:tc>
        <w:tc>
          <w:tcPr>
            <w:tcW w:w="1180" w:type="dxa"/>
            <w:vAlign w:val="bottom"/>
          </w:tcPr>
          <w:p>
            <w:pPr>
              <w:ind w:left="100"/>
              <w:spacing w:after="0"/>
              <w:rPr>
                <w:sz w:val="20"/>
                <w:szCs w:val="20"/>
                <w:color w:val="auto"/>
              </w:rPr>
            </w:pPr>
            <w:r>
              <w:rPr>
                <w:rFonts w:ascii="Arial" w:cs="Arial" w:eastAsia="Arial" w:hAnsi="Arial"/>
                <w:sz w:val="14"/>
                <w:szCs w:val="14"/>
                <w:color w:val="auto"/>
              </w:rPr>
              <w:t>plan awards: No</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3380" w:type="dxa"/>
            <w:vAlign w:val="bottom"/>
          </w:tcPr>
          <w:p>
            <w:pPr>
              <w:ind w:left="2220"/>
              <w:spacing w:after="0"/>
              <w:rPr>
                <w:sz w:val="20"/>
                <w:szCs w:val="20"/>
                <w:color w:val="auto"/>
              </w:rPr>
            </w:pPr>
            <w:r>
              <w:rPr>
                <w:rFonts w:ascii="Arial" w:cs="Arial" w:eastAsia="Arial" w:hAnsi="Arial"/>
                <w:sz w:val="14"/>
                <w:szCs w:val="14"/>
                <w:color w:val="auto"/>
              </w:rPr>
              <w:t>underlying</w:t>
            </w:r>
          </w:p>
        </w:tc>
        <w:tc>
          <w:tcPr>
            <w:tcW w:w="1260" w:type="dxa"/>
            <w:vAlign w:val="bottom"/>
          </w:tcPr>
          <w:p>
            <w:pPr>
              <w:ind w:left="120"/>
              <w:spacing w:after="0"/>
              <w:rPr>
                <w:sz w:val="20"/>
                <w:szCs w:val="20"/>
                <w:color w:val="auto"/>
              </w:rPr>
            </w:pPr>
            <w:r>
              <w:rPr>
                <w:rFonts w:ascii="Arial" w:cs="Arial" w:eastAsia="Arial" w:hAnsi="Arial"/>
                <w:sz w:val="14"/>
                <w:szCs w:val="14"/>
                <w:color w:val="auto"/>
              </w:rPr>
              <w:t>underlying</w:t>
            </w:r>
          </w:p>
        </w:tc>
        <w:tc>
          <w:tcPr>
            <w:tcW w:w="1180" w:type="dxa"/>
            <w:vAlign w:val="bottom"/>
          </w:tcPr>
          <w:p>
            <w:pPr>
              <w:ind w:left="100"/>
              <w:spacing w:after="0"/>
              <w:rPr>
                <w:sz w:val="20"/>
                <w:szCs w:val="20"/>
                <w:color w:val="auto"/>
              </w:rPr>
            </w:pPr>
            <w:r>
              <w:rPr>
                <w:rFonts w:ascii="Arial" w:cs="Arial" w:eastAsia="Arial" w:hAnsi="Arial"/>
                <w:sz w:val="14"/>
                <w:szCs w:val="14"/>
                <w:color w:val="auto"/>
              </w:rPr>
              <w:t>of securities</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3380" w:type="dxa"/>
            <w:vAlign w:val="bottom"/>
          </w:tcPr>
          <w:p>
            <w:pPr>
              <w:ind w:left="2220"/>
              <w:spacing w:after="0"/>
              <w:rPr>
                <w:sz w:val="20"/>
                <w:szCs w:val="20"/>
                <w:color w:val="auto"/>
              </w:rPr>
            </w:pPr>
            <w:r>
              <w:rPr>
                <w:rFonts w:ascii="Arial" w:cs="Arial" w:eastAsia="Arial" w:hAnsi="Arial"/>
                <w:sz w:val="14"/>
                <w:szCs w:val="14"/>
                <w:color w:val="auto"/>
              </w:rPr>
              <w:t>unexercised</w:t>
            </w:r>
          </w:p>
        </w:tc>
        <w:tc>
          <w:tcPr>
            <w:tcW w:w="1260" w:type="dxa"/>
            <w:vAlign w:val="bottom"/>
          </w:tcPr>
          <w:p>
            <w:pPr>
              <w:ind w:left="120"/>
              <w:spacing w:after="0"/>
              <w:rPr>
                <w:sz w:val="20"/>
                <w:szCs w:val="20"/>
                <w:color w:val="auto"/>
              </w:rPr>
            </w:pPr>
            <w:r>
              <w:rPr>
                <w:rFonts w:ascii="Arial" w:cs="Arial" w:eastAsia="Arial" w:hAnsi="Arial"/>
                <w:sz w:val="14"/>
                <w:szCs w:val="14"/>
                <w:color w:val="auto"/>
              </w:rPr>
              <w:t>unexercised</w:t>
            </w:r>
          </w:p>
        </w:tc>
        <w:tc>
          <w:tcPr>
            <w:tcW w:w="1180" w:type="dxa"/>
            <w:vAlign w:val="bottom"/>
          </w:tcPr>
          <w:p>
            <w:pPr>
              <w:ind w:left="100"/>
              <w:spacing w:after="0"/>
              <w:rPr>
                <w:sz w:val="20"/>
                <w:szCs w:val="20"/>
                <w:color w:val="auto"/>
              </w:rPr>
            </w:pPr>
            <w:r>
              <w:rPr>
                <w:rFonts w:ascii="Arial" w:cs="Arial" w:eastAsia="Arial" w:hAnsi="Arial"/>
                <w:sz w:val="14"/>
                <w:szCs w:val="14"/>
                <w:color w:val="auto"/>
              </w:rPr>
              <w:t>underlying</w:t>
            </w:r>
          </w:p>
        </w:tc>
        <w:tc>
          <w:tcPr>
            <w:tcW w:w="760" w:type="dxa"/>
            <w:vAlign w:val="bottom"/>
          </w:tcPr>
          <w:p>
            <w:pPr>
              <w:ind w:left="160"/>
              <w:spacing w:after="0"/>
              <w:rPr>
                <w:sz w:val="20"/>
                <w:szCs w:val="20"/>
                <w:color w:val="auto"/>
              </w:rPr>
            </w:pPr>
            <w:r>
              <w:rPr>
                <w:rFonts w:ascii="Arial" w:cs="Arial" w:eastAsia="Arial" w:hAnsi="Arial"/>
                <w:sz w:val="14"/>
                <w:szCs w:val="14"/>
                <w:color w:val="auto"/>
              </w:rPr>
              <w:t>Option</w:t>
            </w:r>
          </w:p>
        </w:tc>
        <w:tc>
          <w:tcPr>
            <w:tcW w:w="5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Option</w:t>
            </w:r>
          </w:p>
        </w:tc>
      </w:tr>
      <w:tr>
        <w:trPr>
          <w:trHeight w:val="176"/>
        </w:trPr>
        <w:tc>
          <w:tcPr>
            <w:tcW w:w="3060" w:type="dxa"/>
            <w:vAlign w:val="bottom"/>
          </w:tcPr>
          <w:p>
            <w:pPr>
              <w:spacing w:after="0"/>
              <w:rPr>
                <w:sz w:val="15"/>
                <w:szCs w:val="15"/>
                <w:color w:val="auto"/>
              </w:rPr>
            </w:pPr>
          </w:p>
        </w:tc>
        <w:tc>
          <w:tcPr>
            <w:tcW w:w="3380" w:type="dxa"/>
            <w:vAlign w:val="bottom"/>
          </w:tcPr>
          <w:p>
            <w:pPr>
              <w:ind w:left="2220"/>
              <w:spacing w:after="0"/>
              <w:rPr>
                <w:sz w:val="20"/>
                <w:szCs w:val="20"/>
                <w:color w:val="auto"/>
              </w:rPr>
            </w:pPr>
            <w:r>
              <w:rPr>
                <w:rFonts w:ascii="Arial" w:cs="Arial" w:eastAsia="Arial" w:hAnsi="Arial"/>
                <w:sz w:val="14"/>
                <w:szCs w:val="14"/>
                <w:color w:val="auto"/>
              </w:rPr>
              <w:t>options -</w:t>
            </w:r>
          </w:p>
        </w:tc>
        <w:tc>
          <w:tcPr>
            <w:tcW w:w="1260" w:type="dxa"/>
            <w:vAlign w:val="bottom"/>
          </w:tcPr>
          <w:p>
            <w:pPr>
              <w:ind w:left="120"/>
              <w:spacing w:after="0"/>
              <w:rPr>
                <w:sz w:val="20"/>
                <w:szCs w:val="20"/>
                <w:color w:val="auto"/>
              </w:rPr>
            </w:pPr>
            <w:r>
              <w:rPr>
                <w:rFonts w:ascii="Arial" w:cs="Arial" w:eastAsia="Arial" w:hAnsi="Arial"/>
                <w:sz w:val="14"/>
                <w:szCs w:val="14"/>
                <w:color w:val="auto"/>
              </w:rPr>
              <w:t>options -</w:t>
            </w:r>
          </w:p>
        </w:tc>
        <w:tc>
          <w:tcPr>
            <w:tcW w:w="1180" w:type="dxa"/>
            <w:vAlign w:val="bottom"/>
          </w:tcPr>
          <w:p>
            <w:pPr>
              <w:ind w:left="100"/>
              <w:spacing w:after="0"/>
              <w:rPr>
                <w:sz w:val="20"/>
                <w:szCs w:val="20"/>
                <w:color w:val="auto"/>
              </w:rPr>
            </w:pPr>
            <w:r>
              <w:rPr>
                <w:rFonts w:ascii="Arial" w:cs="Arial" w:eastAsia="Arial" w:hAnsi="Arial"/>
                <w:sz w:val="14"/>
                <w:szCs w:val="14"/>
                <w:color w:val="auto"/>
              </w:rPr>
              <w:t>unexercised</w:t>
            </w:r>
          </w:p>
        </w:tc>
        <w:tc>
          <w:tcPr>
            <w:tcW w:w="760" w:type="dxa"/>
            <w:vAlign w:val="bottom"/>
          </w:tcPr>
          <w:p>
            <w:pPr>
              <w:ind w:left="160"/>
              <w:spacing w:after="0"/>
              <w:rPr>
                <w:sz w:val="20"/>
                <w:szCs w:val="20"/>
                <w:color w:val="auto"/>
              </w:rPr>
            </w:pPr>
            <w:r>
              <w:rPr>
                <w:rFonts w:ascii="Arial" w:cs="Arial" w:eastAsia="Arial" w:hAnsi="Arial"/>
                <w:sz w:val="14"/>
                <w:szCs w:val="14"/>
                <w:color w:val="auto"/>
              </w:rPr>
              <w:t>exercise</w:t>
            </w:r>
          </w:p>
        </w:tc>
        <w:tc>
          <w:tcPr>
            <w:tcW w:w="5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expiration</w:t>
            </w:r>
          </w:p>
        </w:tc>
      </w:tr>
      <w:tr>
        <w:trPr>
          <w:trHeight w:val="181"/>
        </w:trPr>
        <w:tc>
          <w:tcPr>
            <w:tcW w:w="3060" w:type="dxa"/>
            <w:vAlign w:val="bottom"/>
          </w:tcPr>
          <w:p>
            <w:pPr>
              <w:spacing w:after="0"/>
              <w:rPr>
                <w:sz w:val="15"/>
                <w:szCs w:val="15"/>
                <w:color w:val="auto"/>
              </w:rPr>
            </w:pPr>
          </w:p>
        </w:tc>
        <w:tc>
          <w:tcPr>
            <w:tcW w:w="3380" w:type="dxa"/>
            <w:vAlign w:val="bottom"/>
          </w:tcPr>
          <w:p>
            <w:pPr>
              <w:ind w:left="2220"/>
              <w:spacing w:after="0"/>
              <w:rPr>
                <w:sz w:val="20"/>
                <w:szCs w:val="20"/>
                <w:color w:val="auto"/>
              </w:rPr>
            </w:pPr>
            <w:r>
              <w:rPr>
                <w:rFonts w:ascii="Arial" w:cs="Arial" w:eastAsia="Arial" w:hAnsi="Arial"/>
                <w:sz w:val="14"/>
                <w:szCs w:val="14"/>
                <w:color w:val="auto"/>
              </w:rPr>
              <w:t>exercisable</w:t>
            </w:r>
          </w:p>
        </w:tc>
        <w:tc>
          <w:tcPr>
            <w:tcW w:w="1260" w:type="dxa"/>
            <w:vAlign w:val="bottom"/>
          </w:tcPr>
          <w:p>
            <w:pPr>
              <w:ind w:left="120"/>
              <w:spacing w:after="0"/>
              <w:rPr>
                <w:sz w:val="20"/>
                <w:szCs w:val="20"/>
                <w:color w:val="auto"/>
              </w:rPr>
            </w:pPr>
            <w:r>
              <w:rPr>
                <w:rFonts w:ascii="Arial" w:cs="Arial" w:eastAsia="Arial" w:hAnsi="Arial"/>
                <w:sz w:val="14"/>
                <w:szCs w:val="14"/>
                <w:color w:val="auto"/>
              </w:rPr>
              <w:t>unexercisable</w:t>
            </w:r>
          </w:p>
        </w:tc>
        <w:tc>
          <w:tcPr>
            <w:tcW w:w="1180" w:type="dxa"/>
            <w:vAlign w:val="bottom"/>
          </w:tcPr>
          <w:p>
            <w:pPr>
              <w:ind w:left="100"/>
              <w:spacing w:after="0"/>
              <w:rPr>
                <w:sz w:val="20"/>
                <w:szCs w:val="20"/>
                <w:color w:val="auto"/>
              </w:rPr>
            </w:pPr>
            <w:r>
              <w:rPr>
                <w:rFonts w:ascii="Arial" w:cs="Arial" w:eastAsia="Arial" w:hAnsi="Arial"/>
                <w:sz w:val="14"/>
                <w:szCs w:val="14"/>
                <w:color w:val="auto"/>
                <w:w w:val="97"/>
              </w:rPr>
              <w:t>unearned options</w:t>
            </w:r>
          </w:p>
        </w:tc>
        <w:tc>
          <w:tcPr>
            <w:tcW w:w="760" w:type="dxa"/>
            <w:vAlign w:val="bottom"/>
          </w:tcPr>
          <w:p>
            <w:pPr>
              <w:ind w:left="160"/>
              <w:spacing w:after="0"/>
              <w:rPr>
                <w:sz w:val="20"/>
                <w:szCs w:val="20"/>
                <w:color w:val="auto"/>
              </w:rPr>
            </w:pPr>
            <w:r>
              <w:rPr>
                <w:rFonts w:ascii="Arial" w:cs="Arial" w:eastAsia="Arial" w:hAnsi="Arial"/>
                <w:sz w:val="14"/>
                <w:szCs w:val="14"/>
                <w:color w:val="auto"/>
              </w:rPr>
              <w:t>price ($)</w:t>
            </w:r>
          </w:p>
        </w:tc>
        <w:tc>
          <w:tcPr>
            <w:tcW w:w="54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date</w:t>
            </w: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Peter Gray</w:t>
            </w: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 11, 2010</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Jan 21, 2011</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17.75</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 4, 2012</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22.00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Feb 3, 2014</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4"/>
                <w:szCs w:val="14"/>
                <w:color w:val="auto"/>
              </w:rPr>
              <w:t>Ciaran Murray</w:t>
            </w: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20.84</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Jan 17, 2014</w:t>
            </w:r>
          </w:p>
        </w:tc>
      </w:tr>
      <w:tr>
        <w:trPr>
          <w:trHeight w:val="270"/>
        </w:trPr>
        <w:tc>
          <w:tcPr>
            <w:tcW w:w="3060" w:type="dxa"/>
            <w:vAlign w:val="bottom"/>
            <w:shd w:val="clear" w:color="auto" w:fill="CCEEFF"/>
          </w:tcPr>
          <w:p>
            <w:pPr>
              <w:spacing w:after="0"/>
              <w:rPr>
                <w:sz w:val="23"/>
                <w:szCs w:val="23"/>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 3, 2014</w:t>
            </w:r>
          </w:p>
        </w:tc>
      </w:tr>
      <w:tr>
        <w:trPr>
          <w:trHeight w:val="243"/>
        </w:trPr>
        <w:tc>
          <w:tcPr>
            <w:tcW w:w="30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John Climax</w:t>
            </w: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 11, 2010</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Jan 21, 2011</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17.75</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 4, 2012</w:t>
            </w:r>
          </w:p>
        </w:tc>
      </w:tr>
      <w:tr>
        <w:trPr>
          <w:trHeight w:val="270"/>
        </w:trPr>
        <w:tc>
          <w:tcPr>
            <w:tcW w:w="3060" w:type="dxa"/>
            <w:vAlign w:val="bottom"/>
          </w:tcPr>
          <w:p>
            <w:pPr>
              <w:spacing w:after="0"/>
              <w:rPr>
                <w:sz w:val="23"/>
                <w:szCs w:val="23"/>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22.00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Feb 3, 2014</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4"/>
                <w:szCs w:val="14"/>
                <w:color w:val="auto"/>
              </w:rPr>
              <w:t>Sean Leech</w:t>
            </w: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3,200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9.00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Feb 14, 2008</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10.63</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 29, 2009</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Jan 11, 2010</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Jan 21, 2011</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Feb 4, 2012</w:t>
            </w:r>
          </w:p>
        </w:tc>
      </w:tr>
      <w:tr>
        <w:trPr>
          <w:trHeight w:val="243"/>
        </w:trPr>
        <w:tc>
          <w:tcPr>
            <w:tcW w:w="3060" w:type="dxa"/>
            <w:vAlign w:val="bottom"/>
            <w:shd w:val="clear" w:color="auto" w:fill="CCEEFF"/>
          </w:tcPr>
          <w:p>
            <w:pPr>
              <w:spacing w:after="0"/>
              <w:rPr>
                <w:sz w:val="21"/>
                <w:szCs w:val="21"/>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 7, 2013</w:t>
            </w:r>
          </w:p>
        </w:tc>
      </w:tr>
      <w:tr>
        <w:trPr>
          <w:trHeight w:val="243"/>
        </w:trPr>
        <w:tc>
          <w:tcPr>
            <w:tcW w:w="3060" w:type="dxa"/>
            <w:vAlign w:val="bottom"/>
          </w:tcPr>
          <w:p>
            <w:pPr>
              <w:spacing w:after="0"/>
              <w:rPr>
                <w:sz w:val="21"/>
                <w:szCs w:val="21"/>
                <w:color w:val="auto"/>
              </w:rPr>
            </w:pP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1,600</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6,400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17.20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Feb 24, 2013</w:t>
            </w:r>
          </w:p>
        </w:tc>
      </w:tr>
      <w:tr>
        <w:trPr>
          <w:trHeight w:val="270"/>
        </w:trPr>
        <w:tc>
          <w:tcPr>
            <w:tcW w:w="3060" w:type="dxa"/>
            <w:vAlign w:val="bottom"/>
            <w:shd w:val="clear" w:color="auto" w:fill="CCEEFF"/>
          </w:tcPr>
          <w:p>
            <w:pPr>
              <w:spacing w:after="0"/>
              <w:rPr>
                <w:sz w:val="23"/>
                <w:szCs w:val="23"/>
                <w:color w:val="auto"/>
              </w:rPr>
            </w:pPr>
          </w:p>
        </w:tc>
        <w:tc>
          <w:tcPr>
            <w:tcW w:w="3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22.00</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Feb 3, 2014</w:t>
            </w:r>
          </w:p>
        </w:tc>
      </w:tr>
    </w:tbl>
    <w:p>
      <w:pPr>
        <w:spacing w:after="0" w:line="238" w:lineRule="exact"/>
        <w:rPr>
          <w:sz w:val="20"/>
          <w:szCs w:val="20"/>
          <w:color w:val="auto"/>
        </w:rPr>
      </w:pPr>
    </w:p>
    <w:p>
      <w:pPr>
        <w:ind w:right="540"/>
        <w:spacing w:after="0" w:line="293" w:lineRule="auto"/>
        <w:rPr>
          <w:sz w:val="20"/>
          <w:szCs w:val="20"/>
          <w:color w:val="auto"/>
        </w:rPr>
      </w:pPr>
      <w:r>
        <w:rPr>
          <w:rFonts w:ascii="Arial" w:cs="Arial" w:eastAsia="Arial" w:hAnsi="Arial"/>
          <w:sz w:val="14"/>
          <w:szCs w:val="14"/>
          <w:color w:val="auto"/>
        </w:rPr>
        <w:t>All information in this table relates to nonqualified stock options. The Company has not granted any stock appreciation rights ("SARs") in fiscal year 2006. Substantially all options become exercisable in five equal installments each year beginning on the first anniversary of the grant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Options Exercised Table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options exercised during fiscal 2006 by any of the Named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Retirement Plans &amp; Other Post-Employment Payments &amp; Benefits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Pension Plan</w:t>
      </w:r>
    </w:p>
    <w:p>
      <w:pPr>
        <w:spacing w:after="0" w:line="21" w:lineRule="exact"/>
        <w:rPr>
          <w:sz w:val="20"/>
          <w:szCs w:val="20"/>
          <w:color w:val="auto"/>
        </w:rPr>
      </w:pPr>
    </w:p>
    <w:p>
      <w:pPr>
        <w:ind w:right="300"/>
        <w:spacing w:after="0" w:line="272" w:lineRule="auto"/>
        <w:rPr>
          <w:sz w:val="20"/>
          <w:szCs w:val="20"/>
          <w:color w:val="auto"/>
        </w:rPr>
      </w:pPr>
      <w:r>
        <w:rPr>
          <w:rFonts w:ascii="Arial" w:cs="Arial" w:eastAsia="Arial" w:hAnsi="Arial"/>
          <w:sz w:val="14"/>
          <w:szCs w:val="14"/>
          <w:color w:val="auto"/>
        </w:rPr>
        <w:t>All named executive officers are eligible to participate in a defined contribution plan (the "Plan"). The Company matches each participant's contributions up to a percentage of their annual compensation. Contributions to this plan are recorded, as expense in the Consolidated Statement of Operations. Total company contributions for the named executive officers for the year ended December 31, 2006 was $101,304.</w:t>
      </w:r>
    </w:p>
    <w:p>
      <w:pPr>
        <w:spacing w:after="0" w:line="243" w:lineRule="exact"/>
        <w:rPr>
          <w:sz w:val="20"/>
          <w:szCs w:val="20"/>
          <w:color w:val="auto"/>
        </w:rPr>
      </w:pPr>
    </w:p>
    <w:p>
      <w:pPr>
        <w:jc w:val="both"/>
        <w:ind w:right="60"/>
        <w:spacing w:after="0" w:line="277" w:lineRule="auto"/>
        <w:rPr>
          <w:sz w:val="20"/>
          <w:szCs w:val="20"/>
          <w:color w:val="auto"/>
        </w:rPr>
      </w:pPr>
      <w:r>
        <w:rPr>
          <w:rFonts w:ascii="Arial" w:cs="Arial" w:eastAsia="Arial" w:hAnsi="Arial"/>
          <w:sz w:val="14"/>
          <w:szCs w:val="14"/>
          <w:color w:val="auto"/>
        </w:rPr>
        <w:t>The Company's United States operations maintain a retirement plan (the "U.S. Plan") that qualifies as a deferred salary arrangement under Section 401(k) of the Internal Revenue Code. In addition one of the Company’s subsidiaries which was acquired during the 2003 fiscal year, Medeval Group Limited, operates a defined benefit pension plan in the United Kingdom for its employees. None of the named executive officers are participants in the U.S. Plan or the defined benefit pension plan.</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the Company’s retirement plans can be found in Note 9 to the Consolidate Financial Statements “Employee Benefits”.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Non-qualified Defined Contributions and Deferred Compensation Plans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None of the Named Executive Officers are involved in any non-qualified defined contribution plan or receives any nonqualified deferred compensation.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compensation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Employment Contracts, Termination of Employment and Change in Control Arrangements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Company does not have any Termination or Change of Control Agreements with its named executive officers.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Directors’ and Executive Officers’ service agreements and letters of engagement</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Mr. Peter Gray</w:t>
      </w:r>
    </w:p>
    <w:p>
      <w:pPr>
        <w:spacing w:after="0" w:line="2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Mr. Peter Gray has served as the Chief Executive Officer since November 2002. He served as the Chief Operating Officer of the Company from June 2001 to November 2002 and as an Executive Director of the Company since June 1997. The service agreement with Mr. Gray is terminable on 6 months notice by either party. He is entitled to receive a bonus to be agreed by the Committee. He is also entitled to receive a pension contribution, company car and medical insurance cover for himself and his dependants. He has previously been granted 36,000 ordinary share options at exercise prices ranging from U.S.$14.00 to U.S.$22.00 per share. His service agreement requires him to devote his full time and attention to his duties for the Company. The agreement includes certain post termination clauses including non-disclosure, non-competition and non-solicitation provisions.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Mr. Ciaran Murray</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Mr. Ciaran Murray has served as the Chief Financial Officer since October 2005. The service agreement with Mr. Murray is terminable on 6 months notice by either party. He is entitled to receive a bonus to be agreed by the Committee. He is also entitled to receive a pension contribution, a company car and medical insurance cover for himself and his dependants. He has previously been granted 39,000 ordinary share options at exercise prices ranging from U.S.$20.84 to U.S.$22.00 per share. His service agreement requires him to devote his full time and attention to his duties for the Company. The agreement includes certain post termination clauses including non-disclosure, non-competition and non-solicitation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 John Climax</w:t>
      </w:r>
    </w:p>
    <w:p>
      <w:pPr>
        <w:spacing w:after="0" w:line="2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Dr. John Climax, one of the Company’s co-founders, has served as a Director since June 1990, and Chief Executive Officer from June 1990 to October 2002. He was appointed Chairman of the Board in November 2002. The service agreement with Dr. Climax is terminable on 6 months notice by either party. He is entitled to receive a bonus to be agreed by the Committee. He is entitled to receive a pension contribution, company car and medical insurance cover for himself and his dependants. He has previously been granted 36,000 ordinary share options at exercise prices ranging from U.S.$14.00 to U.S.$22.00 per share. His service agreement requires him to devote his full time and attention to his duties for the Company. The agreement includes certain post termination clauses including non-disclosure, non-competition and non-solicitation provisions.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4" w:right="27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color w:val="auto"/>
        </w:rPr>
        <w:t>Mr. Sean Leech</w:t>
      </w:r>
    </w:p>
    <w:p>
      <w:pPr>
        <w:spacing w:after="0" w:line="21" w:lineRule="exact"/>
        <w:rPr>
          <w:sz w:val="20"/>
          <w:szCs w:val="20"/>
          <w:color w:val="auto"/>
        </w:rPr>
      </w:pPr>
    </w:p>
    <w:p>
      <w:pPr>
        <w:jc w:val="both"/>
        <w:ind w:right="120"/>
        <w:spacing w:after="0" w:line="292" w:lineRule="auto"/>
        <w:rPr>
          <w:sz w:val="20"/>
          <w:szCs w:val="20"/>
          <w:color w:val="auto"/>
        </w:rPr>
      </w:pPr>
      <w:r>
        <w:rPr>
          <w:rFonts w:ascii="Arial" w:cs="Arial" w:eastAsia="Arial" w:hAnsi="Arial"/>
          <w:sz w:val="13"/>
          <w:szCs w:val="13"/>
          <w:color w:val="auto"/>
        </w:rPr>
        <w:t>Mr. Sean Leech has served as Executive Vice President Commercial and Organization Development since October 2005. Prior to this Mr. Leech served as the Chief Financial Officer of ICON and its subsidiaries since June 2001 and previously as Group Vice President of Finance from June 1999. The Company has a service agreement with Mr. Leech which is terminable on 6 months notice by either party. He is entitled to receive a bonus to be agreed by the Committee. He is also entitled to receive a pension contribution, a company car and medical insurance cover for himself and his dependants. He has previously been granted 110,800 ordinary share options at exercise prices ranging from U.S.$9.00 to U.S.$22.00 per share. His service agreement requires him to devote his full time and attention to his duties for the Company. The agreement includes certain post termination clauses including non-disclosure, non-competition and non-solicitation provisions.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b w:val="1"/>
          <w:bCs w:val="1"/>
          <w:i w:val="1"/>
          <w:iCs w:val="1"/>
          <w:color w:val="auto"/>
        </w:rPr>
        <w:t>Major Shareholders and Related Party Transactions.</w:t>
      </w:r>
    </w:p>
    <w:p>
      <w:pPr>
        <w:spacing w:after="0" w:line="289" w:lineRule="exact"/>
        <w:rPr>
          <w:sz w:val="20"/>
          <w:szCs w:val="20"/>
          <w:color w:val="auto"/>
        </w:rPr>
      </w:pPr>
    </w:p>
    <w:p>
      <w:pPr>
        <w:ind w:left="1040" w:hanging="451"/>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ICON plc, is not directly or indirectly, owned or controlled by another corporation or by any government.</w:t>
      </w:r>
    </w:p>
    <w:p>
      <w:pPr>
        <w:spacing w:after="0" w:line="325" w:lineRule="exact"/>
        <w:rPr>
          <w:rFonts w:ascii="Arial" w:cs="Arial" w:eastAsia="Arial" w:hAnsi="Arial"/>
          <w:sz w:val="14"/>
          <w:szCs w:val="14"/>
          <w:color w:val="auto"/>
        </w:rPr>
      </w:pPr>
    </w:p>
    <w:p>
      <w:pPr>
        <w:jc w:val="both"/>
        <w:ind w:left="1040" w:hanging="451"/>
        <w:spacing w:after="0" w:line="272" w:lineRule="auto"/>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following table sets forth certain information regarding beneficial ownership of ICON's ordinary shares (including ADSs) as of February 12, 2007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Owner or Identity of Group</w:t>
            </w:r>
          </w:p>
        </w:tc>
        <w:tc>
          <w:tcPr>
            <w:tcW w:w="4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No. of Shares (1)</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87"/>
              </w:rPr>
              <w:t>Percent of Class</w:t>
            </w:r>
          </w:p>
        </w:tc>
        <w:tc>
          <w:tcPr>
            <w:tcW w:w="120" w:type="dxa"/>
            <w:vAlign w:val="bottom"/>
          </w:tcPr>
          <w:p>
            <w:pPr>
              <w:spacing w:after="0"/>
              <w:rPr>
                <w:sz w:val="16"/>
                <w:szCs w:val="16"/>
                <w:color w:val="auto"/>
              </w:rPr>
            </w:pPr>
          </w:p>
        </w:tc>
      </w:tr>
      <w:tr>
        <w:trPr>
          <w:trHeight w:val="237"/>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Fidelity Group Companies (3)</w:t>
            </w:r>
          </w:p>
        </w:tc>
        <w:tc>
          <w:tcPr>
            <w:tcW w:w="4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3,498,762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243"/>
        </w:trPr>
        <w:tc>
          <w:tcPr>
            <w:tcW w:w="5480" w:type="dxa"/>
            <w:vAlign w:val="bottom"/>
          </w:tcPr>
          <w:p>
            <w:pPr>
              <w:spacing w:after="0"/>
              <w:rPr>
                <w:sz w:val="20"/>
                <w:szCs w:val="20"/>
                <w:color w:val="auto"/>
              </w:rPr>
            </w:pPr>
            <w:r>
              <w:rPr>
                <w:rFonts w:ascii="Arial" w:cs="Arial" w:eastAsia="Arial" w:hAnsi="Arial"/>
                <w:sz w:val="14"/>
                <w:szCs w:val="14"/>
                <w:color w:val="auto"/>
              </w:rPr>
              <w:t>Dr. John Climax (2)</w:t>
            </w:r>
          </w:p>
        </w:tc>
        <w:tc>
          <w:tcPr>
            <w:tcW w:w="4540" w:type="dxa"/>
            <w:vAlign w:val="bottom"/>
          </w:tcPr>
          <w:p>
            <w:pPr>
              <w:jc w:val="right"/>
              <w:ind w:right="228"/>
              <w:spacing w:after="0"/>
              <w:rPr>
                <w:sz w:val="20"/>
                <w:szCs w:val="20"/>
                <w:color w:val="auto"/>
              </w:rPr>
            </w:pPr>
            <w:r>
              <w:rPr>
                <w:rFonts w:ascii="Arial" w:cs="Arial" w:eastAsia="Arial" w:hAnsi="Arial"/>
                <w:sz w:val="14"/>
                <w:szCs w:val="14"/>
                <w:color w:val="auto"/>
              </w:rPr>
              <w:t>1,989,784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243"/>
        </w:trPr>
        <w:tc>
          <w:tcPr>
            <w:tcW w:w="5480" w:type="dxa"/>
            <w:vAlign w:val="bottom"/>
            <w:shd w:val="clear" w:color="auto" w:fill="CCEEFF"/>
          </w:tcPr>
          <w:p>
            <w:pPr>
              <w:spacing w:after="0"/>
              <w:rPr>
                <w:sz w:val="20"/>
                <w:szCs w:val="20"/>
                <w:color w:val="auto"/>
              </w:rPr>
            </w:pPr>
            <w:r>
              <w:rPr>
                <w:rFonts w:ascii="Arial" w:cs="Arial" w:eastAsia="Arial" w:hAnsi="Arial"/>
                <w:sz w:val="14"/>
                <w:szCs w:val="14"/>
                <w:color w:val="auto"/>
              </w:rPr>
              <w:t>Wasatch Group Companies (3)</w:t>
            </w:r>
          </w:p>
        </w:tc>
        <w:tc>
          <w:tcPr>
            <w:tcW w:w="4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1,621,109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45"/>
        </w:trPr>
        <w:tc>
          <w:tcPr>
            <w:tcW w:w="5480" w:type="dxa"/>
            <w:vAlign w:val="bottom"/>
          </w:tcPr>
          <w:p>
            <w:pPr>
              <w:spacing w:after="0"/>
              <w:rPr>
                <w:sz w:val="20"/>
                <w:szCs w:val="20"/>
                <w:color w:val="auto"/>
              </w:rPr>
            </w:pPr>
            <w:r>
              <w:rPr>
                <w:rFonts w:ascii="Arial" w:cs="Arial" w:eastAsia="Arial" w:hAnsi="Arial"/>
                <w:sz w:val="14"/>
                <w:szCs w:val="14"/>
                <w:color w:val="auto"/>
              </w:rPr>
              <w:t>All directors and officers as a group (4)</w:t>
            </w:r>
          </w:p>
        </w:tc>
        <w:tc>
          <w:tcPr>
            <w:tcW w:w="4540" w:type="dxa"/>
            <w:vAlign w:val="bottom"/>
          </w:tcPr>
          <w:p>
            <w:pPr>
              <w:jc w:val="right"/>
              <w:ind w:right="228"/>
              <w:spacing w:after="0"/>
              <w:rPr>
                <w:sz w:val="20"/>
                <w:szCs w:val="20"/>
                <w:color w:val="auto"/>
              </w:rPr>
            </w:pPr>
            <w:r>
              <w:rPr>
                <w:rFonts w:ascii="Arial" w:cs="Arial" w:eastAsia="Arial" w:hAnsi="Arial"/>
                <w:sz w:val="14"/>
                <w:szCs w:val="14"/>
                <w:color w:val="auto"/>
              </w:rPr>
              <w:t>3,866,378</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13.6%</w:t>
            </w:r>
          </w:p>
        </w:tc>
      </w:tr>
    </w:tbl>
    <w:p>
      <w:pPr>
        <w:spacing w:after="0" w:line="236" w:lineRule="exact"/>
        <w:rPr>
          <w:sz w:val="20"/>
          <w:szCs w:val="20"/>
          <w:color w:val="auto"/>
        </w:rPr>
      </w:pPr>
    </w:p>
    <w:p>
      <w:pPr>
        <w:jc w:val="both"/>
        <w:ind w:left="1040" w:hanging="451"/>
        <w:spacing w:after="0" w:line="272" w:lineRule="auto"/>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 Note that all figures have been amended to reflect the Bonus Issue which took place with an effective date of October 13, 2006.</w:t>
      </w:r>
    </w:p>
    <w:p>
      <w:pPr>
        <w:spacing w:after="0" w:line="215" w:lineRule="exact"/>
        <w:rPr>
          <w:rFonts w:ascii="Arial" w:cs="Arial" w:eastAsia="Arial" w:hAnsi="Arial"/>
          <w:sz w:val="14"/>
          <w:szCs w:val="14"/>
          <w:color w:val="auto"/>
        </w:rPr>
      </w:pPr>
    </w:p>
    <w:p>
      <w:pPr>
        <w:ind w:left="1040" w:hanging="451"/>
        <w:spacing w:after="0"/>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1,953,784 ADSs held by Poplar Limited, a Jersey company controlled by Dr. Climax, and options to purchase 36,000 ADSs.</w:t>
      </w:r>
    </w:p>
    <w:p>
      <w:pPr>
        <w:spacing w:after="0" w:line="325" w:lineRule="exact"/>
        <w:rPr>
          <w:rFonts w:ascii="Arial" w:cs="Arial" w:eastAsia="Arial" w:hAnsi="Arial"/>
          <w:sz w:val="14"/>
          <w:szCs w:val="14"/>
          <w:color w:val="auto"/>
        </w:rPr>
      </w:pPr>
    </w:p>
    <w:p>
      <w:pPr>
        <w:ind w:left="1040" w:hanging="451"/>
        <w:spacing w:after="0"/>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Neither the Company nor any of its officers, directors or affiliates hold any voting power in this entity.</w:t>
      </w:r>
    </w:p>
    <w:p>
      <w:pPr>
        <w:spacing w:after="0" w:line="325" w:lineRule="exact"/>
        <w:rPr>
          <w:rFonts w:ascii="Arial" w:cs="Arial" w:eastAsia="Arial" w:hAnsi="Arial"/>
          <w:sz w:val="14"/>
          <w:szCs w:val="14"/>
          <w:color w:val="auto"/>
        </w:rPr>
      </w:pPr>
    </w:p>
    <w:p>
      <w:pPr>
        <w:ind w:left="1040" w:hanging="451"/>
        <w:spacing w:after="0"/>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699,210 ordinary shares issuable upon the exercise of stock options granted by the Company.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Related Parties</w:t>
      </w:r>
    </w:p>
    <w:p>
      <w:pPr>
        <w:spacing w:after="0" w:line="289" w:lineRule="exact"/>
        <w:rPr>
          <w:sz w:val="20"/>
          <w:szCs w:val="20"/>
          <w:color w:val="auto"/>
        </w:rPr>
      </w:pPr>
    </w:p>
    <w:p>
      <w:pPr>
        <w:ind w:right="200"/>
        <w:spacing w:after="0" w:line="331" w:lineRule="auto"/>
        <w:rPr>
          <w:sz w:val="20"/>
          <w:szCs w:val="20"/>
          <w:color w:val="auto"/>
        </w:rPr>
      </w:pPr>
      <w:r>
        <w:rPr>
          <w:rFonts w:ascii="Arial" w:cs="Arial" w:eastAsia="Arial" w:hAnsi="Arial"/>
          <w:sz w:val="12"/>
          <w:szCs w:val="12"/>
          <w:color w:val="auto"/>
        </w:rPr>
        <w:t>On December 6, 2005, Dr. Ronan Lambe and Dr. John Climax gifted 64,000 and 80,000 ADSs, respectively, to Mr. Peter Gray, the Company’s Chief Executive Officer. ICON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211" w:lineRule="exact"/>
        <w:rPr>
          <w:sz w:val="20"/>
          <w:szCs w:val="20"/>
          <w:color w:val="auto"/>
        </w:rPr>
      </w:pPr>
    </w:p>
    <w:p>
      <w:pPr>
        <w:ind w:right="260"/>
        <w:spacing w:after="0" w:line="272" w:lineRule="auto"/>
        <w:rPr>
          <w:sz w:val="20"/>
          <w:szCs w:val="20"/>
          <w:color w:val="auto"/>
        </w:rPr>
      </w:pPr>
      <w:r>
        <w:rPr>
          <w:rFonts w:ascii="Arial" w:cs="Arial" w:eastAsia="Arial" w:hAnsi="Arial"/>
          <w:sz w:val="14"/>
          <w:szCs w:val="14"/>
          <w:color w:val="auto"/>
        </w:rPr>
        <w:t>NuPathe Inc. (“NuPathe”) is a specialty pharmaceutical company specializing in the acquisition and development of therapeutic products in the area of neuroscience. During the year ending December 31, 2006, NuPathe engaged ICON Clinical Research Limited (a wholly owned subsidiary of ICON), in consulting and clinical trial related activities. ICON recognized a total of $0.16 million of revenue in relation to these activities. As of December 31, 2006, Dr. John Climax’s and Dr. Ronan Lambe’s respective holdings in NuPathe were 6.8% and 6.5% of the issued share capital. Dr. Climax also serves as a non-executive director and chairman of the compensation committee on the Board of NuPathe.</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AGI Therapeutics Limited (“AGI”) is a specialty pharmaceutical company focused on developing drug therapies for gastrointestinal diseases and disorders. ICON is engaged in conducting a series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of clinical trials on behalf of AGI. In January 2006, Dr. Ronan Lambe was appointed a non-executive director of AGI and took up the position of non-executive Chairman from February 2006.</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During September 2004, AGI contracted ICON Clinical Research Limited (a wholly owned subsidiary of ICON), to conduct a clinical trial on its behalf. The total potential value of this study is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$2.8m. During the year ended December 31, 2006 the Company recognized $0.5m revenue relating to the AGI contract. At December 31, 2006, $0.4m was outstanding to be received from AGI on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this trial. As of December 31, 2006, Dr. Ronan Lambe and Sunninghill Limited (a company controlled by Dr. John Climax) held 0.9 million and 0.3 million shares, respectively, in AGI. This holding</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equates to approximately 0.1% and 0.05%, respectively of AGI's issued share capital.</w:t>
      </w:r>
    </w:p>
    <w:p>
      <w:pPr>
        <w:spacing w:after="0" w:line="278" w:lineRule="exact"/>
        <w:rPr>
          <w:sz w:val="20"/>
          <w:szCs w:val="20"/>
          <w:color w:val="auto"/>
        </w:rPr>
      </w:pPr>
    </w:p>
    <w:p>
      <w:pPr>
        <w:ind w:right="100"/>
        <w:spacing w:after="0" w:line="292" w:lineRule="auto"/>
        <w:rPr>
          <w:sz w:val="20"/>
          <w:szCs w:val="20"/>
          <w:color w:val="auto"/>
        </w:rPr>
      </w:pPr>
      <w:r>
        <w:rPr>
          <w:rFonts w:ascii="Arial" w:cs="Arial" w:eastAsia="Arial" w:hAnsi="Arial"/>
          <w:sz w:val="13"/>
          <w:szCs w:val="13"/>
          <w:color w:val="auto"/>
        </w:rPr>
        <w:t>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$8m. As at December 31, 2006, Amarin Investment Holding Company Limited (a company controlled by Mr. Thomas Lynch), Sunninghill Limited (a company controlled by Dr. John Climax) and Dr. Ronan Lambe held 10 million, 6.4 million and 1.6 million shares, respectively, in Amarin. These respective holdings equate to approximately 11%, 7.8% and 1.4%, respectively, of Amarin's issued share capital. Thomas Lynch also serves as chairman and non-executive director on the Board of Amarin. During the year ended December 31, 2006, the Company recognized $2.4m revenue relating to the Amarin contract. At December 31, 2006, $1.4m was outstanding to be received from Amarin on this trial.</w:t>
      </w:r>
    </w:p>
    <w:p>
      <w:pPr>
        <w:spacing w:after="0" w:line="23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On February 6, 1998, ICON entered into an Option Agreement (“The Put Option”) with Rosa Investment Limited ("Rosa"). Rosa's sole activity was to hold an investment in Clear Investments Limited ("Clear"), the sole activity of which was to hold Mr. Gray's 54,000 ordinary share options. Mr. Gray is a director of Rosa and Clear. Rosa is owned by a trust of which Mr. Gray is a beneficiary. On April 21, 2004, Mr. Gray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ordinary shares in ICON, to Mr. Gray, such a sale being the economic equivalent of Mr. Gray exercising his stock options.</w:t>
      </w:r>
    </w:p>
    <w:p>
      <w:pPr>
        <w:spacing w:after="0" w:line="246"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auto"/>
        </w:rPr>
        <w:t>Encysive Pharmaceuticals Inc. (“Encysive”) is a biopharmaceutical company specializing in the development and commercialization of synthetic, small molecule compounds. During the year ending December 31, 2006, Encysive engaged ICON Clinical Research Limited (a wholly owned subsidiary of ICON), in consulting and clinical trial related activities. ICON recognized a total of $0.3 million of revenue in relation to these activities. As of December 31, 2006, Dr. Bruce Given’s holdings in Encysive were 0.4% of the issued share capital. Dr. Bruce Given also serves as the President and Chief Executive Officer of Encysive.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Item 8.</w:t>
      </w:r>
      <w:r>
        <w:rPr>
          <w:rFonts w:ascii="Arial" w:cs="Arial" w:eastAsia="Arial" w:hAnsi="Arial"/>
          <w:sz w:val="14"/>
          <w:szCs w:val="14"/>
          <w:b w:val="1"/>
          <w:bCs w:val="1"/>
          <w:i w:val="1"/>
          <w:iCs w:val="1"/>
          <w:color w:val="auto"/>
        </w:rPr>
        <w:t>Financial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See Item 18.</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ICON is not party to any litigation or other legal proceedings that we believe could reasonably be expected to have a material adverse effect on our business, results of operations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 have not paid cash dividends on our ordinary shares and do not intend to pay cash dividends on our ordinary shares in the foreseeable future.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 </w:t>
      </w:r>
      <w:r>
        <w:rPr>
          <w:rFonts w:ascii="Arial" w:cs="Arial" w:eastAsia="Arial" w:hAnsi="Arial"/>
          <w:sz w:val="14"/>
          <w:szCs w:val="14"/>
          <w:b w:val="1"/>
          <w:bCs w:val="1"/>
          <w:i w:val="1"/>
          <w:iCs w:val="1"/>
          <w:color w:val="auto"/>
        </w:rPr>
        <w:t>The Offer and the Listing.</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plc’s ADSs as reported by NASDAQ.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High Sales Price</w:t>
            </w:r>
          </w:p>
        </w:tc>
        <w:tc>
          <w:tcPr>
            <w:tcW w:w="2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 Sales Price</w:t>
            </w:r>
          </w:p>
        </w:tc>
      </w:tr>
      <w:tr>
        <w:trPr>
          <w:trHeight w:val="18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w:t>
            </w:r>
          </w:p>
        </w:tc>
        <w:tc>
          <w:tcPr>
            <w:tcW w:w="2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During Period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During Period</w:t>
            </w:r>
          </w:p>
        </w:tc>
        <w:tc>
          <w:tcPr>
            <w:tcW w:w="100" w:type="dxa"/>
            <w:vAlign w:val="bottom"/>
          </w:tcPr>
          <w:p>
            <w:pPr>
              <w:spacing w:after="0"/>
              <w:rPr>
                <w:sz w:val="16"/>
                <w:szCs w:val="16"/>
                <w:color w:val="auto"/>
              </w:rPr>
            </w:pPr>
          </w:p>
        </w:tc>
      </w:tr>
      <w:tr>
        <w:trPr>
          <w:trHeight w:val="237"/>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May 31, 2002</w:t>
            </w:r>
          </w:p>
        </w:tc>
        <w:tc>
          <w:tcPr>
            <w:tcW w:w="2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11.47</w:t>
            </w:r>
          </w:p>
        </w:tc>
      </w:tr>
      <w:tr>
        <w:trPr>
          <w:trHeight w:val="243"/>
        </w:trPr>
        <w:tc>
          <w:tcPr>
            <w:tcW w:w="5540" w:type="dxa"/>
            <w:vAlign w:val="bottom"/>
          </w:tcPr>
          <w:p>
            <w:pPr>
              <w:spacing w:after="0"/>
              <w:rPr>
                <w:sz w:val="20"/>
                <w:szCs w:val="20"/>
                <w:color w:val="auto"/>
              </w:rPr>
            </w:pPr>
            <w:r>
              <w:rPr>
                <w:rFonts w:ascii="Arial" w:cs="Arial" w:eastAsia="Arial" w:hAnsi="Arial"/>
                <w:sz w:val="14"/>
                <w:szCs w:val="14"/>
                <w:color w:val="auto"/>
              </w:rPr>
              <w:t>May 31, 2003</w:t>
            </w:r>
          </w:p>
        </w:tc>
        <w:tc>
          <w:tcPr>
            <w:tcW w:w="29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16.44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7.44</w:t>
            </w:r>
          </w:p>
        </w:tc>
      </w:tr>
      <w:tr>
        <w:trPr>
          <w:trHeight w:val="243"/>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May 31, 2004</w:t>
            </w:r>
          </w:p>
        </w:tc>
        <w:tc>
          <w:tcPr>
            <w:tcW w:w="2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12.94</w:t>
            </w:r>
          </w:p>
        </w:tc>
      </w:tr>
      <w:tr>
        <w:trPr>
          <w:trHeight w:val="243"/>
        </w:trPr>
        <w:tc>
          <w:tcPr>
            <w:tcW w:w="5540" w:type="dxa"/>
            <w:vAlign w:val="bottom"/>
          </w:tcPr>
          <w:p>
            <w:pPr>
              <w:spacing w:after="0"/>
              <w:rPr>
                <w:sz w:val="20"/>
                <w:szCs w:val="20"/>
                <w:color w:val="auto"/>
              </w:rPr>
            </w:pPr>
            <w:r>
              <w:rPr>
                <w:rFonts w:ascii="Arial" w:cs="Arial" w:eastAsia="Arial" w:hAnsi="Arial"/>
                <w:sz w:val="14"/>
                <w:szCs w:val="14"/>
                <w:color w:val="auto"/>
              </w:rPr>
              <w:t>May 31, 2005</w:t>
            </w:r>
          </w:p>
        </w:tc>
        <w:tc>
          <w:tcPr>
            <w:tcW w:w="29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22.46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15.13</w:t>
            </w:r>
          </w:p>
        </w:tc>
      </w:tr>
      <w:tr>
        <w:trPr>
          <w:trHeight w:val="243"/>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2005 (7 month transition period)</w:t>
            </w:r>
          </w:p>
        </w:tc>
        <w:tc>
          <w:tcPr>
            <w:tcW w:w="2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15.05</w:t>
            </w:r>
          </w:p>
        </w:tc>
      </w:tr>
      <w:tr>
        <w:trPr>
          <w:trHeight w:val="243"/>
        </w:trPr>
        <w:tc>
          <w:tcPr>
            <w:tcW w:w="5540" w:type="dxa"/>
            <w:vAlign w:val="bottom"/>
          </w:tcPr>
          <w:p>
            <w:pPr>
              <w:spacing w:after="0"/>
              <w:rPr>
                <w:sz w:val="20"/>
                <w:szCs w:val="20"/>
                <w:color w:val="auto"/>
              </w:rPr>
            </w:pPr>
            <w:r>
              <w:rPr>
                <w:rFonts w:ascii="Arial" w:cs="Arial" w:eastAsia="Arial" w:hAnsi="Arial"/>
                <w:sz w:val="14"/>
                <w:szCs w:val="14"/>
                <w:color w:val="auto"/>
              </w:rPr>
              <w:t>December 31, 2006</w:t>
            </w:r>
          </w:p>
        </w:tc>
        <w:tc>
          <w:tcPr>
            <w:tcW w:w="29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40.36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20.50</w:t>
            </w:r>
          </w:p>
        </w:tc>
      </w:tr>
      <w:tr>
        <w:trPr>
          <w:trHeight w:val="243"/>
        </w:trPr>
        <w:tc>
          <w:tcPr>
            <w:tcW w:w="5540" w:type="dxa"/>
            <w:vAlign w:val="bottom"/>
            <w:shd w:val="clear" w:color="auto" w:fill="CCEEFF"/>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High Sales Price</w:t>
            </w:r>
          </w:p>
        </w:tc>
        <w:tc>
          <w:tcPr>
            <w:tcW w:w="2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 Sales Price</w:t>
            </w:r>
          </w:p>
        </w:tc>
      </w:tr>
      <w:tr>
        <w:trPr>
          <w:trHeight w:val="185"/>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 Ending</w:t>
            </w:r>
          </w:p>
        </w:tc>
        <w:tc>
          <w:tcPr>
            <w:tcW w:w="5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During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During Period</w:t>
            </w:r>
          </w:p>
        </w:tc>
        <w:tc>
          <w:tcPr>
            <w:tcW w:w="100" w:type="dxa"/>
            <w:vAlign w:val="bottom"/>
          </w:tcPr>
          <w:p>
            <w:pPr>
              <w:spacing w:after="0"/>
              <w:rPr>
                <w:sz w:val="16"/>
                <w:szCs w:val="16"/>
                <w:color w:val="auto"/>
              </w:rPr>
            </w:pPr>
          </w:p>
        </w:tc>
      </w:tr>
      <w:tr>
        <w:trPr>
          <w:trHeight w:val="237"/>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Aug 31, 2003</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12.94</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Nov 30, 2003</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22.52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15.60</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Feb 29, 2004</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23.03</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16.52</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May 31, 2004</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21.75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14.87</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Aug 31, 2004</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22.46</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15.88</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Nov 30, 2004</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19.70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15.52</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Feb 28, 2005</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16.89</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May 31, 2005</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19.48</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15.13</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Aug 31, 2005</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20.95</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15.05</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Nov 30, 2005</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25.25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18.18</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Mar 31, 2006</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20.50</w:t>
            </w:r>
          </w:p>
        </w:tc>
      </w:tr>
      <w:tr>
        <w:trPr>
          <w:trHeight w:val="243"/>
        </w:trPr>
        <w:tc>
          <w:tcPr>
            <w:tcW w:w="3320" w:type="dxa"/>
            <w:vAlign w:val="bottom"/>
          </w:tcPr>
          <w:p>
            <w:pPr>
              <w:spacing w:after="0"/>
              <w:rPr>
                <w:sz w:val="20"/>
                <w:szCs w:val="20"/>
                <w:color w:val="auto"/>
              </w:rPr>
            </w:pPr>
            <w:r>
              <w:rPr>
                <w:rFonts w:ascii="Arial" w:cs="Arial" w:eastAsia="Arial" w:hAnsi="Arial"/>
                <w:sz w:val="14"/>
                <w:szCs w:val="14"/>
                <w:color w:val="auto"/>
              </w:rPr>
              <w:t>Jun 30, 2006</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28.66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23.35</w:t>
            </w: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Sept 30, 2006</w:t>
            </w:r>
          </w:p>
        </w:tc>
        <w:tc>
          <w:tcPr>
            <w:tcW w:w="5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36.00</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27.25</w:t>
            </w:r>
          </w:p>
        </w:tc>
      </w:tr>
      <w:tr>
        <w:trPr>
          <w:trHeight w:val="245"/>
        </w:trPr>
        <w:tc>
          <w:tcPr>
            <w:tcW w:w="3320" w:type="dxa"/>
            <w:vAlign w:val="bottom"/>
          </w:tcPr>
          <w:p>
            <w:pPr>
              <w:spacing w:after="0"/>
              <w:rPr>
                <w:sz w:val="20"/>
                <w:szCs w:val="20"/>
                <w:color w:val="auto"/>
              </w:rPr>
            </w:pPr>
            <w:r>
              <w:rPr>
                <w:rFonts w:ascii="Arial" w:cs="Arial" w:eastAsia="Arial" w:hAnsi="Arial"/>
                <w:sz w:val="14"/>
                <w:szCs w:val="14"/>
                <w:color w:val="auto"/>
              </w:rPr>
              <w:t>Dec 31, 2006</w:t>
            </w:r>
          </w:p>
        </w:tc>
        <w:tc>
          <w:tcPr>
            <w:tcW w:w="5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40.36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33.57</w:t>
            </w:r>
          </w:p>
        </w:tc>
      </w:tr>
      <w:tr>
        <w:trPr>
          <w:trHeight w:val="405"/>
        </w:trPr>
        <w:tc>
          <w:tcPr>
            <w:tcW w:w="3320" w:type="dxa"/>
            <w:vAlign w:val="bottom"/>
          </w:tcPr>
          <w:p>
            <w:pPr>
              <w:spacing w:after="0"/>
              <w:rPr>
                <w:sz w:val="24"/>
                <w:szCs w:val="24"/>
                <w:color w:val="auto"/>
              </w:rPr>
            </w:pPr>
          </w:p>
        </w:tc>
        <w:tc>
          <w:tcPr>
            <w:tcW w:w="5180" w:type="dxa"/>
            <w:vAlign w:val="bottom"/>
          </w:tcPr>
          <w:p>
            <w:pPr>
              <w:jc w:val="right"/>
              <w:ind w:right="2648"/>
              <w:spacing w:after="0"/>
              <w:rPr>
                <w:sz w:val="20"/>
                <w:szCs w:val="20"/>
                <w:color w:val="auto"/>
              </w:rPr>
            </w:pPr>
            <w:r>
              <w:rPr>
                <w:rFonts w:ascii="Arial" w:cs="Arial" w:eastAsia="Arial" w:hAnsi="Arial"/>
                <w:sz w:val="14"/>
                <w:szCs w:val="14"/>
                <w:color w:val="auto"/>
              </w:rPr>
              <w:t>40</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3320" w:type="dxa"/>
            <w:vAlign w:val="bottom"/>
            <w:tcBorders>
              <w:bottom w:val="single" w:sz="8" w:color="808080"/>
            </w:tcBorders>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High Sales Price</w:t>
            </w:r>
          </w:p>
        </w:tc>
        <w:tc>
          <w:tcPr>
            <w:tcW w:w="2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 Sales Price</w:t>
            </w:r>
          </w:p>
        </w:tc>
      </w:tr>
      <w:tr>
        <w:trPr>
          <w:trHeight w:val="185"/>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Month Ending</w:t>
            </w:r>
          </w:p>
        </w:tc>
        <w:tc>
          <w:tcPr>
            <w:tcW w:w="3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During Period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During Period</w:t>
            </w:r>
          </w:p>
        </w:tc>
        <w:tc>
          <w:tcPr>
            <w:tcW w:w="100" w:type="dxa"/>
            <w:vAlign w:val="bottom"/>
          </w:tcPr>
          <w:p>
            <w:pPr>
              <w:spacing w:after="0"/>
              <w:rPr>
                <w:sz w:val="16"/>
                <w:szCs w:val="16"/>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July 31, 2006</w:t>
            </w:r>
          </w:p>
        </w:tc>
        <w:tc>
          <w:tcPr>
            <w:tcW w:w="3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27.25</w:t>
            </w:r>
          </w:p>
        </w:tc>
      </w:tr>
      <w:tr>
        <w:trPr>
          <w:trHeight w:val="243"/>
        </w:trPr>
        <w:tc>
          <w:tcPr>
            <w:tcW w:w="4620" w:type="dxa"/>
            <w:vAlign w:val="bottom"/>
          </w:tcPr>
          <w:p>
            <w:pPr>
              <w:spacing w:after="0"/>
              <w:rPr>
                <w:sz w:val="20"/>
                <w:szCs w:val="20"/>
                <w:color w:val="auto"/>
              </w:rPr>
            </w:pPr>
            <w:r>
              <w:rPr>
                <w:rFonts w:ascii="Arial" w:cs="Arial" w:eastAsia="Arial" w:hAnsi="Arial"/>
                <w:sz w:val="14"/>
                <w:szCs w:val="14"/>
                <w:color w:val="auto"/>
              </w:rPr>
              <w:t>Aug 31, 2006</w:t>
            </w:r>
          </w:p>
        </w:tc>
        <w:tc>
          <w:tcPr>
            <w:tcW w:w="38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36.00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32.13</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Sept 30, 2006</w:t>
            </w:r>
          </w:p>
        </w:tc>
        <w:tc>
          <w:tcPr>
            <w:tcW w:w="3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33.13</w:t>
            </w:r>
          </w:p>
        </w:tc>
      </w:tr>
      <w:tr>
        <w:trPr>
          <w:trHeight w:val="243"/>
        </w:trPr>
        <w:tc>
          <w:tcPr>
            <w:tcW w:w="4620" w:type="dxa"/>
            <w:vAlign w:val="bottom"/>
          </w:tcPr>
          <w:p>
            <w:pPr>
              <w:spacing w:after="0"/>
              <w:rPr>
                <w:sz w:val="20"/>
                <w:szCs w:val="20"/>
                <w:color w:val="auto"/>
              </w:rPr>
            </w:pPr>
            <w:r>
              <w:rPr>
                <w:rFonts w:ascii="Arial" w:cs="Arial" w:eastAsia="Arial" w:hAnsi="Arial"/>
                <w:sz w:val="14"/>
                <w:szCs w:val="14"/>
                <w:color w:val="auto"/>
              </w:rPr>
              <w:t>Oct 31, 2006</w:t>
            </w:r>
          </w:p>
        </w:tc>
        <w:tc>
          <w:tcPr>
            <w:tcW w:w="38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38.86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34.29</w:t>
            </w: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Nov 30, 2006</w:t>
            </w:r>
          </w:p>
        </w:tc>
        <w:tc>
          <w:tcPr>
            <w:tcW w:w="3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33.57</w:t>
            </w:r>
          </w:p>
        </w:tc>
      </w:tr>
      <w:tr>
        <w:trPr>
          <w:trHeight w:val="245"/>
        </w:trPr>
        <w:tc>
          <w:tcPr>
            <w:tcW w:w="4620" w:type="dxa"/>
            <w:vAlign w:val="bottom"/>
          </w:tcPr>
          <w:p>
            <w:pPr>
              <w:spacing w:after="0"/>
              <w:rPr>
                <w:sz w:val="20"/>
                <w:szCs w:val="20"/>
                <w:color w:val="auto"/>
              </w:rPr>
            </w:pPr>
            <w:r>
              <w:rPr>
                <w:rFonts w:ascii="Arial" w:cs="Arial" w:eastAsia="Arial" w:hAnsi="Arial"/>
                <w:sz w:val="14"/>
                <w:szCs w:val="14"/>
                <w:color w:val="auto"/>
              </w:rPr>
              <w:t>Dec 31, 2006</w:t>
            </w:r>
          </w:p>
        </w:tc>
        <w:tc>
          <w:tcPr>
            <w:tcW w:w="38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38.23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34.63</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All comparative figures above have been amended to reflect the Bonus Issue which took place with an effective date of October 13, 2006.</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Controls and Other Limitations Affecting Security Holders.</w:t>
      </w: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239"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3"/>
          <w:szCs w:val="13"/>
          <w:color w:val="auto"/>
        </w:rPr>
        <w:t>Transfers Act, 1992 prohibits financial transfers involving certain persons connected with the former regime in Iraq, certain persons indicted by the International Criminal Tribunal for the former Yugoslavia and certain associated persons, Zimbabwe, the Taliban of Afghanistan, Osama bin Laden and Al-Qaeda, Liberia, Burma/Myanmar, Uzbekistan, Sudan, Cote D’Ivoire, the Democratic Republic of Congo, President Lukashenko and certain other officials of Belarus, and countries that harbor certain terrorist groups, without the prior permission of the Central Bank of Ireland.</w:t>
      </w:r>
    </w:p>
    <w:p>
      <w:pPr>
        <w:spacing w:after="0" w:line="226" w:lineRule="exact"/>
        <w:rPr>
          <w:sz w:val="20"/>
          <w:szCs w:val="20"/>
          <w:color w:val="auto"/>
        </w:rPr>
      </w:pPr>
    </w:p>
    <w:p>
      <w:pPr>
        <w:jc w:val="both"/>
        <w:ind w:right="20"/>
        <w:spacing w:after="0" w:line="299" w:lineRule="auto"/>
        <w:rPr>
          <w:sz w:val="20"/>
          <w:szCs w:val="20"/>
          <w:color w:val="auto"/>
        </w:rPr>
      </w:pPr>
      <w:r>
        <w:rPr>
          <w:rFonts w:ascii="Arial" w:cs="Arial" w:eastAsia="Arial" w:hAnsi="Arial"/>
          <w:sz w:val="13"/>
          <w:szCs w:val="13"/>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Somalia, Sudan, Cote D’Ivoire, Democratic Republic of Congo, Liberia,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Memorandum and Articles of Association</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hereby incorporate by reference the description of our Memorandum and Articles of Association located under the heading “Description of the Memorandum and Articles of Association of the Company” in our Form 6K filed with the Securities Exchange Commission on January 31, 2003.</w:t>
      </w:r>
    </w:p>
    <w:p>
      <w:pPr>
        <w:spacing w:after="0" w:line="22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On September 29, 2006, at ICON’s Extraordinary General Meeting, the Articles of Association of ICON plc were amended to increase the authorized share capital. The following amendments were made:</w:t>
      </w:r>
    </w:p>
    <w:p>
      <w:pPr>
        <w:spacing w:after="0" w:line="22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“That the authorized share capital of the Company be increased from €1,200,000 divided into 20,000,000 Ordinary Shares of €0.06 each, to €2,400,000 divided into 40,000,000 Ordinary Shares of €0.06 each.”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Taxation</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8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AS USED HEREIN, REFERENCES TO THE ORDINARY SHARES SHALL INCLUDE ADSs REPRESENTING SUCH ORDINARY SHARES AND ADRs EVIDENCING OWNERSHIP OF SUCH ADSs.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Irish Taxation</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Irish corporation tax on income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ICON is a public limited company incorporated and resident for tax purposes in Ireland.</w:t>
      </w:r>
    </w:p>
    <w:p>
      <w:pPr>
        <w:spacing w:after="0" w:line="278" w:lineRule="exact"/>
        <w:rPr>
          <w:sz w:val="20"/>
          <w:szCs w:val="20"/>
          <w:color w:val="auto"/>
        </w:rPr>
      </w:pPr>
    </w:p>
    <w:p>
      <w:pPr>
        <w:ind w:right="320"/>
        <w:spacing w:after="0" w:line="299" w:lineRule="auto"/>
        <w:rPr>
          <w:sz w:val="20"/>
          <w:szCs w:val="20"/>
          <w:color w:val="auto"/>
        </w:rPr>
      </w:pPr>
      <w:r>
        <w:rPr>
          <w:rFonts w:ascii="Arial" w:cs="Arial" w:eastAsia="Arial" w:hAnsi="Arial"/>
          <w:sz w:val="13"/>
          <w:szCs w:val="13"/>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standard rate of Irish corporation tax on trading income (with certain exceptions) is currently 12.5%.</w:t>
      </w:r>
    </w:p>
    <w:p>
      <w:pPr>
        <w:spacing w:after="0" w:line="285"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From January 1, 2008 there will be an annual limit of 5 million Euro placed on qualifying patent income. To the extent that income arises above this threshold, it will be subject to Irish corporation tax.</w:t>
      </w:r>
    </w:p>
    <w:p>
      <w:pPr>
        <w:spacing w:after="0" w:line="243" w:lineRule="exact"/>
        <w:rPr>
          <w:sz w:val="20"/>
          <w:szCs w:val="20"/>
          <w:color w:val="auto"/>
        </w:rPr>
      </w:pPr>
    </w:p>
    <w:p>
      <w:pPr>
        <w:jc w:val="both"/>
        <w:ind w:right="120"/>
        <w:spacing w:after="0" w:line="277" w:lineRule="auto"/>
        <w:rPr>
          <w:sz w:val="20"/>
          <w:szCs w:val="20"/>
          <w:color w:val="auto"/>
        </w:rPr>
      </w:pPr>
      <w:r>
        <w:rPr>
          <w:rFonts w:ascii="Arial" w:cs="Arial" w:eastAsia="Arial" w:hAnsi="Arial"/>
          <w:sz w:val="14"/>
          <w:szCs w:val="14"/>
          <w:color w:val="auto"/>
        </w:rPr>
        <w:t>To the extent that the company is involved in the "manufacture" of goods in Ireland, income from this activity, in respect of its data processing operations carried out in Ireland (which is deemed to be manufacturing for Irish tax purposes) , can qualify for a 10% rate of tax. This relief is available until December 31, 2010 and thereafter the income will be taxed at the standard rate applicable to trading income which is currently 12.5%.</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Corporation tax is charged at the rate of 25% on a company's non-trading income and certain types of trading income not eligible for the lower rates discussed above.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5" w:name="page46"/>
    <w:bookmarkEnd w:id="45"/>
    <w:p>
      <w:pPr>
        <w:ind w:right="40"/>
        <w:spacing w:after="0" w:line="293" w:lineRule="auto"/>
        <w:rPr>
          <w:sz w:val="20"/>
          <w:szCs w:val="20"/>
          <w:color w:val="auto"/>
        </w:rPr>
      </w:pPr>
      <w:r>
        <w:rPr>
          <w:rFonts w:ascii="Arial" w:cs="Arial" w:eastAsia="Arial" w:hAnsi="Arial"/>
          <w:sz w:val="14"/>
          <w:szCs w:val="14"/>
          <w:color w:val="auto"/>
        </w:rPr>
        <w:t>Capital gains arising to an Irish resident company are liable to tax at 20%. However, a capital gains tax exemption has been introduced in Ireland in respect of disposals of certain shareholdings. The exemption applies with retrospective effect to disposals occurring on or after February 2, 2004.</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exemption from capital gains tax on the disposal of shares by an Irish resident company will apply where certain conditions are met. These conditions principally are:</w:t>
      </w:r>
    </w:p>
    <w:p>
      <w:pPr>
        <w:spacing w:after="0" w:line="285" w:lineRule="exact"/>
        <w:rPr>
          <w:sz w:val="20"/>
          <w:szCs w:val="20"/>
          <w:color w:val="auto"/>
        </w:rPr>
      </w:pPr>
    </w:p>
    <w:p>
      <w:pPr>
        <w:ind w:left="340" w:hanging="332"/>
        <w:spacing w:after="0" w:line="29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claiming the exemption must hold (directly or indirectly) at least 5% of the ordinary share capital of the company in which the interest is being disposed of, for a period of at least one year, within the two year period prior to disposal.</w:t>
      </w:r>
    </w:p>
    <w:p>
      <w:pPr>
        <w:spacing w:after="0" w:line="228"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shares being disposed of must be in a company, which at the date of disposal, is resident in an EU Member State or in a state with which Ireland has a double tax agreement.</w:t>
      </w:r>
    </w:p>
    <w:p>
      <w:pPr>
        <w:spacing w:after="0" w:line="284"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shares must be in a company which is primarily a trading company or else the company making the disposal together with its “5% plus subsidiaries” should be primarily a trading group.</w:t>
      </w:r>
    </w:p>
    <w:p>
      <w:pPr>
        <w:spacing w:after="0" w:line="296" w:lineRule="exact"/>
        <w:rPr>
          <w:rFonts w:ascii="Arial" w:cs="Arial" w:eastAsia="Arial" w:hAnsi="Arial"/>
          <w:sz w:val="13"/>
          <w:szCs w:val="13"/>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shares must not derive the greater part of their value from land or mineral rights in the State.</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Taxation of Dividends</w:t>
      </w:r>
    </w:p>
    <w:p>
      <w:pPr>
        <w:spacing w:after="0" w:line="21"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Non-Irish resident corporate shareholders that:</w:t>
      </w:r>
    </w:p>
    <w:p>
      <w:pPr>
        <w:spacing w:after="0" w:line="28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are ultimately controlled by residents of a Relevant Territory;</w:t>
      </w:r>
    </w:p>
    <w:p>
      <w:pPr>
        <w:spacing w:after="0" w:line="379" w:lineRule="exact"/>
        <w:rPr>
          <w:rFonts w:ascii="Arial" w:cs="Arial" w:eastAsia="Arial" w:hAnsi="Arial"/>
          <w:sz w:val="14"/>
          <w:szCs w:val="14"/>
          <w:color w:val="auto"/>
        </w:rPr>
      </w:pPr>
    </w:p>
    <w:p>
      <w:pPr>
        <w:ind w:left="980" w:hanging="324"/>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are resident in a Relevant Territory and are not controlled by Irish residents;</w:t>
      </w:r>
    </w:p>
    <w:p>
      <w:pPr>
        <w:spacing w:after="0" w:line="379" w:lineRule="exact"/>
        <w:rPr>
          <w:rFonts w:ascii="Arial" w:cs="Arial" w:eastAsia="Arial" w:hAnsi="Arial"/>
          <w:sz w:val="14"/>
          <w:szCs w:val="14"/>
          <w:color w:val="auto"/>
        </w:rPr>
      </w:pPr>
    </w:p>
    <w:p>
      <w:pPr>
        <w:ind w:left="980" w:right="20" w:hanging="324"/>
        <w:spacing w:after="0" w:line="293"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have the principal class of their shares, or shares of a 75% parent, substantially and regularly traded on one or more recognized stock exchanges in a Relevant Territory or Territories; or</w:t>
      </w:r>
    </w:p>
    <w:p>
      <w:pPr>
        <w:spacing w:after="0" w:line="228" w:lineRule="exact"/>
        <w:rPr>
          <w:rFonts w:ascii="Arial" w:cs="Arial" w:eastAsia="Arial" w:hAnsi="Arial"/>
          <w:sz w:val="14"/>
          <w:szCs w:val="14"/>
          <w:color w:val="auto"/>
        </w:rPr>
      </w:pPr>
    </w:p>
    <w:p>
      <w:pPr>
        <w:ind w:left="980" w:hanging="324"/>
        <w:spacing w:after="0" w:line="293"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will be exempt from withholding tax on the production of the appropriate certificates and declarations.</w:t>
      </w:r>
    </w:p>
    <w:p>
      <w:pPr>
        <w:spacing w:after="0" w:line="285" w:lineRule="exact"/>
        <w:rPr>
          <w:sz w:val="20"/>
          <w:szCs w:val="20"/>
          <w:color w:val="auto"/>
        </w:rPr>
      </w:pPr>
    </w:p>
    <w:p>
      <w:pPr>
        <w:ind w:right="440"/>
        <w:spacing w:after="0" w:line="293" w:lineRule="auto"/>
        <w:rPr>
          <w:sz w:val="20"/>
          <w:szCs w:val="20"/>
          <w:color w:val="auto"/>
        </w:rPr>
      </w:pPr>
      <w:r>
        <w:rPr>
          <w:rFonts w:ascii="Arial" w:cs="Arial" w:eastAsia="Arial" w:hAnsi="Arial"/>
          <w:sz w:val="14"/>
          <w:szCs w:val="14"/>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228" w:lineRule="exact"/>
        <w:rPr>
          <w:sz w:val="20"/>
          <w:szCs w:val="20"/>
          <w:color w:val="auto"/>
        </w:rPr>
      </w:pPr>
    </w:p>
    <w:p>
      <w:pPr>
        <w:ind w:right="220"/>
        <w:spacing w:after="0" w:line="293" w:lineRule="auto"/>
        <w:rPr>
          <w:sz w:val="20"/>
          <w:szCs w:val="20"/>
          <w:color w:val="auto"/>
        </w:rPr>
      </w:pPr>
      <w:r>
        <w:rPr>
          <w:rFonts w:ascii="Arial" w:cs="Arial" w:eastAsia="Arial" w:hAnsi="Arial"/>
          <w:sz w:val="14"/>
          <w:szCs w:val="14"/>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22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depositary has been authorized by the Irish Revenue Commissioners as a qualifying intermediary and such authorization has not expired or been revoked; and either</w:t>
      </w:r>
    </w:p>
    <w:p>
      <w:pPr>
        <w:spacing w:after="0" w:line="390" w:lineRule="exact"/>
        <w:rPr>
          <w:rFonts w:ascii="Arial" w:cs="Arial" w:eastAsia="Arial" w:hAnsi="Arial"/>
          <w:sz w:val="13"/>
          <w:szCs w:val="13"/>
          <w:color w:val="auto"/>
        </w:rPr>
      </w:pPr>
    </w:p>
    <w:p>
      <w:pPr>
        <w:ind w:left="980" w:hanging="324"/>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depositary bank’s ADS register shows that the beneficial owner has a U.S. address on the register; or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6" w:name="page47"/>
    <w:bookmarkEnd w:id="46"/>
    <w:p>
      <w:pPr>
        <w:ind w:left="980" w:hanging="324"/>
        <w:spacing w:after="0" w:line="293" w:lineRule="auto"/>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w:t>
      </w:r>
    </w:p>
    <w:p>
      <w:pPr>
        <w:spacing w:after="0" w:line="21"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235"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2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 individual resident in the U.S. (or any other country with which Ireland has concluded a double taxation treaty);</w:t>
      </w:r>
    </w:p>
    <w:p>
      <w:pPr>
        <w:spacing w:after="0" w:line="379" w:lineRule="exact"/>
        <w:rPr>
          <w:rFonts w:ascii="Arial" w:cs="Arial" w:eastAsia="Arial" w:hAnsi="Arial"/>
          <w:sz w:val="14"/>
          <w:szCs w:val="14"/>
          <w:color w:val="auto"/>
        </w:rPr>
      </w:pPr>
    </w:p>
    <w:p>
      <w:pPr>
        <w:ind w:left="980" w:hanging="324"/>
        <w:spacing w:after="0"/>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corporation that is ultimately controlled by persons resident in the U.S. (or any other country with which Ireland has concluded a double taxation treaty);</w:t>
      </w:r>
    </w:p>
    <w:p>
      <w:pPr>
        <w:spacing w:after="0" w:line="379" w:lineRule="exact"/>
        <w:rPr>
          <w:rFonts w:ascii="Arial" w:cs="Arial" w:eastAsia="Arial" w:hAnsi="Arial"/>
          <w:sz w:val="14"/>
          <w:szCs w:val="14"/>
          <w:color w:val="auto"/>
        </w:rPr>
      </w:pPr>
    </w:p>
    <w:p>
      <w:pPr>
        <w:ind w:left="980" w:right="20" w:hanging="324"/>
        <w:spacing w:after="0" w:line="293"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28" w:lineRule="exact"/>
        <w:rPr>
          <w:rFonts w:ascii="Arial" w:cs="Arial" w:eastAsia="Arial" w:hAnsi="Arial"/>
          <w:sz w:val="14"/>
          <w:szCs w:val="14"/>
          <w:color w:val="auto"/>
        </w:rPr>
      </w:pPr>
    </w:p>
    <w:p>
      <w:pPr>
        <w:ind w:left="980" w:hanging="324"/>
        <w:spacing w:after="0" w:line="293"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corporation resident in another EU member state or in a country with which Ireland has concluded a double taxation treaty, which is not controlled directly or indirectly by Irish residents; or</w:t>
      </w:r>
    </w:p>
    <w:p>
      <w:pPr>
        <w:spacing w:after="0" w:line="228" w:lineRule="exact"/>
        <w:rPr>
          <w:rFonts w:ascii="Arial" w:cs="Arial" w:eastAsia="Arial" w:hAnsi="Arial"/>
          <w:sz w:val="14"/>
          <w:szCs w:val="14"/>
          <w:color w:val="auto"/>
        </w:rPr>
      </w:pPr>
    </w:p>
    <w:p>
      <w:pPr>
        <w:ind w:left="980" w:right="20" w:hanging="324"/>
        <w:spacing w:after="0" w:line="293" w:lineRule="auto"/>
        <w:tabs>
          <w:tab w:leader="none" w:pos="9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228"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Taxation of Capital Gains</w:t>
      </w:r>
    </w:p>
    <w:p>
      <w:pPr>
        <w:spacing w:after="0" w:line="2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resident, to Irish capital gains tax. This treatment will apply to Irish domiciled individuals -:</w:t>
      </w:r>
    </w:p>
    <w:p>
      <w:pPr>
        <w:spacing w:after="0" w:line="2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who cease to be Irish resident;</w:t>
      </w:r>
    </w:p>
    <w:p>
      <w:pPr>
        <w:spacing w:after="0" w:line="379" w:lineRule="exact"/>
        <w:rPr>
          <w:rFonts w:ascii="Arial" w:cs="Arial" w:eastAsia="Arial" w:hAnsi="Arial"/>
          <w:sz w:val="14"/>
          <w:szCs w:val="14"/>
          <w:color w:val="auto"/>
        </w:rPr>
      </w:pPr>
    </w:p>
    <w:p>
      <w:pPr>
        <w:ind w:left="980" w:hanging="324"/>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who own the shares when they cease to be resident;</w:t>
      </w:r>
    </w:p>
    <w:p>
      <w:pPr>
        <w:spacing w:after="0" w:line="379" w:lineRule="exact"/>
        <w:rPr>
          <w:rFonts w:ascii="Arial" w:cs="Arial" w:eastAsia="Arial" w:hAnsi="Arial"/>
          <w:sz w:val="14"/>
          <w:szCs w:val="14"/>
          <w:color w:val="auto"/>
        </w:rPr>
      </w:pPr>
    </w:p>
    <w:p>
      <w:pPr>
        <w:ind w:left="980" w:right="20" w:hanging="324"/>
        <w:spacing w:after="0" w:line="293" w:lineRule="auto"/>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there are not more than 5 years of assessment between the last year of Irish tax residence prior to becoming temporarily non-resident and the tax year that he/she resumes Irish tax residency;</w:t>
      </w:r>
    </w:p>
    <w:p>
      <w:pPr>
        <w:spacing w:after="0" w:line="228" w:lineRule="exact"/>
        <w:rPr>
          <w:rFonts w:ascii="Arial" w:cs="Arial" w:eastAsia="Arial" w:hAnsi="Arial"/>
          <w:sz w:val="14"/>
          <w:szCs w:val="14"/>
          <w:color w:val="auto"/>
        </w:rPr>
      </w:pPr>
    </w:p>
    <w:p>
      <w:pPr>
        <w:ind w:left="980" w:hanging="324"/>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who dispose of an interest in a company during this temporary non-residence; and</w:t>
      </w:r>
    </w:p>
    <w:p>
      <w:pPr>
        <w:spacing w:after="0" w:line="379" w:lineRule="exact"/>
        <w:rPr>
          <w:rFonts w:ascii="Arial" w:cs="Arial" w:eastAsia="Arial" w:hAnsi="Arial"/>
          <w:sz w:val="14"/>
          <w:szCs w:val="14"/>
          <w:color w:val="auto"/>
        </w:rPr>
      </w:pPr>
    </w:p>
    <w:p>
      <w:pPr>
        <w:ind w:left="980" w:hanging="324"/>
        <w:spacing w:after="0"/>
        <w:tabs>
          <w:tab w:leader="none" w:pos="9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interest disposed of represents 5% or greater of the share capital of the company or is worth at least €500,000.</w:t>
      </w:r>
    </w:p>
    <w:p>
      <w:pPr>
        <w:spacing w:after="0" w:line="379"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color w:val="auto"/>
        </w:rPr>
        <w:t>Irish Capital Acquisitions Tax</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Irish capital acquisitions tax (referred to as CAT) applies to gifts and inheritances.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Where a gift or inheritance is taken under a disposition made after December 1, 1999, it will be within the charge to CAT:</w:t>
      </w:r>
    </w:p>
    <w:p>
      <w:pPr>
        <w:spacing w:after="0" w:line="2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 the extent that the property of which the gift or inheritance consists is situated in the Republic of Ireland at the date of the gift or inheritance;</w:t>
      </w:r>
    </w:p>
    <w:p>
      <w:pPr>
        <w:spacing w:after="0" w:line="102"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where the person making the gift or inheritance is or was resident or ordinarily resident in the Republic of Ireland at the date of the disposition under which the gift or inheritance is taken;</w:t>
      </w:r>
    </w:p>
    <w:p>
      <w:pPr>
        <w:spacing w:after="0" w:line="120" w:lineRule="exact"/>
        <w:rPr>
          <w:rFonts w:ascii="Arial" w:cs="Arial" w:eastAsia="Arial" w:hAnsi="Arial"/>
          <w:sz w:val="13"/>
          <w:szCs w:val="13"/>
          <w:color w:val="auto"/>
        </w:rPr>
      </w:pPr>
    </w:p>
    <w:p>
      <w:pPr>
        <w:ind w:left="660" w:right="220" w:hanging="328"/>
        <w:spacing w:after="0" w:line="266"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where the person receiving the gift or inheritance is resident or ordinarily resident in the Republic of Ireland at the date of the gift or inheritance.</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Where a gift or an inheritance is taken under a disposition made prior to December 1, 1999, CAT is chargeable in the following circumstances:</w:t>
      </w:r>
    </w:p>
    <w:p>
      <w:pPr>
        <w:spacing w:after="0" w:line="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the extent that the property of which the gift or inheritance consists is situated in the Republic of Ireland at the date of the gift or inheritance;</w:t>
      </w:r>
    </w:p>
    <w:p>
      <w:pPr>
        <w:spacing w:after="0" w:line="102"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where the person making the gift or inheritance is or was domiciled in Ireland at the date of the disposition under which the gift or inheritance is taken;</w:t>
      </w:r>
    </w:p>
    <w:p>
      <w:pPr>
        <w:spacing w:after="0" w:line="109" w:lineRule="exact"/>
        <w:rPr>
          <w:rFonts w:ascii="Arial" w:cs="Arial" w:eastAsia="Arial" w:hAnsi="Arial"/>
          <w:sz w:val="14"/>
          <w:szCs w:val="14"/>
          <w:color w:val="auto"/>
        </w:rPr>
      </w:pPr>
    </w:p>
    <w:p>
      <w:pPr>
        <w:ind w:left="660" w:right="100" w:hanging="328"/>
        <w:spacing w:after="0" w:line="293"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w:t>
      </w:r>
    </w:p>
    <w:p>
      <w:pPr>
        <w:spacing w:after="0"/>
        <w:rPr>
          <w:sz w:val="20"/>
          <w:szCs w:val="20"/>
          <w:color w:val="auto"/>
        </w:rPr>
      </w:pPr>
      <w:r>
        <w:rPr>
          <w:rFonts w:ascii="Arial" w:cs="Arial" w:eastAsia="Arial" w:hAnsi="Arial"/>
          <w:sz w:val="13"/>
          <w:szCs w:val="13"/>
          <w:color w:val="auto"/>
        </w:rPr>
        <w:t>threshold is dependent on the relationship between the donor and the donees and the aggregation since December 5, 1991 of all previous gifts and inheritances, within the same tax threshold.</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The tax-free threshold amounts currently in force are:</w:t>
      </w:r>
    </w:p>
    <w:p>
      <w:pPr>
        <w:spacing w:after="0" w:line="2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€23,908 in the case of persons who are not related to one another;</w:t>
      </w:r>
    </w:p>
    <w:p>
      <w:pPr>
        <w:spacing w:after="0" w:line="102"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€47,815 in the case of gifts or inheritances received from inter alia a brother or sister or from a brother or sister of a parent or from a grandparent; and</w:t>
      </w:r>
    </w:p>
    <w:p>
      <w:pPr>
        <w:spacing w:after="0" w:line="109" w:lineRule="exact"/>
        <w:rPr>
          <w:rFonts w:ascii="Arial" w:cs="Arial" w:eastAsia="Arial" w:hAnsi="Arial"/>
          <w:sz w:val="14"/>
          <w:szCs w:val="14"/>
          <w:color w:val="auto"/>
        </w:rPr>
      </w:pPr>
    </w:p>
    <w:p>
      <w:pPr>
        <w:ind w:left="660" w:right="160" w:hanging="328"/>
        <w:spacing w:after="0" w:line="293"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€478,155 in the case of gifts and inheritances received from a parent (or from a grandparent by a minor child of a deceased child) and specified inheritances received by a parent from a child.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Gifts and inheritances passing between spouses are exempt from CAT.</w:t>
      </w:r>
    </w:p>
    <w:p>
      <w:pPr>
        <w:spacing w:after="0" w:line="285"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28" w:lineRule="exact"/>
        <w:rPr>
          <w:sz w:val="20"/>
          <w:szCs w:val="20"/>
          <w:color w:val="auto"/>
        </w:rPr>
      </w:pPr>
    </w:p>
    <w:p>
      <w:pPr>
        <w:ind w:right="280"/>
        <w:spacing w:after="0" w:line="277" w:lineRule="auto"/>
        <w:rPr>
          <w:sz w:val="20"/>
          <w:szCs w:val="20"/>
          <w:color w:val="auto"/>
        </w:rPr>
      </w:pPr>
      <w:r>
        <w:rPr>
          <w:rFonts w:ascii="Arial" w:cs="Arial" w:eastAsia="Arial" w:hAnsi="Arial"/>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Irish Probate Tax</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Irish probate tax was abolished under the Finance Act, 2001. No probate tax will arise on any assets passing in respect of a death occurring on or after December 6, 2000.</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color w:val="auto"/>
        </w:rPr>
        <w:t>Irish Stamp Duty - Ordinary Shares</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31"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€12.70 (the nominal rate) will apply.</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Irish Stamp Duty - ADSs Representing Ordinary Shares</w:t>
      </w:r>
    </w:p>
    <w:p>
      <w:pPr>
        <w:spacing w:after="0" w:line="21" w:lineRule="exact"/>
        <w:rPr>
          <w:sz w:val="20"/>
          <w:szCs w:val="20"/>
          <w:color w:val="auto"/>
        </w:rPr>
      </w:pPr>
    </w:p>
    <w:p>
      <w:pPr>
        <w:jc w:val="both"/>
        <w:ind w:right="160"/>
        <w:spacing w:after="0" w:line="281" w:lineRule="auto"/>
        <w:rPr>
          <w:sz w:val="20"/>
          <w:szCs w:val="20"/>
          <w:color w:val="auto"/>
        </w:rPr>
      </w:pPr>
      <w:r>
        <w:rPr>
          <w:rFonts w:ascii="Arial" w:cs="Arial" w:eastAsia="Arial" w:hAnsi="Arial"/>
          <w:sz w:val="13"/>
          <w:szCs w:val="13"/>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w:t>
      </w:r>
    </w:p>
    <w:p>
      <w:pPr>
        <w:spacing w:after="0" w:line="2"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€12.70 applies.</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Transfers of ADSs are exempt from Irish stamp duty as long as the ADSs are dealt in on the NASDAQ National Market or any recognized stock exchange in the United States or Canada.</w:t>
      </w:r>
    </w:p>
    <w:p>
      <w:pPr>
        <w:spacing w:after="0" w:line="296" w:lineRule="exact"/>
        <w:rPr>
          <w:sz w:val="20"/>
          <w:szCs w:val="20"/>
          <w:color w:val="auto"/>
        </w:rPr>
      </w:pPr>
    </w:p>
    <w:p>
      <w:pPr>
        <w:ind w:right="260"/>
        <w:spacing w:after="0" w:line="293" w:lineRule="auto"/>
        <w:rPr>
          <w:sz w:val="20"/>
          <w:szCs w:val="20"/>
          <w:color w:val="auto"/>
        </w:rPr>
      </w:pPr>
      <w:r>
        <w:rPr>
          <w:rFonts w:ascii="Arial" w:cs="Arial" w:eastAsia="Arial" w:hAnsi="Arial"/>
          <w:sz w:val="14"/>
          <w:szCs w:val="14"/>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Documents on Display</w:t>
      </w:r>
    </w:p>
    <w:p>
      <w:pPr>
        <w:spacing w:after="0" w:line="28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subject to the informational requirements of the Securities Exchange Act of 1934, as amended, (the “Exchange Act”) and file reports and other information with the SEC. You may read and copy any of our reports and other information at, and obtain copies upon payment of prescribed fees from, the Public Reference Room maintained by the SEC at 100F Street N.E., Washington, D.C. 20549.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4"/>
          <w:szCs w:val="14"/>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333-8704.</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As a foreign private issuer, we are exempt from the rules under the Exchange Act, prescribing the furnishing and content of proxy statements to shareholders.</w:t>
      </w:r>
    </w:p>
    <w:p>
      <w:pPr>
        <w:spacing w:after="0" w:line="285"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Ciaran Murray, telephone number: (353) 1 291 2000.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Exemptions From Corporate Governance Listing Requirements Under the NASDAQ Marketplace Rules</w:t>
      </w:r>
    </w:p>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w:t>
      </w:r>
      <w:r>
        <w:rPr>
          <w:rFonts w:ascii="Arial" w:cs="Arial" w:eastAsia="Arial" w:hAnsi="Arial"/>
          <w:sz w:val="14"/>
          <w:szCs w:val="14"/>
          <w:b w:val="1"/>
          <w:bCs w:val="1"/>
          <w:i w:val="1"/>
          <w:iCs w:val="1"/>
          <w:color w:val="auto"/>
        </w:rPr>
        <w:t>. Quantitative and Qualitative Disclosures about Market Risk.</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Qualitative Disclosure of Market Risk</w:t>
      </w:r>
      <w:r>
        <w:rPr>
          <w:rFonts w:ascii="Arial" w:cs="Arial" w:eastAsia="Arial" w:hAnsi="Arial"/>
          <w:sz w:val="14"/>
          <w:szCs w:val="14"/>
          <w:color w:val="auto"/>
        </w:rPr>
        <w:t>. The principal market risks (i.e. risk of loss arising from adverse changes in market rates and prices) to which we are exposed are:</w:t>
      </w:r>
    </w:p>
    <w:p>
      <w:pPr>
        <w:spacing w:after="0" w:line="2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rate changes on short term investments (available for sale) in the form of floating rate notes and medium term minimum “A” rated corporate securities, and</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Foreign currency risk on non-U.S. dollar denominated cash and non-U.S. dollar denominated debt.</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We use derivative financial instruments solely to hedge exposure to these market risks and we do not enter into these instruments for trading or speculative purposes.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Our primary foreign currency exchange risk relates to movements in rates between the U.S. dollar, Sterling and the Euro. At December 31, 2006, we had cash denominated in non-U.S. dollar denominated currencies. In order to reduce the foreign currency exchange risk, we may enter into certain derivative instruments to reduce our exposure to adverse changes in exchange rates. At December 31, 2006 we held no foreign exchange forward contracts.</w:t>
      </w:r>
    </w:p>
    <w:p>
      <w:pPr>
        <w:spacing w:after="0" w:line="23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Quantitative disclosure of Market Risk</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analysis below presents the sensitivity of the market value, or fair value of our financial instruments to selected changes in market rates and prices.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changes chosen represent our view of changes that are reasonable over a one year period.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Foreign Currency Exchange Risk</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The sensitivity analysis below represents the hypothetical change in fair value based on an immediate 10% movement in the exchange rates.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 Change +10%</w:t>
            </w:r>
          </w:p>
        </w:tc>
        <w:tc>
          <w:tcPr>
            <w:tcW w:w="260" w:type="dxa"/>
            <w:vAlign w:val="bottom"/>
          </w:tcPr>
          <w:p>
            <w:pPr>
              <w:spacing w:after="0"/>
              <w:rPr>
                <w:sz w:val="15"/>
                <w:szCs w:val="15"/>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Fair value Change -10%</w:t>
            </w:r>
          </w:p>
        </w:tc>
      </w:tr>
      <w:tr>
        <w:trPr>
          <w:trHeight w:val="176"/>
        </w:trPr>
        <w:tc>
          <w:tcPr>
            <w:tcW w:w="5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5"/>
                <w:szCs w:val="15"/>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b w:val="1"/>
                <w:bCs w:val="1"/>
                <w:color w:val="auto"/>
              </w:rPr>
              <w:t>movement in foreign</w:t>
            </w:r>
          </w:p>
        </w:tc>
        <w:tc>
          <w:tcPr>
            <w:tcW w:w="260" w:type="dxa"/>
            <w:vAlign w:val="bottom"/>
          </w:tcPr>
          <w:p>
            <w:pPr>
              <w:spacing w:after="0"/>
              <w:rPr>
                <w:sz w:val="15"/>
                <w:szCs w:val="15"/>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movement in foreign</w:t>
            </w:r>
          </w:p>
        </w:tc>
      </w:tr>
      <w:tr>
        <w:trPr>
          <w:trHeight w:val="186"/>
        </w:trPr>
        <w:tc>
          <w:tcPr>
            <w:tcW w:w="5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 2006</w:t>
            </w:r>
          </w:p>
        </w:tc>
        <w:tc>
          <w:tcPr>
            <w:tcW w:w="280" w:type="dxa"/>
            <w:vAlign w:val="bottom"/>
          </w:tcPr>
          <w:p>
            <w:pPr>
              <w:spacing w:after="0"/>
              <w:rPr>
                <w:sz w:val="16"/>
                <w:szCs w:val="16"/>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b w:val="1"/>
                <w:bCs w:val="1"/>
                <w:color w:val="auto"/>
              </w:rPr>
              <w:t>exchange rate</w:t>
            </w:r>
          </w:p>
        </w:tc>
        <w:tc>
          <w:tcPr>
            <w:tcW w:w="260" w:type="dxa"/>
            <w:vAlign w:val="bottom"/>
          </w:tcPr>
          <w:p>
            <w:pPr>
              <w:spacing w:after="0"/>
              <w:rPr>
                <w:sz w:val="16"/>
                <w:szCs w:val="16"/>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exchange rate</w:t>
            </w:r>
          </w:p>
        </w:tc>
      </w:tr>
      <w:tr>
        <w:trPr>
          <w:trHeight w:val="242"/>
        </w:trPr>
        <w:tc>
          <w:tcPr>
            <w:tcW w:w="5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Non-U.S. Dollar denominated cash</w:t>
            </w:r>
          </w:p>
        </w:tc>
        <w:tc>
          <w:tcPr>
            <w:tcW w:w="5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21,044</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2,104</w:t>
            </w: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r>
      <w:tr>
        <w:trPr>
          <w:trHeight w:val="245"/>
        </w:trPr>
        <w:tc>
          <w:tcPr>
            <w:tcW w:w="5260" w:type="dxa"/>
            <w:vAlign w:val="bottom"/>
          </w:tcPr>
          <w:p>
            <w:pPr>
              <w:spacing w:after="0"/>
              <w:rPr>
                <w:sz w:val="20"/>
                <w:szCs w:val="20"/>
                <w:color w:val="auto"/>
              </w:rPr>
            </w:pPr>
            <w:r>
              <w:rPr>
                <w:rFonts w:ascii="Arial" w:cs="Arial" w:eastAsia="Arial" w:hAnsi="Arial"/>
                <w:sz w:val="14"/>
                <w:szCs w:val="14"/>
                <w:color w:val="auto"/>
              </w:rPr>
              <w:t>Non-U.S. Dollar denominated short term debt</w:t>
            </w:r>
          </w:p>
        </w:tc>
        <w:tc>
          <w:tcPr>
            <w:tcW w:w="50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21"/>
                <w:szCs w:val="21"/>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500</w:t>
            </w:r>
          </w:p>
        </w:tc>
      </w:tr>
      <w:tr>
        <w:trPr>
          <w:trHeight w:val="419"/>
        </w:trPr>
        <w:tc>
          <w:tcPr>
            <w:tcW w:w="5260" w:type="dxa"/>
            <w:vAlign w:val="bottom"/>
          </w:tcPr>
          <w:p>
            <w:pPr>
              <w:spacing w:after="0"/>
              <w:rPr>
                <w:sz w:val="20"/>
                <w:szCs w:val="20"/>
                <w:color w:val="auto"/>
              </w:rPr>
            </w:pPr>
            <w:r>
              <w:rPr>
                <w:rFonts w:ascii="Arial" w:cs="Arial" w:eastAsia="Arial" w:hAnsi="Arial"/>
                <w:sz w:val="14"/>
                <w:szCs w:val="14"/>
                <w:b w:val="1"/>
                <w:bCs w:val="1"/>
                <w:color w:val="auto"/>
              </w:rPr>
              <w:t>Item 12</w:t>
            </w:r>
            <w:r>
              <w:rPr>
                <w:rFonts w:ascii="Arial" w:cs="Arial" w:eastAsia="Arial" w:hAnsi="Arial"/>
                <w:sz w:val="14"/>
                <w:szCs w:val="14"/>
                <w:b w:val="1"/>
                <w:bCs w:val="1"/>
                <w:i w:val="1"/>
                <w:iCs w:val="1"/>
                <w:color w:val="auto"/>
              </w:rPr>
              <w:t>. Description of Securities Other than Equity Securities.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4"/>
                <w:szCs w:val="14"/>
                <w:color w:val="auto"/>
              </w:rPr>
              <w:t>Not applicable.</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4"/>
                <w:szCs w:val="14"/>
                <w:b w:val="1"/>
                <w:bCs w:val="1"/>
                <w:color w:val="auto"/>
              </w:rPr>
              <w:t>Item 13</w:t>
            </w:r>
            <w:r>
              <w:rPr>
                <w:rFonts w:ascii="Arial" w:cs="Arial" w:eastAsia="Arial" w:hAnsi="Arial"/>
                <w:sz w:val="14"/>
                <w:szCs w:val="14"/>
                <w:b w:val="1"/>
                <w:bCs w:val="1"/>
                <w:i w:val="1"/>
                <w:iCs w:val="1"/>
                <w:color w:val="auto"/>
              </w:rPr>
              <w:t>. Defaults, Dividend Arrearages and Delinquencies.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4"/>
                <w:szCs w:val="14"/>
                <w:color w:val="auto"/>
              </w:rPr>
              <w:t>None.</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4"/>
                <w:szCs w:val="14"/>
                <w:b w:val="1"/>
                <w:bCs w:val="1"/>
                <w:color w:val="auto"/>
                <w:w w:val="92"/>
              </w:rPr>
              <w:t>Item 14.</w:t>
            </w:r>
            <w:r>
              <w:rPr>
                <w:rFonts w:ascii="Arial" w:cs="Arial" w:eastAsia="Arial" w:hAnsi="Arial"/>
                <w:sz w:val="14"/>
                <w:szCs w:val="14"/>
                <w:b w:val="1"/>
                <w:bCs w:val="1"/>
                <w:i w:val="1"/>
                <w:iCs w:val="1"/>
                <w:color w:val="auto"/>
                <w:w w:val="92"/>
              </w:rPr>
              <w:t>Material Modifications to the Rights of Security Holders and Use of Proceeds.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6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hereby incorporate by reference the description of the amendment to our Memorandum and Articles of Association described under the heading “Memorandum and Articles of Association” from Item 10 of this Form 20F.</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15. </w:t>
      </w:r>
      <w:r>
        <w:rPr>
          <w:rFonts w:ascii="Arial" w:cs="Arial" w:eastAsia="Arial" w:hAnsi="Arial"/>
          <w:sz w:val="14"/>
          <w:szCs w:val="14"/>
          <w:b w:val="1"/>
          <w:bCs w:val="1"/>
          <w:i w:val="1"/>
          <w:iCs w:val="1"/>
          <w:color w:val="auto"/>
        </w:rPr>
        <w:t>Controls and Procedures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Evaluation of disclosure controls and procedures.</w:t>
      </w:r>
    </w:p>
    <w:p>
      <w:pPr>
        <w:spacing w:after="0" w:line="289" w:lineRule="exact"/>
        <w:rPr>
          <w:sz w:val="20"/>
          <w:szCs w:val="20"/>
          <w:color w:val="auto"/>
        </w:rPr>
      </w:pPr>
    </w:p>
    <w:p>
      <w:pPr>
        <w:ind w:right="120"/>
        <w:spacing w:after="0" w:line="272" w:lineRule="auto"/>
        <w:rPr>
          <w:sz w:val="20"/>
          <w:szCs w:val="20"/>
          <w:color w:val="auto"/>
        </w:rPr>
      </w:pPr>
      <w:r>
        <w:rPr>
          <w:rFonts w:ascii="Arial" w:cs="Arial" w:eastAsia="Arial" w:hAnsi="Arial"/>
          <w:sz w:val="14"/>
          <w:szCs w:val="14"/>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2006.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Changes in internal controls.</w:t>
      </w:r>
    </w:p>
    <w:p>
      <w:pPr>
        <w:spacing w:after="0" w:line="289"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auto"/>
        </w:rPr>
        <w:t>There were no changes in our internal controls over financial reporting that occurred during the period covered by this Form 20-F that have materially affected or are reasonably likely to materially affect our internal controls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16. </w:t>
      </w:r>
      <w:r>
        <w:rPr>
          <w:rFonts w:ascii="Arial" w:cs="Arial" w:eastAsia="Arial" w:hAnsi="Arial"/>
          <w:sz w:val="14"/>
          <w:szCs w:val="14"/>
          <w:b w:val="1"/>
          <w:bCs w:val="1"/>
          <w:i w:val="1"/>
          <w:iCs w:val="1"/>
          <w:color w:val="auto"/>
        </w:rPr>
        <w:t>Reserved.</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16A. Audit Committee Financial Expert</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Mr. Thomas Lynch acts as the Audit Committee financial expert serving on our Audit Committee and Board of Directors. Mr. Lynch is independent and serves as one of our non-executive directors.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Item 16B. Code of Ethics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adopted a code of ethics in 2003 that applies to the Chief Executive Officer, the Chief Financial Officer and any persons performing similar functions, if any,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There are no material modifications to, or waivers from, the provisions of such code, which are required to be disclosed.</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This code is available on our website at the following address: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http://www.iconclinical.com</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16C. Principal Accountant Fees and Services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principal accountants for the year ended December 31, 2006 and the seven month transition period ended December 31, 2005 were KPMG.</w:t>
      </w:r>
    </w:p>
    <w:p>
      <w:pPr>
        <w:spacing w:after="0" w:line="285"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The table below summarizes the fees for professional services rendered by KPMG for the audit of our annual financial statements for the year ended December 31, 2006 and the seven month 2005 transition period ended December 31, 2005 and fees billed for other services rendered by KPMG.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12 month period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20" w:type="dxa"/>
            <w:vAlign w:val="bottom"/>
          </w:tcPr>
          <w:p>
            <w:pPr>
              <w:jc w:val="right"/>
              <w:ind w:right="408"/>
              <w:spacing w:after="0"/>
              <w:rPr>
                <w:sz w:val="20"/>
                <w:szCs w:val="20"/>
                <w:color w:val="auto"/>
              </w:rPr>
            </w:pPr>
            <w:r>
              <w:rPr>
                <w:rFonts w:ascii="Arial" w:cs="Arial" w:eastAsia="Arial" w:hAnsi="Arial"/>
                <w:sz w:val="14"/>
                <w:szCs w:val="14"/>
                <w:b w:val="1"/>
                <w:bCs w:val="1"/>
                <w:color w:val="auto"/>
              </w:rPr>
              <w:t>7 month transition period</w:t>
            </w: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0"/>
              </w:rPr>
              <w:t>ending December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2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20" w:type="dxa"/>
            <w:vAlign w:val="bottom"/>
          </w:tcPr>
          <w:p>
            <w:pPr>
              <w:jc w:val="right"/>
              <w:ind w:right="408"/>
              <w:spacing w:after="0"/>
              <w:rPr>
                <w:sz w:val="20"/>
                <w:szCs w:val="20"/>
                <w:color w:val="auto"/>
              </w:rPr>
            </w:pPr>
            <w:r>
              <w:rPr>
                <w:rFonts w:ascii="Arial" w:cs="Arial" w:eastAsia="Arial" w:hAnsi="Arial"/>
                <w:sz w:val="14"/>
                <w:szCs w:val="14"/>
                <w:b w:val="1"/>
                <w:bCs w:val="1"/>
                <w:color w:val="auto"/>
              </w:rPr>
              <w:t>ending December 31, 2005</w:t>
            </w: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2"/>
        </w:trPr>
        <w:tc>
          <w:tcPr>
            <w:tcW w:w="2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Audit fees (1)</w:t>
            </w:r>
          </w:p>
        </w:tc>
        <w:tc>
          <w:tcPr>
            <w:tcW w:w="16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62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673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740" w:type="dxa"/>
            <w:vAlign w:val="bottom"/>
            <w:shd w:val="clear" w:color="auto" w:fill="CCEEFF"/>
          </w:tcPr>
          <w:p>
            <w:pPr>
              <w:spacing w:after="0"/>
              <w:rPr>
                <w:sz w:val="21"/>
                <w:szCs w:val="21"/>
                <w:color w:val="auto"/>
              </w:rPr>
            </w:pPr>
          </w:p>
        </w:tc>
        <w:tc>
          <w:tcPr>
            <w:tcW w:w="242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1,076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Audit related fees (2)</w:t>
            </w:r>
          </w:p>
        </w:tc>
        <w:tc>
          <w:tcPr>
            <w:tcW w:w="1660" w:type="dxa"/>
            <w:vAlign w:val="bottom"/>
          </w:tcPr>
          <w:p>
            <w:pPr>
              <w:spacing w:after="0"/>
              <w:rPr>
                <w:sz w:val="21"/>
                <w:szCs w:val="21"/>
                <w:color w:val="auto"/>
              </w:rPr>
            </w:pPr>
          </w:p>
        </w:tc>
        <w:tc>
          <w:tcPr>
            <w:tcW w:w="2620" w:type="dxa"/>
            <w:vAlign w:val="bottom"/>
          </w:tcPr>
          <w:p>
            <w:pPr>
              <w:jc w:val="right"/>
              <w:ind w:right="1328"/>
              <w:spacing w:after="0"/>
              <w:rPr>
                <w:sz w:val="20"/>
                <w:szCs w:val="20"/>
                <w:color w:val="auto"/>
              </w:rPr>
            </w:pPr>
            <w:r>
              <w:rPr>
                <w:rFonts w:ascii="Arial" w:cs="Arial" w:eastAsia="Arial" w:hAnsi="Arial"/>
                <w:sz w:val="14"/>
                <w:szCs w:val="14"/>
                <w:color w:val="auto"/>
              </w:rPr>
              <w:t>21</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740" w:type="dxa"/>
            <w:vAlign w:val="bottom"/>
          </w:tcPr>
          <w:p>
            <w:pPr>
              <w:spacing w:after="0"/>
              <w:rPr>
                <w:sz w:val="21"/>
                <w:szCs w:val="21"/>
                <w:color w:val="auto"/>
              </w:rPr>
            </w:pPr>
          </w:p>
        </w:tc>
        <w:tc>
          <w:tcPr>
            <w:tcW w:w="2420" w:type="dxa"/>
            <w:vAlign w:val="bottom"/>
          </w:tcPr>
          <w:p>
            <w:pPr>
              <w:jc w:val="right"/>
              <w:ind w:right="1208"/>
              <w:spacing w:after="0"/>
              <w:rPr>
                <w:sz w:val="20"/>
                <w:szCs w:val="20"/>
                <w:color w:val="auto"/>
              </w:rPr>
            </w:pPr>
            <w:r>
              <w:rPr>
                <w:rFonts w:ascii="Arial" w:cs="Arial" w:eastAsia="Arial" w:hAnsi="Arial"/>
                <w:sz w:val="14"/>
                <w:szCs w:val="14"/>
                <w:color w:val="auto"/>
              </w:rPr>
              <w:t>99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w:t>
            </w:r>
          </w:p>
        </w:tc>
      </w:tr>
      <w:tr>
        <w:trPr>
          <w:trHeight w:val="243"/>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Tax fees (3)</w:t>
            </w:r>
          </w:p>
        </w:tc>
        <w:tc>
          <w:tcPr>
            <w:tcW w:w="166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144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740" w:type="dxa"/>
            <w:vAlign w:val="bottom"/>
            <w:shd w:val="clear" w:color="auto" w:fill="CCEEFF"/>
          </w:tcPr>
          <w:p>
            <w:pPr>
              <w:spacing w:after="0"/>
              <w:rPr>
                <w:sz w:val="21"/>
                <w:szCs w:val="21"/>
                <w:color w:val="auto"/>
              </w:rPr>
            </w:pPr>
          </w:p>
        </w:tc>
        <w:tc>
          <w:tcPr>
            <w:tcW w:w="242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162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2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66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62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838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1,337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22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38"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Audit fees include annual audit fees for ICON plc and its subsidiaries.</w:t>
      </w:r>
    </w:p>
    <w:p>
      <w:pPr>
        <w:spacing w:after="0" w:line="257" w:lineRule="exact"/>
        <w:rPr>
          <w:rFonts w:ascii="Arial" w:cs="Arial" w:eastAsia="Arial" w:hAnsi="Arial"/>
          <w:sz w:val="14"/>
          <w:szCs w:val="14"/>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Audit related fees principally consisted of fees for financial due diligence services and fees for audit of financial statements of employee benefit plans.</w:t>
      </w:r>
    </w:p>
    <w:p>
      <w:pPr>
        <w:spacing w:after="0" w:line="257"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Tax fees are fees for tax compliance and tax consultation services.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 pre-approves on an annual basis the audit and non-audit services provided to ICON plc by its auditors.</w:t>
      </w:r>
    </w:p>
    <w:p>
      <w:pPr>
        <w:spacing w:after="0" w:line="285" w:lineRule="exact"/>
        <w:rPr>
          <w:sz w:val="20"/>
          <w:szCs w:val="20"/>
          <w:color w:val="auto"/>
        </w:rPr>
      </w:pPr>
    </w:p>
    <w:p>
      <w:pPr>
        <w:ind w:right="100"/>
        <w:spacing w:after="0" w:line="293" w:lineRule="auto"/>
        <w:rPr>
          <w:sz w:val="20"/>
          <w:szCs w:val="20"/>
          <w:color w:val="auto"/>
        </w:rPr>
      </w:pPr>
      <w:r>
        <w:rPr>
          <w:rFonts w:ascii="Arial" w:cs="Arial" w:eastAsia="Arial" w:hAnsi="Arial"/>
          <w:sz w:val="14"/>
          <w:szCs w:val="14"/>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16D. Exemptions from the Listing Standards for Audit Committees.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Item 16 E. Purchases of Equity Securities by the Issuer and Affiliated Purchasers.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17. </w:t>
      </w:r>
      <w:r>
        <w:rPr>
          <w:rFonts w:ascii="Arial" w:cs="Arial" w:eastAsia="Arial" w:hAnsi="Arial"/>
          <w:sz w:val="14"/>
          <w:szCs w:val="14"/>
          <w:b w:val="1"/>
          <w:bCs w:val="1"/>
          <w:i w:val="1"/>
          <w:iCs w:val="1"/>
          <w:color w:val="auto"/>
        </w:rPr>
        <w:t>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18</w:t>
      </w:r>
      <w:r>
        <w:rPr>
          <w:rFonts w:ascii="Arial" w:cs="Arial" w:eastAsia="Arial" w:hAnsi="Arial"/>
          <w:sz w:val="14"/>
          <w:szCs w:val="14"/>
          <w:b w:val="1"/>
          <w:bCs w:val="1"/>
          <w:i w:val="1"/>
          <w:iCs w:val="1"/>
          <w:color w:val="auto"/>
        </w:rPr>
        <w:t>.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Reference is made to pages 53 to 91 of this Form 20-F.</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19. </w:t>
      </w:r>
      <w:r>
        <w:rPr>
          <w:rFonts w:ascii="Arial" w:cs="Arial" w:eastAsia="Arial" w:hAnsi="Arial"/>
          <w:sz w:val="14"/>
          <w:szCs w:val="14"/>
          <w:b w:val="1"/>
          <w:bCs w:val="1"/>
          <w:i w:val="1"/>
          <w:iCs w:val="1"/>
          <w:color w:val="auto"/>
        </w:rPr>
        <w:t>Financial Statements and Exhibits.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of ICON plc and subsidiaries</w:t>
      </w:r>
    </w:p>
    <w:p>
      <w:pPr>
        <w:spacing w:after="0" w:line="28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Management's Report on Internal Control over Financial Reporting</w:t>
      </w:r>
    </w:p>
    <w:p>
      <w:pPr>
        <w:spacing w:after="0" w:line="3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3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Balance Sheets as at May 31, 2005, December 31, 2005 and December 31, 2006.</w:t>
      </w:r>
    </w:p>
    <w:p>
      <w:pPr>
        <w:spacing w:after="0" w:line="3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Statements of Operations for the years ended May 31, 2004, and 2005, the transition period ended December 31, 2005 and the year ended December 31, 2006.</w:t>
      </w:r>
    </w:p>
    <w:p>
      <w:pPr>
        <w:spacing w:after="0" w:line="325" w:lineRule="exact"/>
        <w:rPr>
          <w:sz w:val="20"/>
          <w:szCs w:val="20"/>
          <w:color w:val="auto"/>
        </w:rPr>
      </w:pPr>
    </w:p>
    <w:p>
      <w:pPr>
        <w:ind w:left="580"/>
        <w:spacing w:after="0" w:line="293" w:lineRule="auto"/>
        <w:rPr>
          <w:sz w:val="20"/>
          <w:szCs w:val="20"/>
          <w:color w:val="auto"/>
        </w:rPr>
      </w:pPr>
      <w:r>
        <w:rPr>
          <w:rFonts w:ascii="Arial" w:cs="Arial" w:eastAsia="Arial" w:hAnsi="Arial"/>
          <w:sz w:val="14"/>
          <w:szCs w:val="14"/>
          <w:color w:val="auto"/>
        </w:rPr>
        <w:t>Consolidated Statements of Shareholders’ Equity and Comprehensive Income for the years ended May 31, 2004, and 2005, the transition period ended December 31, 2005, and the year ended December 31, 2006.</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Consolidated Statements of Cash Flows for the years ended May 31, 2004, and 2005, the transition period ended December 31, 2005, and the year ended December 31, 2006.</w:t>
      </w:r>
    </w:p>
    <w:p>
      <w:pPr>
        <w:spacing w:after="0" w:line="33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Notes to the Consolidated Financial Statements.</w:t>
      </w:r>
    </w:p>
    <w:p>
      <w:pPr>
        <w:spacing w:after="0" w:line="38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Exhibits of ICON plc and subsidiaries</w:t>
      </w:r>
    </w:p>
    <w:p>
      <w:pPr>
        <w:spacing w:after="0" w:line="32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Significant subsidiaries. (Incorporated by reference in item 4)</w:t>
      </w:r>
    </w:p>
    <w:p>
      <w:pPr>
        <w:spacing w:after="0" w:line="3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Section 302 certifications.</w:t>
      </w:r>
    </w:p>
    <w:p>
      <w:pPr>
        <w:spacing w:after="0" w:line="3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Section 906 certifications.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0" w:lineRule="exact"/>
        <w:rPr>
          <w:sz w:val="20"/>
          <w:szCs w:val="20"/>
          <w:color w:val="auto"/>
        </w:rPr>
      </w:pPr>
    </w:p>
    <w:p>
      <w:pPr>
        <w:spacing w:after="0" w:line="359" w:lineRule="exact"/>
        <w:rPr>
          <w:sz w:val="20"/>
          <w:szCs w:val="20"/>
          <w:color w:val="auto"/>
        </w:rPr>
      </w:pPr>
    </w:p>
    <w:p>
      <w:pPr>
        <w:spacing w:after="0" w:line="289" w:lineRule="auto"/>
        <w:rPr>
          <w:sz w:val="20"/>
          <w:szCs w:val="20"/>
          <w:color w:val="auto"/>
        </w:rPr>
      </w:pPr>
      <w:r>
        <w:rPr>
          <w:rFonts w:ascii="Arial" w:cs="Arial" w:eastAsia="Arial" w:hAnsi="Arial"/>
          <w:sz w:val="13"/>
          <w:szCs w:val="13"/>
          <w:color w:val="auto"/>
        </w:rPr>
        <w:t>Management is responsible for establishing and maintaining adequate internal control over financial reporting as defined in Rules 13a-15(f) and 15d-15(f) under the Securities Exchange Act of 1934. 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5" w:lineRule="exact"/>
        <w:rPr>
          <w:sz w:val="20"/>
          <w:szCs w:val="20"/>
          <w:color w:val="auto"/>
        </w:rPr>
      </w:pPr>
    </w:p>
    <w:p>
      <w:pPr>
        <w:jc w:val="both"/>
        <w:ind w:right="40"/>
        <w:spacing w:after="0" w:line="277" w:lineRule="auto"/>
        <w:rPr>
          <w:sz w:val="20"/>
          <w:szCs w:val="20"/>
          <w:color w:val="auto"/>
        </w:rPr>
      </w:pPr>
      <w:r>
        <w:rPr>
          <w:rFonts w:ascii="Arial" w:cs="Arial" w:eastAsia="Arial" w:hAnsi="Arial"/>
          <w:sz w:val="14"/>
          <w:szCs w:val="14"/>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9" w:lineRule="exact"/>
        <w:rPr>
          <w:sz w:val="20"/>
          <w:szCs w:val="20"/>
          <w:color w:val="auto"/>
        </w:rPr>
      </w:pPr>
    </w:p>
    <w:p>
      <w:pPr>
        <w:ind w:right="240"/>
        <w:spacing w:after="0" w:line="277" w:lineRule="auto"/>
        <w:rPr>
          <w:sz w:val="20"/>
          <w:szCs w:val="20"/>
          <w:color w:val="auto"/>
        </w:rPr>
      </w:pPr>
      <w:r>
        <w:rPr>
          <w:rFonts w:ascii="Arial" w:cs="Arial" w:eastAsia="Arial" w:hAnsi="Arial"/>
          <w:sz w:val="14"/>
          <w:szCs w:val="14"/>
          <w:color w:val="auto"/>
        </w:rPr>
        <w:t xml:space="preserve">Our management assessed the effectiveness of the Company’s internal control over financial reporting as of December 31, 2006. In making this assessment, we used the criteria set forth by the Committee of Sponsoring Organizations of the Treadway Commission (COSO)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Based upon the assessment performed, we determined that, as of December 31, 2006, the Company’s internal control over financial reporting was effective based on the COSO criteria.</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73"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To the Directors and Shareholders of ICON plc</w:t>
      </w:r>
    </w:p>
    <w:p>
      <w:pPr>
        <w:spacing w:after="0" w:line="285" w:lineRule="exact"/>
        <w:rPr>
          <w:sz w:val="20"/>
          <w:szCs w:val="20"/>
          <w:color w:val="auto"/>
        </w:rPr>
      </w:pPr>
    </w:p>
    <w:p>
      <w:pPr>
        <w:jc w:val="both"/>
        <w:ind w:left="660"/>
        <w:spacing w:after="0" w:line="272" w:lineRule="auto"/>
        <w:rPr>
          <w:sz w:val="20"/>
          <w:szCs w:val="20"/>
          <w:color w:val="auto"/>
        </w:rPr>
      </w:pPr>
      <w:r>
        <w:rPr>
          <w:rFonts w:ascii="Arial" w:cs="Arial" w:eastAsia="Arial" w:hAnsi="Arial"/>
          <w:sz w:val="14"/>
          <w:szCs w:val="14"/>
          <w:color w:val="auto"/>
        </w:rPr>
        <w:t>We have audited the accompanying consolidated balance sheets of ICON plc and subsidiaries as of December 31, 2006 and 2005, and May 31, 2005, and the related consolidated statements of operations, shareholders' equity and comprehensive income, and cash flows for the year ended December 31, 2006, the seven-month period ended December 31, 2005, and the years ended May 31, 2005 and 2004. These consolidated financial statements are the responsibility of the Company's management. Our responsibility is to express an opinion on these consolidated financial statements based on our audits.</w:t>
      </w:r>
    </w:p>
    <w:p>
      <w:pPr>
        <w:spacing w:after="0" w:line="243" w:lineRule="exact"/>
        <w:rPr>
          <w:sz w:val="20"/>
          <w:szCs w:val="20"/>
          <w:color w:val="auto"/>
        </w:rPr>
      </w:pPr>
    </w:p>
    <w:p>
      <w:pPr>
        <w:jc w:val="both"/>
        <w:ind w:left="660"/>
        <w:spacing w:after="0" w:line="299" w:lineRule="auto"/>
        <w:rPr>
          <w:sz w:val="20"/>
          <w:szCs w:val="20"/>
          <w:color w:val="auto"/>
        </w:rPr>
      </w:pPr>
      <w:r>
        <w:rPr>
          <w:rFonts w:ascii="Arial" w:cs="Arial" w:eastAsia="Arial" w:hAnsi="Arial"/>
          <w:sz w:val="13"/>
          <w:szCs w:val="13"/>
          <w:color w:val="auto"/>
        </w:rPr>
        <w:t>We conducted our audits in accordance with auditing standards generally accepted in Ireland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7" w:lineRule="exact"/>
        <w:rPr>
          <w:sz w:val="20"/>
          <w:szCs w:val="20"/>
          <w:color w:val="auto"/>
        </w:rPr>
      </w:pPr>
    </w:p>
    <w:p>
      <w:pPr>
        <w:jc w:val="both"/>
        <w:ind w:left="660"/>
        <w:spacing w:after="0" w:line="277"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ICON plc and subsidiaries as of December 31, 2006, December 31, 2005, May 31, 2005 and the consolidated results of their operations and their cash flows for the year ended December 31, 2006, the seven-month period ended December 31, 2005, and the years ended May 31, 2005 and 2004 in conformity with U.S. generally accepted accounting principles.</w:t>
      </w:r>
    </w:p>
    <w:p>
      <w:pPr>
        <w:spacing w:after="0" w:line="239" w:lineRule="exact"/>
        <w:rPr>
          <w:sz w:val="20"/>
          <w:szCs w:val="20"/>
          <w:color w:val="auto"/>
        </w:rPr>
      </w:pPr>
    </w:p>
    <w:p>
      <w:pPr>
        <w:jc w:val="both"/>
        <w:ind w:left="660"/>
        <w:spacing w:after="0" w:line="293" w:lineRule="auto"/>
        <w:rPr>
          <w:sz w:val="20"/>
          <w:szCs w:val="20"/>
          <w:color w:val="auto"/>
        </w:rPr>
      </w:pPr>
      <w:r>
        <w:rPr>
          <w:rFonts w:ascii="Arial" w:cs="Arial" w:eastAsia="Arial" w:hAnsi="Arial"/>
          <w:sz w:val="14"/>
          <w:szCs w:val="14"/>
          <w:color w:val="auto"/>
        </w:rPr>
        <w:t xml:space="preserve">As described in Note 3 to the consolidated financial statements, effective January 1, 2006, the Company has changed its method of accounting for stock-based compensation upon adoption of Statement of Financial Accounting Standard No. 123R </w:t>
      </w:r>
      <w:r>
        <w:rPr>
          <w:rFonts w:ascii="Arial" w:cs="Arial" w:eastAsia="Arial" w:hAnsi="Arial"/>
          <w:sz w:val="14"/>
          <w:szCs w:val="14"/>
          <w:i w:val="1"/>
          <w:iCs w:val="1"/>
          <w:color w:val="auto"/>
        </w:rPr>
        <w:t>Share Based Payments</w:t>
      </w:r>
      <w:r>
        <w:rPr>
          <w:rFonts w:ascii="Arial" w:cs="Arial" w:eastAsia="Arial" w:hAnsi="Arial"/>
          <w:sz w:val="14"/>
          <w:szCs w:val="14"/>
          <w:color w:val="auto"/>
        </w:rPr>
        <w:t>.</w:t>
      </w: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KPMG</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Dublin, Ireland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February 12, 2006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6"/>
                <w:szCs w:val="16"/>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6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1"/>
                <w:szCs w:val="21"/>
                <w:color w:val="auto"/>
              </w:rPr>
            </w:pPr>
          </w:p>
        </w:tc>
      </w:tr>
      <w:tr>
        <w:trPr>
          <w:trHeight w:val="243"/>
        </w:trPr>
        <w:tc>
          <w:tcPr>
            <w:tcW w:w="6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w w:val="99"/>
              </w:rPr>
              <w:t>(in thousands)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2"/>
        </w:trPr>
        <w:tc>
          <w:tcPr>
            <w:tcW w:w="6420" w:type="dxa"/>
            <w:vAlign w:val="bottom"/>
          </w:tcPr>
          <w:p>
            <w:pPr>
              <w:spacing w:after="0"/>
              <w:rPr>
                <w:sz w:val="20"/>
                <w:szCs w:val="20"/>
                <w:color w:val="auto"/>
              </w:rPr>
            </w:pPr>
            <w:r>
              <w:rPr>
                <w:rFonts w:ascii="Arial" w:cs="Arial" w:eastAsia="Arial" w:hAnsi="Arial"/>
                <w:sz w:val="14"/>
                <w:szCs w:val="14"/>
                <w:color w:val="auto"/>
              </w:rPr>
              <w:t>Current Assets:</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6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56,341</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59,509</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63,039</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Short term investments - available for sale (Note 3)</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22,034</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22,809</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39,822</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80,486</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71,450</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108,216</w:t>
            </w:r>
          </w:p>
        </w:tc>
      </w:tr>
      <w:tr>
        <w:trPr>
          <w:trHeight w:val="270"/>
        </w:trPr>
        <w:tc>
          <w:tcPr>
            <w:tcW w:w="6420" w:type="dxa"/>
            <w:vAlign w:val="bottom"/>
          </w:tcPr>
          <w:p>
            <w:pPr>
              <w:ind w:left="340"/>
              <w:spacing w:after="0"/>
              <w:rPr>
                <w:sz w:val="20"/>
                <w:szCs w:val="20"/>
                <w:color w:val="auto"/>
              </w:rPr>
            </w:pPr>
            <w:r>
              <w:rPr>
                <w:rFonts w:ascii="Arial" w:cs="Arial" w:eastAsia="Arial" w:hAnsi="Arial"/>
                <w:sz w:val="14"/>
                <w:szCs w:val="14"/>
                <w:color w:val="auto"/>
              </w:rPr>
              <w:t>Unbilled revenue</w:t>
            </w:r>
          </w:p>
        </w:tc>
        <w:tc>
          <w:tcPr>
            <w:tcW w:w="6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56,762</w:t>
            </w:r>
          </w:p>
        </w:tc>
        <w:tc>
          <w:tcPr>
            <w:tcW w:w="26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62,270</w:t>
            </w:r>
          </w:p>
        </w:tc>
        <w:tc>
          <w:tcPr>
            <w:tcW w:w="4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89,977</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receivables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5,662</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6,435</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7,468</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Deferred tax asset (Note 13)</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2,637</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1,554</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6,028</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Prepayments and other current assets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10,717</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11,089</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14,335</w:t>
            </w:r>
          </w:p>
        </w:tc>
      </w:tr>
      <w:tr>
        <w:trPr>
          <w:trHeight w:val="20"/>
        </w:trPr>
        <w:tc>
          <w:tcPr>
            <w:tcW w:w="6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642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6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234,639</w:t>
            </w:r>
          </w:p>
        </w:tc>
        <w:tc>
          <w:tcPr>
            <w:tcW w:w="26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235,116</w:t>
            </w:r>
          </w:p>
        </w:tc>
        <w:tc>
          <w:tcPr>
            <w:tcW w:w="4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328,885</w:t>
            </w: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Property, plant and equipment, net (Note 6)</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45,286</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47,652</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68,208</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 (Note 4)</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67,440</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65,731</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78,717</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Non-current deferred tax asset (Note 13)</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w:t>
            </w:r>
          </w:p>
        </w:tc>
        <w:tc>
          <w:tcPr>
            <w:tcW w:w="220" w:type="dxa"/>
            <w:vAlign w:val="bottom"/>
          </w:tcPr>
          <w:p>
            <w:pPr>
              <w:spacing w:after="0"/>
              <w:rPr>
                <w:sz w:val="21"/>
                <w:szCs w:val="21"/>
                <w:color w:val="auto"/>
              </w:rPr>
            </w:pPr>
          </w:p>
        </w:tc>
      </w:tr>
      <w:tr>
        <w:trPr>
          <w:trHeight w:val="250"/>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Intangible assets (Note 5)</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r>
      <w:tr>
        <w:trPr>
          <w:trHeight w:val="20"/>
        </w:trPr>
        <w:tc>
          <w:tcPr>
            <w:tcW w:w="6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4"/>
                <w:szCs w:val="14"/>
                <w:color w:val="auto"/>
              </w:rPr>
              <w:t>Total Assets</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347,553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349,067</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476,341</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4"/>
        </w:trPr>
        <w:tc>
          <w:tcPr>
            <w:tcW w:w="6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10,379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7,575</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9,691</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on account</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52,583</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50,211</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90,394</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Other liabilities (Note 7)</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39,890</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33,184</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51,956</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tax liability (Note 13)</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Bank credit lines and loan facilities</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4,856</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6,189</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6,296</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10,985</w:t>
            </w:r>
          </w:p>
        </w:tc>
      </w:tr>
      <w:tr>
        <w:trPr>
          <w:trHeight w:val="20"/>
        </w:trPr>
        <w:tc>
          <w:tcPr>
            <w:tcW w:w="6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64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620" w:type="dxa"/>
            <w:vAlign w:val="bottom"/>
          </w:tcPr>
          <w:p>
            <w:pPr>
              <w:spacing w:after="0"/>
              <w:rPr>
                <w:sz w:val="20"/>
                <w:szCs w:val="20"/>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109,351</w:t>
            </w:r>
          </w:p>
        </w:tc>
        <w:tc>
          <w:tcPr>
            <w:tcW w:w="26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102,804</w:t>
            </w:r>
          </w:p>
        </w:tc>
        <w:tc>
          <w:tcPr>
            <w:tcW w:w="4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168,564</w:t>
            </w: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Long term government grants (Note 11)</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1,257</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1,160</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1,170</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Long term finance leases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Non-current deferred tax liability (Note 13)</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2,747</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2,499</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2,586</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Minority interest</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1,120</w:t>
            </w:r>
          </w:p>
        </w:tc>
      </w:tr>
      <w:tr>
        <w:trPr>
          <w:trHeight w:val="243"/>
        </w:trPr>
        <w:tc>
          <w:tcPr>
            <w:tcW w:w="6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Ordinary shares, par value 6 euro cents per share; 40,000,000 shares authorized,</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0"/>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27,798,192 shares issued and outstanding at May 31, 2005 and 28,036,184 shares issued and</w:t>
            </w: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76"/>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outstanding at December 31, 2005 and 28,517,852 shares issued and outstanding at December 31, 2006</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81"/>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(Note 12)</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2,047</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2,063</w:t>
            </w:r>
          </w:p>
        </w:tc>
        <w:tc>
          <w:tcPr>
            <w:tcW w:w="4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2,100</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113,385</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122,263</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133,996</w:t>
            </w:r>
          </w:p>
        </w:tc>
      </w:tr>
      <w:tr>
        <w:trPr>
          <w:trHeight w:val="243"/>
        </w:trPr>
        <w:tc>
          <w:tcPr>
            <w:tcW w:w="6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11,229</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3,409</w:t>
            </w:r>
          </w:p>
        </w:tc>
        <w:tc>
          <w:tcPr>
            <w:tcW w:w="4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14,515</w:t>
            </w:r>
          </w:p>
        </w:tc>
      </w:tr>
      <w:tr>
        <w:trPr>
          <w:trHeight w:val="243"/>
        </w:trPr>
        <w:tc>
          <w:tcPr>
            <w:tcW w:w="642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6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106,405</w:t>
            </w:r>
          </w:p>
        </w:tc>
        <w:tc>
          <w:tcPr>
            <w:tcW w:w="260" w:type="dxa"/>
            <w:vAlign w:val="bottom"/>
          </w:tcPr>
          <w:p>
            <w:pPr>
              <w:spacing w:after="0"/>
              <w:rPr>
                <w:sz w:val="21"/>
                <w:szCs w:val="21"/>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113,823</w:t>
            </w:r>
          </w:p>
        </w:tc>
        <w:tc>
          <w:tcPr>
            <w:tcW w:w="4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152,127</w:t>
            </w:r>
          </w:p>
        </w:tc>
      </w:tr>
      <w:tr>
        <w:trPr>
          <w:trHeight w:val="20"/>
        </w:trPr>
        <w:tc>
          <w:tcPr>
            <w:tcW w:w="6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Total Shareholders’ Equity</w:t>
            </w: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233,066</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241,558</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302,738</w:t>
            </w:r>
          </w:p>
        </w:tc>
      </w:tr>
      <w:tr>
        <w:trPr>
          <w:trHeight w:val="20"/>
        </w:trPr>
        <w:tc>
          <w:tcPr>
            <w:tcW w:w="6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4"/>
                <w:szCs w:val="14"/>
                <w:color w:val="auto"/>
              </w:rPr>
              <w:t>Total Liabilities and Shareholders’ Equity</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347,553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349,067</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476,341</w:t>
            </w: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3"/>
        </w:trPr>
        <w:tc>
          <w:tcPr>
            <w:tcW w:w="6420" w:type="dxa"/>
            <w:vAlign w:val="bottom"/>
          </w:tcPr>
          <w:p>
            <w:pPr>
              <w:ind w:left="18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427"/>
        </w:trPr>
        <w:tc>
          <w:tcPr>
            <w:tcW w:w="6420" w:type="dxa"/>
            <w:vAlign w:val="bottom"/>
          </w:tcPr>
          <w:p>
            <w:pPr>
              <w:ind w:left="5640"/>
              <w:spacing w:after="0"/>
              <w:rPr>
                <w:sz w:val="20"/>
                <w:szCs w:val="20"/>
                <w:color w:val="auto"/>
              </w:rPr>
            </w:pPr>
            <w:r>
              <w:rPr>
                <w:rFonts w:ascii="Arial" w:cs="Arial" w:eastAsia="Arial" w:hAnsi="Arial"/>
                <w:sz w:val="14"/>
                <w:szCs w:val="14"/>
                <w:color w:val="auto"/>
              </w:rPr>
              <w:t>53</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3"/>
        </w:trPr>
        <w:tc>
          <w:tcPr>
            <w:tcW w:w="64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Seven Month</w:t>
            </w: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Period Ended</w:t>
            </w:r>
          </w:p>
        </w:tc>
        <w:tc>
          <w:tcPr>
            <w:tcW w:w="360" w:type="dxa"/>
            <w:vAlign w:val="bottom"/>
          </w:tcPr>
          <w:p>
            <w:pPr>
              <w:spacing w:after="0"/>
              <w:rPr>
                <w:sz w:val="15"/>
                <w:szCs w:val="15"/>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20" w:type="dxa"/>
            <w:vAlign w:val="bottom"/>
            <w:gridSpan w:val="3"/>
          </w:tcPr>
          <w:p>
            <w:pPr>
              <w:jc w:val="right"/>
              <w:ind w:right="1408"/>
              <w:spacing w:after="0"/>
              <w:rPr>
                <w:sz w:val="20"/>
                <w:szCs w:val="20"/>
                <w:color w:val="auto"/>
              </w:rPr>
            </w:pPr>
            <w:r>
              <w:rPr>
                <w:rFonts w:ascii="Arial" w:cs="Arial" w:eastAsia="Arial" w:hAnsi="Arial"/>
                <w:sz w:val="14"/>
                <w:szCs w:val="14"/>
                <w:b w:val="1"/>
                <w:bCs w:val="1"/>
                <w:color w:val="auto"/>
              </w:rPr>
              <w:t>Year Ended May 31,</w:t>
            </w:r>
          </w:p>
        </w:tc>
        <w:tc>
          <w:tcPr>
            <w:tcW w:w="360" w:type="dxa"/>
            <w:vAlign w:val="bottom"/>
          </w:tcPr>
          <w:p>
            <w:pPr>
              <w:spacing w:after="0"/>
              <w:rPr>
                <w:sz w:val="16"/>
                <w:szCs w:val="16"/>
                <w:color w:val="auto"/>
              </w:rPr>
            </w:pPr>
          </w:p>
        </w:tc>
        <w:tc>
          <w:tcPr>
            <w:tcW w:w="1680" w:type="dxa"/>
            <w:vAlign w:val="bottom"/>
          </w:tcPr>
          <w:p>
            <w:pPr>
              <w:jc w:val="center"/>
              <w:ind w:right="32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20" w:type="dxa"/>
            <w:vAlign w:val="bottom"/>
          </w:tcPr>
          <w:p>
            <w:pPr>
              <w:jc w:val="right"/>
              <w:ind w:right="4"/>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jc w:val="right"/>
              <w:ind w:right="848"/>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1"/>
                <w:szCs w:val="21"/>
                <w:color w:val="auto"/>
              </w:rPr>
            </w:pPr>
          </w:p>
        </w:tc>
        <w:tc>
          <w:tcPr>
            <w:tcW w:w="168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21"/>
                <w:szCs w:val="21"/>
                <w:color w:val="auto"/>
              </w:rPr>
            </w:pPr>
          </w:p>
        </w:tc>
        <w:tc>
          <w:tcPr>
            <w:tcW w:w="154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w w:val="99"/>
              </w:rPr>
              <w:t>(in thousands, except share and per share data)</w:t>
            </w:r>
          </w:p>
        </w:tc>
        <w:tc>
          <w:tcPr>
            <w:tcW w:w="3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Gross revenue</w:t>
            </w:r>
          </w:p>
        </w:tc>
        <w:tc>
          <w:tcPr>
            <w:tcW w:w="1120" w:type="dxa"/>
            <w:vAlign w:val="bottom"/>
            <w:shd w:val="clear" w:color="auto" w:fill="CCEEFF"/>
          </w:tcPr>
          <w:p>
            <w:pPr>
              <w:jc w:val="right"/>
              <w:ind w:right="100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443,875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469,583</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275,586</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649,826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320"/>
              <w:spacing w:after="0"/>
              <w:rPr>
                <w:sz w:val="20"/>
                <w:szCs w:val="20"/>
                <w:color w:val="auto"/>
              </w:rPr>
            </w:pPr>
            <w:r>
              <w:rPr>
                <w:rFonts w:ascii="Arial" w:cs="Arial" w:eastAsia="Arial" w:hAnsi="Arial"/>
                <w:sz w:val="14"/>
                <w:szCs w:val="14"/>
                <w:color w:val="auto"/>
              </w:rPr>
              <w:t>Subcontractor costs</w:t>
            </w:r>
          </w:p>
        </w:tc>
        <w:tc>
          <w:tcPr>
            <w:tcW w:w="1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(146,952)</w:t>
            </w:r>
          </w:p>
        </w:tc>
        <w:tc>
          <w:tcPr>
            <w:tcW w:w="26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(142,925)</w:t>
            </w:r>
          </w:p>
        </w:tc>
        <w:tc>
          <w:tcPr>
            <w:tcW w:w="360" w:type="dxa"/>
            <w:vAlign w:val="bottom"/>
          </w:tcPr>
          <w:p>
            <w:pPr>
              <w:spacing w:after="0"/>
              <w:rPr>
                <w:sz w:val="21"/>
                <w:szCs w:val="21"/>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(73,636)</w:t>
            </w:r>
          </w:p>
        </w:tc>
        <w:tc>
          <w:tcPr>
            <w:tcW w:w="36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(194,229)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Net revenue</w:t>
            </w:r>
          </w:p>
        </w:tc>
        <w:tc>
          <w:tcPr>
            <w:tcW w:w="1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296,923</w:t>
            </w:r>
          </w:p>
        </w:tc>
        <w:tc>
          <w:tcPr>
            <w:tcW w:w="26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326,658</w:t>
            </w:r>
          </w:p>
        </w:tc>
        <w:tc>
          <w:tcPr>
            <w:tcW w:w="3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201,950</w:t>
            </w:r>
          </w:p>
        </w:tc>
        <w:tc>
          <w:tcPr>
            <w:tcW w:w="3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455,597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4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Direct costs</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162,562</w:t>
            </w:r>
          </w:p>
        </w:tc>
        <w:tc>
          <w:tcPr>
            <w:tcW w:w="2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179,661</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114,004</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320"/>
              <w:spacing w:after="0"/>
              <w:rPr>
                <w:sz w:val="20"/>
                <w:szCs w:val="20"/>
                <w:color w:val="auto"/>
              </w:rPr>
            </w:pPr>
            <w:r>
              <w:rPr>
                <w:rFonts w:ascii="Arial" w:cs="Arial" w:eastAsia="Arial" w:hAnsi="Arial"/>
                <w:sz w:val="14"/>
                <w:szCs w:val="14"/>
                <w:color w:val="auto"/>
              </w:rPr>
              <w:t>Selling, general and administrative</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88,807</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103,784</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62,276</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136,569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11,171</w:t>
            </w:r>
          </w:p>
        </w:tc>
        <w:tc>
          <w:tcPr>
            <w:tcW w:w="2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13,331</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8,094</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320"/>
              <w:spacing w:after="0"/>
              <w:rPr>
                <w:sz w:val="20"/>
                <w:szCs w:val="20"/>
                <w:color w:val="auto"/>
              </w:rPr>
            </w:pPr>
            <w:r>
              <w:rPr>
                <w:rFonts w:ascii="Arial" w:cs="Arial" w:eastAsia="Arial" w:hAnsi="Arial"/>
                <w:sz w:val="14"/>
                <w:szCs w:val="14"/>
                <w:color w:val="auto"/>
              </w:rPr>
              <w:t>Stock compensation (Note 10)</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6,024</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charges (Note 14)</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11,275</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Total costs and expenses</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262,540</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308,051</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190,398</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407,781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34,383</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18,607</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11,552</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47,816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w:t>
            </w:r>
          </w:p>
        </w:tc>
        <w:tc>
          <w:tcPr>
            <w:tcW w:w="2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1,208</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1,294</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3,765</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360" w:type="dxa"/>
            <w:vAlign w:val="bottom"/>
          </w:tcPr>
          <w:p>
            <w:pPr>
              <w:spacing w:after="0"/>
              <w:rPr>
                <w:sz w:val="21"/>
                <w:szCs w:val="21"/>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Income before provision for income taxes</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34,671</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19,586</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12,824</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51,456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(Note 13)</w:t>
            </w:r>
          </w:p>
        </w:tc>
        <w:tc>
          <w:tcPr>
            <w:tcW w:w="1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(8,929)</w:t>
            </w:r>
          </w:p>
        </w:tc>
        <w:tc>
          <w:tcPr>
            <w:tcW w:w="26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(5,852)</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(5,396)</w:t>
            </w:r>
          </w:p>
        </w:tc>
        <w:tc>
          <w:tcPr>
            <w:tcW w:w="3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(12,924)</w:t>
            </w: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Minority interest</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360" w:type="dxa"/>
            <w:vAlign w:val="bottom"/>
          </w:tcPr>
          <w:p>
            <w:pPr>
              <w:spacing w:after="0"/>
              <w:rPr>
                <w:sz w:val="21"/>
                <w:szCs w:val="21"/>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21"/>
                <w:szCs w:val="21"/>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ind w:right="1004"/>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25,742</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13,545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7,418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38,304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Net income per ordinary share:</w:t>
            </w: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0.27</w:t>
            </w:r>
          </w:p>
        </w:tc>
        <w:tc>
          <w:tcPr>
            <w:tcW w:w="3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4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Diluted</w:t>
            </w:r>
          </w:p>
        </w:tc>
        <w:tc>
          <w:tcPr>
            <w:tcW w:w="1120" w:type="dxa"/>
            <w:vAlign w:val="bottom"/>
            <w:shd w:val="clear" w:color="auto" w:fill="CCEEFF"/>
          </w:tcPr>
          <w:p>
            <w:pPr>
              <w:jc w:val="right"/>
              <w:ind w:right="100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ordinary shares</w:t>
            </w: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Basic (Note 2)</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6"/>
              </w:rPr>
              <w:t>26,535,062</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27,720,406</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27,940,212</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28,314,985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rPr>
                <w:sz w:val="20"/>
                <w:szCs w:val="20"/>
                <w:color w:val="auto"/>
              </w:rPr>
            </w:pPr>
            <w:r>
              <w:rPr>
                <w:rFonts w:ascii="Arial" w:cs="Arial" w:eastAsia="Arial" w:hAnsi="Arial"/>
                <w:sz w:val="14"/>
                <w:szCs w:val="14"/>
                <w:color w:val="auto"/>
              </w:rPr>
              <w:t>Diluted (Note 2)</w:t>
            </w:r>
          </w:p>
        </w:tc>
        <w:tc>
          <w:tcPr>
            <w:tcW w:w="112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w w:val="96"/>
              </w:rPr>
              <w:t>27,406,326</w:t>
            </w:r>
          </w:p>
        </w:tc>
        <w:tc>
          <w:tcPr>
            <w:tcW w:w="260" w:type="dxa"/>
            <w:vAlign w:val="bottom"/>
          </w:tcPr>
          <w:p>
            <w:pPr>
              <w:spacing w:after="0"/>
              <w:rPr>
                <w:sz w:val="21"/>
                <w:szCs w:val="21"/>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28,306,890</w:t>
            </w:r>
          </w:p>
        </w:tc>
        <w:tc>
          <w:tcPr>
            <w:tcW w:w="360" w:type="dxa"/>
            <w:vAlign w:val="bottom"/>
          </w:tcPr>
          <w:p>
            <w:pPr>
              <w:spacing w:after="0"/>
              <w:rPr>
                <w:sz w:val="21"/>
                <w:szCs w:val="21"/>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color w:val="auto"/>
              </w:rPr>
              <w:t>28,495,084</w:t>
            </w:r>
          </w:p>
        </w:tc>
        <w:tc>
          <w:tcPr>
            <w:tcW w:w="3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28,863,334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280" w:type="dxa"/>
            <w:vAlign w:val="bottom"/>
            <w:gridSpan w:val="3"/>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280" w:type="dxa"/>
            <w:vAlign w:val="bottom"/>
            <w:gridSpan w:val="3"/>
          </w:tcPr>
          <w:p>
            <w:pPr>
              <w:spacing w:after="0"/>
              <w:rPr>
                <w:sz w:val="20"/>
                <w:szCs w:val="20"/>
                <w:color w:val="auto"/>
              </w:rPr>
            </w:pPr>
            <w:r>
              <w:rPr>
                <w:rFonts w:ascii="Arial" w:cs="Arial" w:eastAsia="Arial" w:hAnsi="Arial"/>
                <w:sz w:val="14"/>
                <w:szCs w:val="14"/>
                <w:color w:val="auto"/>
                <w:w w:val="96"/>
              </w:rPr>
              <w:t>The accompanying notes are an integral part of these consolidated financial statements.</w:t>
            </w:r>
          </w:p>
        </w:tc>
        <w:tc>
          <w:tcPr>
            <w:tcW w:w="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jc w:val="right"/>
              <w:ind w:right="1528"/>
              <w:spacing w:after="0"/>
              <w:rPr>
                <w:sz w:val="20"/>
                <w:szCs w:val="20"/>
                <w:color w:val="auto"/>
              </w:rPr>
            </w:pPr>
            <w:r>
              <w:rPr>
                <w:rFonts w:ascii="Arial" w:cs="Arial" w:eastAsia="Arial" w:hAnsi="Arial"/>
                <w:sz w:val="14"/>
                <w:szCs w:val="14"/>
                <w:color w:val="auto"/>
              </w:rPr>
              <w:t>54</w:t>
            </w: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SHAREHOLDERS' EQUITY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3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Comprehensive</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9"/>
        </w:trPr>
        <w:tc>
          <w:tcPr>
            <w:tcW w:w="36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3"/>
                <w:szCs w:val="23"/>
                <w:color w:val="auto"/>
              </w:rPr>
            </w:pPr>
          </w:p>
        </w:tc>
      </w:tr>
      <w:tr>
        <w:trPr>
          <w:trHeight w:val="269"/>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May 31, 2003*</w:t>
            </w:r>
          </w:p>
        </w:tc>
        <w:tc>
          <w:tcPr>
            <w:tcW w:w="1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23,683,114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60,246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7,787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67,118</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136,910</w:t>
            </w:r>
          </w:p>
        </w:tc>
      </w:tr>
      <w:tr>
        <w:trPr>
          <w:trHeight w:val="237"/>
        </w:trPr>
        <w:tc>
          <w:tcPr>
            <w:tcW w:w="36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Net income</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25,742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25,742</w:t>
            </w: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Currency translation adjustment</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4"/>
                <w:szCs w:val="14"/>
                <w:color w:val="auto"/>
              </w:rPr>
              <w:t>Total comprehensive income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27,939</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Exercise of share options</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993,838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5,358</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Shares issued</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45,497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45,705</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Share issue costs</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(1,428)</w:t>
            </w:r>
          </w:p>
        </w:tc>
      </w:tr>
      <w:tr>
        <w:trPr>
          <w:trHeight w:val="243"/>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benefit on exercise of options</w:t>
            </w:r>
          </w:p>
        </w:tc>
        <w:tc>
          <w:tcPr>
            <w:tcW w:w="1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2,276</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w:t>
            </w:r>
          </w:p>
        </w:tc>
        <w:tc>
          <w:tcPr>
            <w:tcW w:w="100" w:type="dxa"/>
            <w:vAlign w:val="bottom"/>
          </w:tcPr>
          <w:p>
            <w:pPr>
              <w:spacing w:after="0"/>
              <w:rPr>
                <w:sz w:val="21"/>
                <w:szCs w:val="21"/>
                <w:color w:val="auto"/>
              </w:rPr>
            </w:pPr>
          </w:p>
        </w:tc>
      </w:tr>
      <w:tr>
        <w:trPr>
          <w:trHeight w:val="237"/>
        </w:trPr>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May 31, 2004*</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27,676,952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92,860</w:t>
            </w: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216,760</w:t>
            </w:r>
          </w:p>
        </w:tc>
      </w:tr>
      <w:tr>
        <w:trPr>
          <w:trHeight w:val="243"/>
        </w:trPr>
        <w:tc>
          <w:tcPr>
            <w:tcW w:w="3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Net income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13,545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13,545</w:t>
            </w: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Currency translation adjustment</w:t>
            </w:r>
          </w:p>
        </w:tc>
        <w:tc>
          <w:tcPr>
            <w:tcW w:w="1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4"/>
                <w:szCs w:val="14"/>
                <w:color w:val="auto"/>
              </w:rPr>
              <w:t>Total comprehensive income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14,790</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Exercise of share options</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121,240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1,407</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Share issue costs</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r>
      <w:tr>
        <w:trPr>
          <w:trHeight w:val="243"/>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Tax benefit on exercise of options</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4"/>
                <w:szCs w:val="14"/>
                <w:b w:val="1"/>
                <w:bCs w:val="1"/>
                <w:color w:val="auto"/>
              </w:rPr>
              <w:t>Balance at May 31, 2005*</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27,798,192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113,385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11,229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106,405</w:t>
            </w:r>
          </w:p>
        </w:tc>
        <w:tc>
          <w:tcPr>
            <w:tcW w:w="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233,066</w:t>
            </w:r>
          </w:p>
        </w:tc>
      </w:tr>
      <w:tr>
        <w:trPr>
          <w:trHeight w:val="439"/>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5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Net income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7,418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7,418</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Currency translation adjustment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(6,049)</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Minimum pension liability adjustment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(1,771)</w:t>
            </w:r>
          </w:p>
        </w:tc>
      </w:tr>
      <w:tr>
        <w:trPr>
          <w:trHeight w:val="20"/>
        </w:trPr>
        <w:tc>
          <w:tcPr>
            <w:tcW w:w="3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Total comprehensive income</w:t>
            </w: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(402)</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237,992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1,911</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 expense</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6,249</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Share issue costs</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243"/>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Tax benefit on exercise of options</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spacing w:after="0"/>
              <w:rPr>
                <w:sz w:val="20"/>
                <w:szCs w:val="20"/>
                <w:color w:val="auto"/>
              </w:rPr>
            </w:pPr>
            <w:r>
              <w:rPr>
                <w:rFonts w:ascii="Arial" w:cs="Arial" w:eastAsia="Arial" w:hAnsi="Arial"/>
                <w:sz w:val="14"/>
                <w:szCs w:val="14"/>
                <w:b w:val="1"/>
                <w:bCs w:val="1"/>
                <w:color w:val="auto"/>
              </w:rPr>
              <w:t>Balance at December 31, 2005*</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28,036,184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122,263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113,823</w:t>
            </w:r>
          </w:p>
        </w:tc>
        <w:tc>
          <w:tcPr>
            <w:tcW w:w="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241,558</w:t>
            </w:r>
          </w:p>
        </w:tc>
      </w:tr>
      <w:tr>
        <w:trPr>
          <w:trHeight w:val="400"/>
        </w:trPr>
        <w:tc>
          <w:tcPr>
            <w:tcW w:w="36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auto"/>
              </w:rPr>
              <w:t>55</w:t>
            </w: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366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20"/>
                <w:szCs w:val="20"/>
                <w:color w:val="auto"/>
              </w:rPr>
            </w:pPr>
            <w:r>
              <w:rPr>
                <w:rFonts w:ascii="Arial" w:cs="Arial" w:eastAsia="Arial" w:hAnsi="Arial"/>
                <w:sz w:val="14"/>
                <w:szCs w:val="14"/>
                <w:b w:val="1"/>
                <w:bCs w:val="1"/>
                <w:color w:val="auto"/>
              </w:rPr>
              <w:t>Balance at December 31, 2005*</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28,036,184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2,063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122,263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3,409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113,823</w:t>
            </w:r>
          </w:p>
        </w:tc>
        <w:tc>
          <w:tcPr>
            <w:tcW w:w="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241,558</w:t>
            </w:r>
          </w:p>
        </w:tc>
      </w:tr>
      <w:tr>
        <w:trPr>
          <w:trHeight w:val="480"/>
        </w:trPr>
        <w:tc>
          <w:tcPr>
            <w:tcW w:w="3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Comprehensive Income:</w:t>
            </w: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38,304</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38,304</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11,482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11,482</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Minimum pension liability adjustment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(376)</w:t>
            </w:r>
          </w:p>
        </w:tc>
      </w:tr>
      <w:tr>
        <w:trPr>
          <w:trHeight w:val="237"/>
        </w:trPr>
        <w:tc>
          <w:tcPr>
            <w:tcW w:w="36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comprehensive income</w:t>
            </w:r>
          </w:p>
        </w:tc>
        <w:tc>
          <w:tcPr>
            <w:tcW w:w="15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49,410</w:t>
            </w:r>
          </w:p>
        </w:tc>
        <w:tc>
          <w:tcPr>
            <w:tcW w:w="100" w:type="dxa"/>
            <w:vAlign w:val="bottom"/>
            <w:tcBorders>
              <w:top w:val="single" w:sz="8" w:color="CCEEFF"/>
            </w:tcBorders>
          </w:tcPr>
          <w:p>
            <w:pPr>
              <w:spacing w:after="0"/>
              <w:rPr>
                <w:sz w:val="20"/>
                <w:szCs w:val="20"/>
                <w:color w:val="auto"/>
              </w:rPr>
            </w:pP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Exercise of share options</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481,668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6,679</w:t>
            </w:r>
          </w:p>
        </w:tc>
      </w:tr>
      <w:tr>
        <w:trPr>
          <w:trHeight w:val="243"/>
        </w:trPr>
        <w:tc>
          <w:tcPr>
            <w:tcW w:w="366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4,066</w:t>
            </w:r>
          </w:p>
        </w:tc>
      </w:tr>
      <w:tr>
        <w:trPr>
          <w:trHeight w:val="243"/>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Share issue costs</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r>
      <w:tr>
        <w:trPr>
          <w:trHeight w:val="243"/>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benefit on exercise of options</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21"/>
                <w:szCs w:val="21"/>
                <w:color w:val="auto"/>
              </w:rPr>
            </w:pPr>
          </w:p>
        </w:tc>
      </w:tr>
      <w:tr>
        <w:trPr>
          <w:trHeight w:val="23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2006*</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28,517,852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133,996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14,515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152,127</w:t>
            </w: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302,738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178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*Comparative figures have been amended to reflect the Bonus Issue which took place with an effective date of October 13, 2006.</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2180" w:type="dxa"/>
            <w:vAlign w:val="bottom"/>
          </w:tcPr>
          <w:p>
            <w:pPr>
              <w:jc w:val="center"/>
              <w:ind w:left="1508"/>
              <w:spacing w:after="0"/>
              <w:rPr>
                <w:sz w:val="20"/>
                <w:szCs w:val="20"/>
                <w:color w:val="auto"/>
              </w:rPr>
            </w:pPr>
            <w:r>
              <w:rPr>
                <w:rFonts w:ascii="Arial" w:cs="Arial" w:eastAsia="Arial" w:hAnsi="Arial"/>
                <w:sz w:val="14"/>
                <w:szCs w:val="14"/>
                <w:b w:val="1"/>
                <w:bCs w:val="1"/>
                <w:color w:val="auto"/>
              </w:rPr>
              <w:t>ICON plc</w:t>
            </w: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CONSOLIDATED STATEMENTS OF CASH FLOWS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1"/>
              </w:rPr>
              <w:t>Seven Month</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2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4"/>
              </w:rPr>
              <w:t>Year Ended May 31,</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22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center"/>
              <w:ind w:right="22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21"/>
                <w:szCs w:val="21"/>
                <w:color w:val="auto"/>
              </w:rPr>
            </w:pPr>
          </w:p>
        </w:tc>
        <w:tc>
          <w:tcPr>
            <w:tcW w:w="12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4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1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25,742</w:t>
            </w:r>
          </w:p>
        </w:tc>
        <w:tc>
          <w:tcPr>
            <w:tcW w:w="9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13,545</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7,418</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38,304</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4"/>
                <w:szCs w:val="14"/>
                <w:color w:val="auto"/>
              </w:rPr>
              <w:t>Adjustments to reconcile net income to net cash</w:t>
            </w:r>
          </w:p>
        </w:tc>
        <w:tc>
          <w:tcPr>
            <w:tcW w:w="2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provided by operating activities: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Loss on disposal of property, plant and equipment</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11,171</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13,331</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8,094</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14,949</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Amortization of grants</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(569)</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compensation expense</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6,249</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Deferred taxes</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985</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717</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Minority interest</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Other charges</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11,275</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Changes in assets and liabilities: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(Increase)/decrease in accounts receivable</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4,089</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(4,930)</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7,487</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(32,893)</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(Increase)/decrease in unbilled revenue</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(15,329)</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3,071</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(6,522)</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(24,178)</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Decrease/(increase) in other receivables</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4,307</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1,383</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(1,530)</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in prepayments and other current assets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(703)</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Increase/(decrease) in payments on account</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14,228</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(9,515)</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(1,579)</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35,605</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Increase/(decrease) in other liabilities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(1,654)</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(4,324)</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10,699</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Increase in income taxes payable</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2,237</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1,420</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1,125</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Increase/(decrease) in accounts payable</w:t>
            </w:r>
          </w:p>
        </w:tc>
        <w:tc>
          <w:tcPr>
            <w:tcW w:w="2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(1,009)</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(2,455)</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(2,599)</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18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43,642</w:t>
            </w:r>
          </w:p>
        </w:tc>
        <w:tc>
          <w:tcPr>
            <w:tcW w:w="980" w:type="dxa"/>
            <w:vAlign w:val="bottom"/>
          </w:tcPr>
          <w:p>
            <w:pPr>
              <w:spacing w:after="0"/>
              <w:rPr>
                <w:sz w:val="20"/>
                <w:szCs w:val="20"/>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25,209</w:t>
            </w:r>
          </w:p>
        </w:tc>
        <w:tc>
          <w:tcPr>
            <w:tcW w:w="260" w:type="dxa"/>
            <w:vAlign w:val="bottom"/>
          </w:tcPr>
          <w:p>
            <w:pPr>
              <w:spacing w:after="0"/>
              <w:rPr>
                <w:sz w:val="20"/>
                <w:szCs w:val="20"/>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13,781</w:t>
            </w: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50,452</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Purchase of property, plant and equipment</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(13,097)</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(15,595)</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(12,128)</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(31,516)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intangible asset</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w w:val="96"/>
              </w:rPr>
              <w:t>Purchase of subsidiary undertakings and acquisition costs</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(11,258)</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(10,052)</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(7,017)</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acquired with subsidiary undertakings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1,658</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Deferred payments in respect of historical acquisitions</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(1,733)</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(2,514)</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(3,374)</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 of short term investments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12,022</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14,016</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Purchase of short term investments</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(23,085)</w:t>
            </w:r>
          </w:p>
        </w:tc>
        <w:tc>
          <w:tcPr>
            <w:tcW w:w="98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(10,971)</w:t>
            </w:r>
          </w:p>
        </w:tc>
        <w:tc>
          <w:tcPr>
            <w:tcW w:w="26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(14,791)</w:t>
            </w:r>
          </w:p>
        </w:tc>
        <w:tc>
          <w:tcPr>
            <w:tcW w:w="2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(20,021)</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Receipt of government grant</w:t>
            </w:r>
          </w:p>
        </w:tc>
        <w:tc>
          <w:tcPr>
            <w:tcW w:w="2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9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(47,337)</w:t>
            </w:r>
          </w:p>
        </w:tc>
        <w:tc>
          <w:tcPr>
            <w:tcW w:w="980" w:type="dxa"/>
            <w:vAlign w:val="bottom"/>
          </w:tcPr>
          <w:p>
            <w:pPr>
              <w:spacing w:after="0"/>
              <w:rPr>
                <w:sz w:val="20"/>
                <w:szCs w:val="20"/>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(25,702)</w:t>
            </w:r>
          </w:p>
        </w:tc>
        <w:tc>
          <w:tcPr>
            <w:tcW w:w="260" w:type="dxa"/>
            <w:vAlign w:val="bottom"/>
          </w:tcPr>
          <w:p>
            <w:pPr>
              <w:spacing w:after="0"/>
              <w:rPr>
                <w:sz w:val="20"/>
                <w:szCs w:val="20"/>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(16,277)</w:t>
            </w:r>
          </w:p>
        </w:tc>
        <w:tc>
          <w:tcPr>
            <w:tcW w:w="2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(55,301)</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(Repayment)/drawdown of bank overdraft</w:t>
            </w:r>
          </w:p>
        </w:tc>
        <w:tc>
          <w:tcPr>
            <w:tcW w:w="2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(7,126)</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4,833</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exercise of share options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5,358</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1,407</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1,911</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6,679</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Proceeds from the issuance of share capital</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45,705</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 issuance costs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(1,182)</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4"/>
                <w:szCs w:val="14"/>
                <w:color w:val="auto"/>
              </w:rPr>
              <w:t>Tax benefit from exercise of share options</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 of other liabilities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cash provided by financing activities</w:t>
            </w:r>
          </w:p>
        </w:tc>
        <w:tc>
          <w:tcPr>
            <w:tcW w:w="2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42,525</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938</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6,624</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7,702</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movements on cash</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(1,463)</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(960)</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in cash and cash equivalents</w:t>
            </w:r>
          </w:p>
        </w:tc>
        <w:tc>
          <w:tcPr>
            <w:tcW w:w="2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37,367</w:t>
            </w: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663</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3,168</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2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18,311</w:t>
            </w:r>
          </w:p>
        </w:tc>
        <w:tc>
          <w:tcPr>
            <w:tcW w:w="980" w:type="dxa"/>
            <w:vAlign w:val="bottom"/>
          </w:tcPr>
          <w:p>
            <w:pPr>
              <w:spacing w:after="0"/>
              <w:rPr>
                <w:sz w:val="21"/>
                <w:szCs w:val="21"/>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55,678</w:t>
            </w:r>
          </w:p>
        </w:tc>
        <w:tc>
          <w:tcPr>
            <w:tcW w:w="260" w:type="dxa"/>
            <w:vAlign w:val="bottom"/>
          </w:tcPr>
          <w:p>
            <w:pPr>
              <w:spacing w:after="0"/>
              <w:rPr>
                <w:sz w:val="21"/>
                <w:szCs w:val="21"/>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56,341</w:t>
            </w:r>
          </w:p>
        </w:tc>
        <w:tc>
          <w:tcPr>
            <w:tcW w:w="2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59,509</w:t>
            </w: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shd w:val="clear" w:color="auto" w:fill="CCEEFF"/>
          </w:tcPr>
          <w:p>
            <w:pPr>
              <w:spacing w:after="0"/>
              <w:rPr>
                <w:sz w:val="20"/>
                <w:szCs w:val="20"/>
                <w:color w:val="auto"/>
              </w:rPr>
            </w:pPr>
          </w:p>
        </w:tc>
        <w:tc>
          <w:tcPr>
            <w:tcW w:w="21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21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55,678</w:t>
            </w:r>
          </w:p>
        </w:tc>
        <w:tc>
          <w:tcPr>
            <w:tcW w:w="98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56,341</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59,509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63,039</w:t>
            </w:r>
          </w:p>
        </w:tc>
        <w:tc>
          <w:tcPr>
            <w:tcW w:w="0" w:type="dxa"/>
            <w:vAlign w:val="bottom"/>
          </w:tcPr>
          <w:p>
            <w:pPr>
              <w:spacing w:after="0"/>
              <w:rPr>
                <w:sz w:val="1"/>
                <w:szCs w:val="1"/>
                <w:color w:val="auto"/>
              </w:rPr>
            </w:pPr>
          </w:p>
        </w:tc>
      </w:tr>
      <w:tr>
        <w:trPr>
          <w:trHeight w:val="176"/>
        </w:trPr>
        <w:tc>
          <w:tcPr>
            <w:tcW w:w="60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3840" w:type="dxa"/>
            <w:vAlign w:val="bottom"/>
          </w:tcPr>
          <w:p>
            <w:pPr>
              <w:spacing w:after="0"/>
              <w:rPr>
                <w:sz w:val="24"/>
                <w:szCs w:val="24"/>
                <w:color w:val="auto"/>
              </w:rPr>
            </w:pPr>
          </w:p>
        </w:tc>
        <w:tc>
          <w:tcPr>
            <w:tcW w:w="2180" w:type="dxa"/>
            <w:vAlign w:val="bottom"/>
          </w:tcPr>
          <w:p>
            <w:pPr>
              <w:jc w:val="center"/>
              <w:ind w:left="1488"/>
              <w:spacing w:after="0"/>
              <w:rPr>
                <w:sz w:val="20"/>
                <w:szCs w:val="20"/>
                <w:color w:val="auto"/>
              </w:rPr>
            </w:pPr>
            <w:r>
              <w:rPr>
                <w:rFonts w:ascii="Arial" w:cs="Arial" w:eastAsia="Arial" w:hAnsi="Arial"/>
                <w:sz w:val="14"/>
                <w:szCs w:val="14"/>
                <w:color w:val="auto"/>
                <w:w w:val="89"/>
              </w:rPr>
              <w:t>57</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84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ICON plc and subsidiaries (“The Company”) is a contract research organization (“CRO”), providing outsourced development services on a global basis to the pharmaceutical, biotechnology and medical device industries. The Company specializes in the strategic development, management and analysis of programs that support Clinical Development - from compound selection to Phase I-IV clinical studies.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Company’s primary approach is to use dedicated teams to achieve optimum results, but the Company can implement a range of resourcing models to suit client requirements.</w:t>
      </w:r>
    </w:p>
    <w:p>
      <w:pPr>
        <w:spacing w:after="0" w:line="285"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color w:val="auto"/>
        </w:rPr>
        <w:t>In a highly fragmented industry, we are one of a select group of companies with the capability and expertise to conduct clinical trials in all major therapeutic areas on a global basis. Currently, the Company have approximately 4,300 employees, in 49 locations, in 30 countries, providing Phase I - IV Clinical Trial Management, Drug Development Support Services, Data Management and Biostatistics and Central Laboratory and Imaging Services. The Company has the operational flexibility to provide development services on a stand-alone basis or as part of an integrated “full service” solution.</w:t>
      </w:r>
    </w:p>
    <w:p>
      <w:pPr>
        <w:spacing w:after="0" w:line="243" w:lineRule="exact"/>
        <w:rPr>
          <w:sz w:val="20"/>
          <w:szCs w:val="20"/>
          <w:color w:val="auto"/>
        </w:rPr>
      </w:pPr>
    </w:p>
    <w:p>
      <w:pPr>
        <w:ind w:right="440"/>
        <w:spacing w:after="0" w:line="293" w:lineRule="auto"/>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 For the year ended December 31, 2006, we derived approximately 58.4%, 35.8% and 5.8% of our net revenue in the United States, Europe and Rest of World,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On July 27, 2005 the Board of Directors of ICON approved a change of the Company’s fiscal year end from a twelve-month period ending on May 31 to a twelve-month period ending on December</w:t>
      </w:r>
    </w:p>
    <w:p>
      <w:pPr>
        <w:spacing w:after="0" w:line="33" w:lineRule="exact"/>
        <w:rPr>
          <w:sz w:val="20"/>
          <w:szCs w:val="20"/>
          <w:color w:val="auto"/>
        </w:rPr>
      </w:pPr>
    </w:p>
    <w:p>
      <w:pPr>
        <w:jc w:val="both"/>
        <w:ind w:right="200" w:firstLine="8"/>
        <w:spacing w:after="0" w:line="272" w:lineRule="auto"/>
        <w:tabs>
          <w:tab w:leader="none" w:pos="2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made this change in order to align our fiscal year end with the majority of other contract research organizations. As a requirement of this change, ICON reported results for the seven-month period from June 1, 2005 to December 31, 2005 as a separate transition period. As of January 1, 2006, ICON’s fiscal year now begins on January 1 and ends on December 31 and its fiscal quarters end on the last day of March, June, September and December.</w:t>
      </w:r>
    </w:p>
    <w:p>
      <w:pPr>
        <w:spacing w:after="0" w:line="243"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accounting policies noted below were applied in the preparation of the accompanying financial statements of the Company and are in conformity with accounting principles generally accepted in the United States.</w:t>
      </w:r>
    </w:p>
    <w:p>
      <w:pPr>
        <w:spacing w:after="0" w:line="296" w:lineRule="exact"/>
        <w:rPr>
          <w:sz w:val="20"/>
          <w:szCs w:val="20"/>
          <w:color w:val="auto"/>
        </w:rPr>
      </w:pPr>
    </w:p>
    <w:p>
      <w:pPr>
        <w:ind w:left="740" w:hanging="732"/>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Basis of consolidation</w:t>
      </w:r>
    </w:p>
    <w:p>
      <w:pPr>
        <w:spacing w:after="0" w:line="312"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61" w:name="page62"/>
    <w:bookmarkEnd w:id="61"/>
    <w:p>
      <w:pPr>
        <w:ind w:left="760" w:hanging="752"/>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Use of estimates</w:t>
      </w:r>
    </w:p>
    <w:p>
      <w:pPr>
        <w:spacing w:after="0" w:line="3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307" w:lineRule="exact"/>
        <w:rPr>
          <w:sz w:val="20"/>
          <w:szCs w:val="20"/>
          <w:color w:val="auto"/>
        </w:rPr>
      </w:pPr>
    </w:p>
    <w:p>
      <w:pPr>
        <w:ind w:left="740" w:hanging="732"/>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Revenue recognition</w:t>
      </w:r>
    </w:p>
    <w:p>
      <w:pPr>
        <w:spacing w:after="0" w:line="312"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228" w:lineRule="exact"/>
        <w:rPr>
          <w:sz w:val="20"/>
          <w:szCs w:val="20"/>
          <w:color w:val="auto"/>
        </w:rPr>
      </w:pPr>
    </w:p>
    <w:p>
      <w:pPr>
        <w:ind w:right="60"/>
        <w:spacing w:after="0" w:line="292" w:lineRule="auto"/>
        <w:rPr>
          <w:sz w:val="20"/>
          <w:szCs w:val="20"/>
          <w:color w:val="auto"/>
        </w:rPr>
      </w:pPr>
      <w:r>
        <w:rPr>
          <w:rFonts w:ascii="Arial" w:cs="Arial" w:eastAsia="Arial" w:hAnsi="Arial"/>
          <w:sz w:val="13"/>
          <w:szCs w:val="13"/>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recognized on the basis of the number of deliverable units completed in the period.</w:t>
      </w: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4"/>
          <w:szCs w:val="14"/>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39"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246" w:lineRule="exact"/>
        <w:rPr>
          <w:sz w:val="20"/>
          <w:szCs w:val="20"/>
          <w:color w:val="auto"/>
        </w:rPr>
      </w:pPr>
    </w:p>
    <w:p>
      <w:pPr>
        <w:ind w:right="100"/>
        <w:spacing w:after="0" w:line="293" w:lineRule="auto"/>
        <w:rPr>
          <w:sz w:val="20"/>
          <w:szCs w:val="20"/>
          <w:color w:val="auto"/>
        </w:rPr>
      </w:pPr>
      <w:r>
        <w:rPr>
          <w:rFonts w:ascii="Arial" w:cs="Arial" w:eastAsia="Arial" w:hAnsi="Arial"/>
          <w:sz w:val="14"/>
          <w:szCs w:val="14"/>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296"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Subcontractor costs</w:t>
      </w:r>
    </w:p>
    <w:p>
      <w:pPr>
        <w:spacing w:after="0" w:line="31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310"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Direct costs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Direct costs consist of compensation and associated employee benefits for project-related employees, other direct project-related costs and stock based compensation.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2" w:name="page63"/>
    <w:bookmarkEnd w:id="62"/>
    <w:p>
      <w:pPr>
        <w:ind w:left="720" w:hanging="712"/>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Advertising costs</w:t>
      </w:r>
    </w:p>
    <w:p>
      <w:pPr>
        <w:spacing w:after="0" w:line="312"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All costs associated with advertising and promotion are expensed as incurred. The advertising and promotion expense was U.S.$1,596,000, U.S.$2,401,000 and U.S.$1,453,000 for the years ended May 31, 2004, and 2005, and the seven month period ended December 31, 2005, and US$2,687,345 for the year ended December 31, 2006 respectively.</w:t>
      </w:r>
    </w:p>
    <w:p>
      <w:pPr>
        <w:spacing w:after="0" w:line="296"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Foreign currencies and translation of subsidiaries</w:t>
      </w:r>
    </w:p>
    <w:p>
      <w:pPr>
        <w:spacing w:after="0" w:line="312"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For the years ended May 31, 2004, and 2005, and the seven month period ending December 31, 2005 amounts (credited)/charged to income amounted to, (U.S.$2,445,000), U.S.$433,000 and U.S.$408,000 respectively. For the year ended December 31, 2006 amounts charged to income amounted to U.S. $1,538,386.</w:t>
      </w:r>
    </w:p>
    <w:p>
      <w:pPr>
        <w:spacing w:after="0" w:line="227"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financial statements of subsidiaries with other functional currencies are translated at period end rates for the balance sheet and average rates for the income statement. Translation gains and losses arising are reported as a movement on accumulated other comprehensive income.</w:t>
      </w:r>
    </w:p>
    <w:p>
      <w:pPr>
        <w:spacing w:after="0" w:line="296"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Disclosure about fair value of financial instruments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methods and assumptions were used to estimate the fair value of each material class of financial instrument:</w:t>
      </w:r>
    </w:p>
    <w:p>
      <w:pPr>
        <w:spacing w:after="0" w:line="285" w:lineRule="exact"/>
        <w:rPr>
          <w:sz w:val="20"/>
          <w:szCs w:val="20"/>
          <w:color w:val="auto"/>
        </w:rPr>
      </w:pPr>
    </w:p>
    <w:p>
      <w:pPr>
        <w:ind w:right="20"/>
        <w:spacing w:after="0" w:line="334" w:lineRule="auto"/>
        <w:rPr>
          <w:sz w:val="20"/>
          <w:szCs w:val="20"/>
          <w:color w:val="auto"/>
        </w:rPr>
      </w:pPr>
      <w:r>
        <w:rPr>
          <w:rFonts w:ascii="Arial" w:cs="Arial" w:eastAsia="Arial" w:hAnsi="Arial"/>
          <w:sz w:val="13"/>
          <w:szCs w:val="13"/>
          <w:color w:val="auto"/>
        </w:rPr>
        <w:t>Cash, cash equivalents, unbilled revenue, other receivables, short term investments, prepayments and other current assets, accounts receivable, accounts payable, investigator payments, payments received on account, accrued liabilities, accrued bonuses, bank overdraft and taxes payable have carrying amounts that approximate fair value due to the short term maturities of these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Long-term debt and other liabilities carrying amounts approximate fair value based on net present value of estimated future cash flows.</w:t>
      </w:r>
    </w:p>
    <w:p>
      <w:pPr>
        <w:spacing w:after="0" w:line="352"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Leased Assets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Costs in respect of operating leases are charged to the statement of operations on a straight line basis over the lease term.</w:t>
      </w:r>
    </w:p>
    <w:p>
      <w:pPr>
        <w:spacing w:after="0" w:line="285" w:lineRule="exact"/>
        <w:rPr>
          <w:sz w:val="20"/>
          <w:szCs w:val="20"/>
          <w:color w:val="auto"/>
        </w:rPr>
      </w:pPr>
    </w:p>
    <w:p>
      <w:pPr>
        <w:ind w:right="20"/>
        <w:spacing w:after="0" w:line="334" w:lineRule="auto"/>
        <w:rPr>
          <w:sz w:val="20"/>
          <w:szCs w:val="20"/>
          <w:color w:val="auto"/>
        </w:rPr>
      </w:pPr>
      <w:r>
        <w:rPr>
          <w:rFonts w:ascii="Arial" w:cs="Arial" w:eastAsia="Arial" w:hAnsi="Arial"/>
          <w:sz w:val="13"/>
          <w:szCs w:val="13"/>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273"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Goodwill</w:t>
      </w:r>
    </w:p>
    <w:p>
      <w:pPr>
        <w:spacing w:after="0" w:line="31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Goodwill represents the excess of the cost of acquired entities over the net of amounts assigned to assets acquired and liabilities assumed. Goodwill is stated net of any provision for impairment. The Company tests goodwill annually for any impairments or whenever events occur which may indicate impairment.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The Company’s annual test for impairment performed for the year ended May 31, 2005 identified an impairment charge to be taken against the central laboratory segment. For further information, refer to Note 14 to the Consolidated Financial Statements. No impairment was recognized as a result of the impairment testing carried out as at December 31, 2006.</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3" w:name="page64"/>
    <w:bookmarkEnd w:id="63"/>
    <w:p>
      <w:pPr>
        <w:ind w:left="760" w:hanging="752"/>
        <w:spacing w:after="0"/>
        <w:tabs>
          <w:tab w:leader="none" w:pos="7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intangible assets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Other intangible assets are amortized on a straight line basis over their estimated useful life.</w:t>
      </w:r>
    </w:p>
    <w:p>
      <w:pPr>
        <w:spacing w:after="0" w:line="352"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Cash and cash equivalents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include cash and highly liquid investments with initial maturities of three months or less and are stated at cost, which approximates market value.</w:t>
      </w:r>
    </w:p>
    <w:p>
      <w:pPr>
        <w:spacing w:after="0" w:line="352" w:lineRule="exact"/>
        <w:rPr>
          <w:sz w:val="20"/>
          <w:szCs w:val="20"/>
          <w:color w:val="auto"/>
        </w:rPr>
      </w:pPr>
    </w:p>
    <w:p>
      <w:pPr>
        <w:ind w:left="760" w:hanging="752"/>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Short term investments - available for sale</w:t>
      </w:r>
    </w:p>
    <w:p>
      <w:pPr>
        <w:spacing w:after="0" w:line="3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w:t>
      </w:r>
    </w:p>
    <w:p>
      <w:pPr>
        <w:spacing w:after="0" w:line="307"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Inventory</w:t>
      </w:r>
    </w:p>
    <w:p>
      <w:pPr>
        <w:spacing w:after="0" w:line="312"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Inventory is valued at the lower of cost and net market value and after provisions for obsolescence. Cost in the case of raw materials comprises the purchase price and attributable costs, less trade discounts. As at the year ended December 31, 2006 the carrying value of inventory on the balance sheet was $2.6 million (2005: $1.7 million).</w:t>
      </w:r>
    </w:p>
    <w:p>
      <w:pPr>
        <w:spacing w:after="0" w:line="296"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Property, plant and equipment</w:t>
      </w:r>
    </w:p>
    <w:p>
      <w:pPr>
        <w:spacing w:after="0" w:line="312" w:lineRule="exact"/>
        <w:rPr>
          <w:sz w:val="20"/>
          <w:szCs w:val="20"/>
          <w:color w:val="auto"/>
        </w:rPr>
      </w:pPr>
    </w:p>
    <w:p>
      <w:pPr>
        <w:ind w:right="360"/>
        <w:spacing w:after="0" w:line="293" w:lineRule="auto"/>
        <w:rPr>
          <w:sz w:val="20"/>
          <w:szCs w:val="20"/>
          <w:color w:val="auto"/>
        </w:rPr>
      </w:pPr>
      <w:r>
        <w:rPr>
          <w:rFonts w:ascii="Arial" w:cs="Arial" w:eastAsia="Arial" w:hAnsi="Arial"/>
          <w:sz w:val="14"/>
          <w:szCs w:val="14"/>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Years</w:t>
            </w:r>
          </w:p>
        </w:tc>
      </w:tr>
      <w:tr>
        <w:trPr>
          <w:trHeight w:val="26"/>
        </w:trPr>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r>
      <w:tr>
        <w:trPr>
          <w:trHeight w:val="243"/>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60" w:type="dxa"/>
            <w:vAlign w:val="bottom"/>
          </w:tcPr>
          <w:p>
            <w:pPr>
              <w:ind w:left="160"/>
              <w:spacing w:after="0"/>
              <w:rPr>
                <w:sz w:val="20"/>
                <w:szCs w:val="20"/>
                <w:color w:val="auto"/>
              </w:rPr>
            </w:pPr>
            <w:r>
              <w:rPr>
                <w:rFonts w:ascii="Arial" w:cs="Arial" w:eastAsia="Arial" w:hAnsi="Arial"/>
                <w:sz w:val="14"/>
                <w:szCs w:val="14"/>
                <w:color w:val="auto"/>
              </w:rPr>
              <w:t>Computer equipment and software</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r>
      <w:tr>
        <w:trPr>
          <w:trHeight w:val="243"/>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Office furniture and fixtures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r>
      <w:tr>
        <w:trPr>
          <w:trHeight w:val="243"/>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60" w:type="dxa"/>
            <w:vAlign w:val="bottom"/>
          </w:tcPr>
          <w:p>
            <w:pPr>
              <w:ind w:left="160"/>
              <w:spacing w:after="0"/>
              <w:rPr>
                <w:sz w:val="20"/>
                <w:szCs w:val="20"/>
                <w:color w:val="auto"/>
              </w:rPr>
            </w:pPr>
            <w:r>
              <w:rPr>
                <w:rFonts w:ascii="Arial" w:cs="Arial" w:eastAsia="Arial" w:hAnsi="Arial"/>
                <w:sz w:val="14"/>
                <w:szCs w:val="14"/>
                <w:color w:val="auto"/>
              </w:rPr>
              <w:t>Laboratory equipment</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r>
      <w:tr>
        <w:trPr>
          <w:trHeight w:val="243"/>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Motor vehicles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r>
      <w:tr>
        <w:trPr>
          <w:trHeight w:val="420"/>
        </w:trPr>
        <w:tc>
          <w:tcPr>
            <w:tcW w:w="8900" w:type="dxa"/>
            <w:vAlign w:val="bottom"/>
            <w:gridSpan w:val="3"/>
          </w:tcPr>
          <w:p>
            <w:pPr>
              <w:spacing w:after="0"/>
              <w:rPr>
                <w:sz w:val="20"/>
                <w:szCs w:val="20"/>
                <w:color w:val="auto"/>
              </w:rPr>
            </w:pPr>
            <w:r>
              <w:rPr>
                <w:rFonts w:ascii="Arial" w:cs="Arial" w:eastAsia="Arial" w:hAnsi="Arial"/>
                <w:sz w:val="14"/>
                <w:szCs w:val="14"/>
                <w:color w:val="auto"/>
                <w:w w:val="94"/>
              </w:rPr>
              <w:t>Leasehold improvements are amortized using the straight-line method over the estimated useful life of the asset or the lease term, whichever is shorter.</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3"/>
        </w:trPr>
        <w:tc>
          <w:tcPr>
            <w:tcW w:w="460" w:type="dxa"/>
            <w:vAlign w:val="bottom"/>
          </w:tcPr>
          <w:p>
            <w:pPr>
              <w:spacing w:after="0"/>
              <w:rPr>
                <w:sz w:val="20"/>
                <w:szCs w:val="20"/>
                <w:color w:val="auto"/>
              </w:rPr>
            </w:pPr>
            <w:r>
              <w:rPr>
                <w:rFonts w:ascii="Arial" w:cs="Arial" w:eastAsia="Arial" w:hAnsi="Arial"/>
                <w:sz w:val="14"/>
                <w:szCs w:val="14"/>
                <w:color w:val="auto"/>
              </w:rPr>
              <w:t>(p)</w:t>
            </w:r>
          </w:p>
        </w:tc>
        <w:tc>
          <w:tcPr>
            <w:tcW w:w="8440" w:type="dxa"/>
            <w:vAlign w:val="bottom"/>
            <w:gridSpan w:val="2"/>
          </w:tcPr>
          <w:p>
            <w:pPr>
              <w:ind w:left="300"/>
              <w:spacing w:after="0"/>
              <w:rPr>
                <w:sz w:val="20"/>
                <w:szCs w:val="20"/>
                <w:color w:val="auto"/>
              </w:rPr>
            </w:pPr>
            <w:r>
              <w:rPr>
                <w:rFonts w:ascii="Arial" w:cs="Arial" w:eastAsia="Arial" w:hAnsi="Arial"/>
                <w:sz w:val="14"/>
                <w:szCs w:val="14"/>
                <w:color w:val="auto"/>
              </w:rPr>
              <w:t>Income taxes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4" w:name="page65"/>
    <w:bookmarkEnd w:id="64"/>
    <w:p>
      <w:pPr>
        <w:ind w:left="760" w:hanging="752"/>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Government grants</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Government grants received relating to capital expenditure are shown as deferred income and credited to income on a basis consistent with the depreciation policy of the relevant assets.</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Grants relating to categories of operating expenditures are credited to income in the period in which the expenditure to which they relate is charged.</w:t>
      </w:r>
    </w:p>
    <w:p>
      <w:pPr>
        <w:spacing w:after="0" w:line="285"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not recognized any loss contingency having assessed as remote the likelihood of these events arising.</w:t>
      </w:r>
    </w:p>
    <w:p>
      <w:pPr>
        <w:spacing w:after="0" w:line="352"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Pension costs</w:t>
      </w:r>
    </w:p>
    <w:p>
      <w:pPr>
        <w:spacing w:after="0" w:line="31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No.158 “Employers’ Accounting for Defined Benefit Pensions and Other Post-retirement Plans”.</w:t>
      </w:r>
    </w:p>
    <w:p>
      <w:pPr>
        <w:spacing w:after="0" w:line="307"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income per ordinary share</w:t>
      </w:r>
    </w:p>
    <w:p>
      <w:pPr>
        <w:spacing w:after="0" w:line="31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Seven month</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Period Ended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Year Ended May 31,</w:t>
            </w:r>
          </w:p>
        </w:tc>
        <w:tc>
          <w:tcPr>
            <w:tcW w:w="1100" w:type="dxa"/>
            <w:vAlign w:val="bottom"/>
          </w:tcPr>
          <w:p>
            <w:pPr>
              <w:spacing w:after="0"/>
              <w:rPr>
                <w:sz w:val="16"/>
                <w:szCs w:val="16"/>
                <w:color w:val="auto"/>
              </w:rPr>
            </w:pPr>
          </w:p>
        </w:tc>
        <w:tc>
          <w:tcPr>
            <w:tcW w:w="160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242"/>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040" w:type="dxa"/>
            <w:vAlign w:val="bottom"/>
          </w:tcPr>
          <w:p>
            <w:pPr>
              <w:jc w:val="right"/>
              <w:ind w:right="1228"/>
              <w:spacing w:after="0"/>
              <w:rPr>
                <w:sz w:val="20"/>
                <w:szCs w:val="20"/>
                <w:color w:val="auto"/>
              </w:rPr>
            </w:pPr>
            <w:r>
              <w:rPr>
                <w:rFonts w:ascii="Arial" w:cs="Arial" w:eastAsia="Arial" w:hAnsi="Arial"/>
                <w:sz w:val="14"/>
                <w:szCs w:val="14"/>
                <w:b w:val="1"/>
                <w:bCs w:val="1"/>
                <w:color w:val="auto"/>
              </w:rPr>
              <w:t>2004</w:t>
            </w:r>
          </w:p>
        </w:tc>
        <w:tc>
          <w:tcPr>
            <w:tcW w:w="1100" w:type="dxa"/>
            <w:vAlign w:val="bottom"/>
          </w:tcPr>
          <w:p>
            <w:pPr>
              <w:jc w:val="right"/>
              <w:ind w:right="708"/>
              <w:spacing w:after="0"/>
              <w:rPr>
                <w:sz w:val="20"/>
                <w:szCs w:val="20"/>
                <w:color w:val="auto"/>
              </w:rPr>
            </w:pPr>
            <w:r>
              <w:rPr>
                <w:rFonts w:ascii="Arial" w:cs="Arial" w:eastAsia="Arial" w:hAnsi="Arial"/>
                <w:sz w:val="14"/>
                <w:szCs w:val="14"/>
                <w:b w:val="1"/>
                <w:bCs w:val="1"/>
                <w:color w:val="auto"/>
                <w:w w:val="96"/>
              </w:rPr>
              <w:t>2005</w:t>
            </w:r>
          </w:p>
        </w:tc>
        <w:tc>
          <w:tcPr>
            <w:tcW w:w="160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2005</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170"/>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ordinary sharesoutstanding for basic net income per</w:t>
            </w:r>
          </w:p>
        </w:tc>
        <w:tc>
          <w:tcPr>
            <w:tcW w:w="2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ordinary share</w:t>
            </w:r>
          </w:p>
        </w:tc>
        <w:tc>
          <w:tcPr>
            <w:tcW w:w="20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26,535,062</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27,720,406</w:t>
            </w:r>
          </w:p>
        </w:tc>
        <w:tc>
          <w:tcPr>
            <w:tcW w:w="1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27,940,212</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28,314,985</w:t>
            </w:r>
          </w:p>
        </w:tc>
      </w:tr>
      <w:tr>
        <w:trPr>
          <w:trHeight w:val="243"/>
        </w:trPr>
        <w:tc>
          <w:tcPr>
            <w:tcW w:w="5240" w:type="dxa"/>
            <w:vAlign w:val="bottom"/>
            <w:gridSpan w:val="2"/>
          </w:tcPr>
          <w:p>
            <w:pPr>
              <w:spacing w:after="0"/>
              <w:rPr>
                <w:sz w:val="20"/>
                <w:szCs w:val="20"/>
                <w:color w:val="auto"/>
              </w:rPr>
            </w:pPr>
            <w:r>
              <w:rPr>
                <w:rFonts w:ascii="Arial" w:cs="Arial" w:eastAsia="Arial" w:hAnsi="Arial"/>
                <w:sz w:val="14"/>
                <w:szCs w:val="14"/>
                <w:color w:val="auto"/>
              </w:rPr>
              <w:t>Effect of dilutive share options outstanding</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871,264</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586,484</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554,872</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548,349</w:t>
            </w:r>
          </w:p>
        </w:tc>
      </w:tr>
      <w:tr>
        <w:trPr>
          <w:trHeight w:val="164"/>
        </w:trPr>
        <w:tc>
          <w:tcPr>
            <w:tcW w:w="20" w:type="dxa"/>
            <w:vAlign w:val="bottom"/>
          </w:tcPr>
          <w:p>
            <w:pPr>
              <w:spacing w:after="0"/>
              <w:rPr>
                <w:sz w:val="14"/>
                <w:szCs w:val="14"/>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Weighted average number of ordinary shares outstanding for diluted net income per</w:t>
            </w:r>
          </w:p>
        </w:tc>
        <w:tc>
          <w:tcPr>
            <w:tcW w:w="20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ordinary share</w:t>
            </w:r>
          </w:p>
        </w:tc>
        <w:tc>
          <w:tcPr>
            <w:tcW w:w="20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27,406,326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28,306,890</w:t>
            </w:r>
          </w:p>
        </w:tc>
        <w:tc>
          <w:tcPr>
            <w:tcW w:w="1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28,495,084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28,863,334</w:t>
            </w:r>
          </w:p>
        </w:tc>
      </w:tr>
      <w:tr>
        <w:trPr>
          <w:trHeight w:val="387"/>
        </w:trPr>
        <w:tc>
          <w:tcPr>
            <w:tcW w:w="20" w:type="dxa"/>
            <w:vAlign w:val="bottom"/>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jc w:val="right"/>
              <w:ind w:right="1428"/>
              <w:spacing w:after="0"/>
              <w:rPr>
                <w:sz w:val="20"/>
                <w:szCs w:val="20"/>
                <w:color w:val="auto"/>
              </w:rPr>
            </w:pPr>
            <w:r>
              <w:rPr>
                <w:rFonts w:ascii="Arial" w:cs="Arial" w:eastAsia="Arial" w:hAnsi="Arial"/>
                <w:sz w:val="14"/>
                <w:szCs w:val="14"/>
                <w:color w:val="auto"/>
              </w:rPr>
              <w:t>62</w:t>
            </w:r>
          </w:p>
        </w:tc>
        <w:tc>
          <w:tcPr>
            <w:tcW w:w="11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5" w:name="page66"/>
    <w:bookmarkEnd w:id="65"/>
    <w:p>
      <w:pPr>
        <w:ind w:left="720" w:hanging="712"/>
        <w:spacing w:after="0"/>
        <w:tabs>
          <w:tab w:leader="none" w:pos="7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Share-based compensation</w:t>
      </w:r>
    </w:p>
    <w:p>
      <w:pPr>
        <w:spacing w:after="0" w:line="31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accounts for its share options in accordance with the provisions of SFAS No. 123R, “Share Based Payment”. SFAS 123R requires that all share based payments to employees, including stock options granted, be recognized in the financial statements based on their grant date fair values over the requisite service period.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year ended December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and the estimated number of awards that are expected to vest. Results for prior periods have not been restated.</w:t>
      </w:r>
    </w:p>
    <w:p>
      <w:pPr>
        <w:spacing w:after="0" w:line="245"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The following table illustrates the effect on net income and earnings per share as if the fair value method of SFAS No. 123R had been applied to all outstanding and unvested stock options in each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Seven-month</w:t>
            </w:r>
          </w:p>
        </w:tc>
      </w:tr>
      <w:tr>
        <w:trPr>
          <w:trHeight w:val="176"/>
        </w:trPr>
        <w:tc>
          <w:tcPr>
            <w:tcW w:w="6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ended</w:t>
            </w:r>
          </w:p>
        </w:tc>
      </w:tr>
      <w:tr>
        <w:trPr>
          <w:trHeight w:val="176"/>
        </w:trPr>
        <w:tc>
          <w:tcPr>
            <w:tcW w:w="6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3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6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2004 *</w:t>
            </w:r>
          </w:p>
        </w:tc>
        <w:tc>
          <w:tcPr>
            <w:tcW w:w="26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 *</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2005 *</w:t>
            </w:r>
          </w:p>
        </w:tc>
        <w:tc>
          <w:tcPr>
            <w:tcW w:w="100" w:type="dxa"/>
            <w:vAlign w:val="bottom"/>
          </w:tcPr>
          <w:p>
            <w:pPr>
              <w:spacing w:after="0"/>
              <w:rPr>
                <w:sz w:val="16"/>
                <w:szCs w:val="16"/>
                <w:color w:val="auto"/>
              </w:rPr>
            </w:pPr>
          </w:p>
        </w:tc>
      </w:tr>
      <w:tr>
        <w:trPr>
          <w:trHeight w:val="243"/>
        </w:trPr>
        <w:tc>
          <w:tcPr>
            <w:tcW w:w="6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6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6"/>
              </w:rPr>
              <w:t>(except per share data)</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as reported</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25,742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13,545</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Stock compensation expense</w:t>
            </w: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1"/>
                <w:szCs w:val="21"/>
                <w:color w:val="auto"/>
              </w:rPr>
            </w:pPr>
          </w:p>
        </w:tc>
      </w:tr>
      <w:tr>
        <w:trPr>
          <w:trHeight w:val="237"/>
        </w:trPr>
        <w:tc>
          <w:tcPr>
            <w:tcW w:w="6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25,742</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13,545</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w:t>
            </w:r>
          </w:p>
        </w:tc>
        <w:tc>
          <w:tcPr>
            <w:tcW w:w="100" w:type="dxa"/>
            <w:vAlign w:val="bottom"/>
            <w:shd w:val="clear" w:color="auto" w:fill="CCEEFF"/>
          </w:tcPr>
          <w:p>
            <w:pPr>
              <w:spacing w:after="0"/>
              <w:rPr>
                <w:sz w:val="20"/>
                <w:szCs w:val="20"/>
                <w:color w:val="auto"/>
              </w:rPr>
            </w:pPr>
          </w:p>
        </w:tc>
      </w:tr>
      <w:tr>
        <w:trPr>
          <w:trHeight w:val="170"/>
        </w:trPr>
        <w:tc>
          <w:tcPr>
            <w:tcW w:w="6520" w:type="dxa"/>
            <w:vAlign w:val="bottom"/>
          </w:tcPr>
          <w:p>
            <w:pPr>
              <w:spacing w:after="0"/>
              <w:rPr>
                <w:sz w:val="20"/>
                <w:szCs w:val="20"/>
                <w:color w:val="auto"/>
              </w:rPr>
            </w:pPr>
            <w:r>
              <w:rPr>
                <w:rFonts w:ascii="Arial" w:cs="Arial" w:eastAsia="Arial" w:hAnsi="Arial"/>
                <w:sz w:val="14"/>
                <w:szCs w:val="14"/>
                <w:color w:val="auto"/>
                <w:w w:val="95"/>
              </w:rPr>
              <w:t>Deduct: Total stock-based employee compensation expense determined under fair value based method for all</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6520" w:type="dxa"/>
            <w:vAlign w:val="bottom"/>
          </w:tcPr>
          <w:p>
            <w:pPr>
              <w:spacing w:after="0"/>
              <w:rPr>
                <w:sz w:val="20"/>
                <w:szCs w:val="20"/>
                <w:color w:val="auto"/>
              </w:rPr>
            </w:pPr>
            <w:r>
              <w:rPr>
                <w:rFonts w:ascii="Arial" w:cs="Arial" w:eastAsia="Arial" w:hAnsi="Arial"/>
                <w:sz w:val="14"/>
                <w:szCs w:val="14"/>
                <w:color w:val="auto"/>
              </w:rPr>
              <w:t>awards, net of related tax effects</w:t>
            </w: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(2,358)</w:t>
            </w:r>
          </w:p>
        </w:tc>
        <w:tc>
          <w:tcPr>
            <w:tcW w:w="260" w:type="dxa"/>
            <w:vAlign w:val="bottom"/>
          </w:tcPr>
          <w:p>
            <w:pPr>
              <w:spacing w:after="0"/>
              <w:rPr>
                <w:sz w:val="15"/>
                <w:szCs w:val="15"/>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(2,729)</w:t>
            </w:r>
          </w:p>
        </w:tc>
        <w:tc>
          <w:tcPr>
            <w:tcW w:w="3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(1,248)</w:t>
            </w:r>
          </w:p>
        </w:tc>
      </w:tr>
      <w:tr>
        <w:trPr>
          <w:trHeight w:val="277"/>
        </w:trPr>
        <w:tc>
          <w:tcPr>
            <w:tcW w:w="6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 forma net income</w:t>
            </w:r>
          </w:p>
        </w:tc>
        <w:tc>
          <w:tcPr>
            <w:tcW w:w="6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23,384</w:t>
            </w:r>
          </w:p>
        </w:tc>
        <w:tc>
          <w:tcPr>
            <w:tcW w:w="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10,816</w:t>
            </w:r>
          </w:p>
        </w:tc>
        <w:tc>
          <w:tcPr>
            <w:tcW w:w="3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4"/>
        </w:trPr>
        <w:tc>
          <w:tcPr>
            <w:tcW w:w="6520" w:type="dxa"/>
            <w:vAlign w:val="bottom"/>
          </w:tcPr>
          <w:p>
            <w:pPr>
              <w:spacing w:after="0"/>
              <w:rPr>
                <w:sz w:val="20"/>
                <w:szCs w:val="20"/>
                <w:color w:val="auto"/>
              </w:rPr>
            </w:pPr>
            <w:r>
              <w:rPr>
                <w:rFonts w:ascii="Arial" w:cs="Arial" w:eastAsia="Arial" w:hAnsi="Arial"/>
                <w:sz w:val="14"/>
                <w:szCs w:val="14"/>
                <w:color w:val="auto"/>
              </w:rPr>
              <w:t>Earnings per share (in $):</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Basic - as reported *</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4"/>
                <w:szCs w:val="14"/>
                <w:color w:val="auto"/>
              </w:rPr>
              <w:t>Basic - pro forma *</w:t>
            </w:r>
          </w:p>
        </w:tc>
        <w:tc>
          <w:tcPr>
            <w:tcW w:w="60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0.88</w:t>
            </w:r>
          </w:p>
        </w:tc>
        <w:tc>
          <w:tcPr>
            <w:tcW w:w="26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0.39</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21"/>
                <w:szCs w:val="21"/>
                <w:color w:val="auto"/>
              </w:rPr>
            </w:pPr>
          </w:p>
        </w:tc>
      </w:tr>
      <w:tr>
        <w:trPr>
          <w:trHeight w:val="243"/>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Diluted - as reported *</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0.94</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1"/>
                <w:szCs w:val="21"/>
                <w:color w:val="auto"/>
              </w:rPr>
            </w:pPr>
          </w:p>
        </w:tc>
      </w:tr>
      <w:tr>
        <w:trPr>
          <w:trHeight w:val="243"/>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 pro forma *</w:t>
            </w: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0.85</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0.38</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1"/>
                <w:szCs w:val="2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Comparative figures have been amended to reflect the Bonus Issue which took place with an effective date of October 13, 2006</w:t>
      </w:r>
    </w:p>
    <w:p>
      <w:pPr>
        <w:spacing w:after="0" w:line="352"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Impairment of long-lived assets</w:t>
      </w:r>
    </w:p>
    <w:p>
      <w:pPr>
        <w:spacing w:after="0" w:line="31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ind w:left="720" w:hanging="712"/>
        <w:spacing w:after="0"/>
        <w:tabs>
          <w:tab w:leader="none" w:pos="7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Reclassifications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in the consolidated financial statements have been reclassified where necessary to conform to the current year presentation.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Short term investments - available for sale</w:t>
      </w:r>
    </w:p>
    <w:p>
      <w:pPr>
        <w:spacing w:after="0" w:line="26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shareholders’ equity. In the years to May 31, 2004, 2005 and the seven month period ended December 31, 2005 and in the year ended December 31, 2006 no unrealized gains or losses arose. Any differences between the cost and fair value of the investments are represented by accrued interest.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20"/>
                <w:szCs w:val="20"/>
                <w:color w:val="auto"/>
              </w:rPr>
            </w:pPr>
            <w:r>
              <w:rPr>
                <w:rFonts w:ascii="Arial" w:cs="Arial" w:eastAsia="Arial" w:hAnsi="Arial"/>
                <w:sz w:val="14"/>
                <w:szCs w:val="14"/>
                <w:b w:val="1"/>
                <w:bCs w:val="1"/>
                <w:color w:val="auto"/>
              </w:rPr>
              <w:t>4. Goodwill</w:t>
            </w:r>
          </w:p>
        </w:tc>
        <w:tc>
          <w:tcPr>
            <w:tcW w:w="1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13"/>
        </w:trPr>
        <w:tc>
          <w:tcPr>
            <w:tcW w:w="5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2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1"/>
                <w:szCs w:val="21"/>
                <w:color w:val="auto"/>
              </w:rPr>
            </w:pPr>
          </w:p>
        </w:tc>
      </w:tr>
      <w:tr>
        <w:trPr>
          <w:trHeight w:val="242"/>
        </w:trPr>
        <w:tc>
          <w:tcPr>
            <w:tcW w:w="52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Opening Goodwill</w:t>
            </w:r>
          </w:p>
        </w:tc>
        <w:tc>
          <w:tcPr>
            <w:tcW w:w="1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64,226</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67,440</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65,731</w:t>
            </w:r>
          </w:p>
        </w:tc>
        <w:tc>
          <w:tcPr>
            <w:tcW w:w="100" w:type="dxa"/>
            <w:vAlign w:val="bottom"/>
            <w:shd w:val="clear" w:color="auto" w:fill="CCEEFF"/>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4"/>
                <w:szCs w:val="14"/>
                <w:color w:val="auto"/>
              </w:rPr>
              <w:t>Arising during the year</w:t>
            </w:r>
          </w:p>
        </w:tc>
        <w:tc>
          <w:tcPr>
            <w:tcW w:w="19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8,463</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9,005</w:t>
            </w:r>
          </w:p>
        </w:tc>
        <w:tc>
          <w:tcPr>
            <w:tcW w:w="100" w:type="dxa"/>
            <w:vAlign w:val="bottom"/>
          </w:tcPr>
          <w:p>
            <w:pPr>
              <w:spacing w:after="0"/>
              <w:rPr>
                <w:sz w:val="21"/>
                <w:szCs w:val="21"/>
                <w:color w:val="auto"/>
              </w:rPr>
            </w:pPr>
          </w:p>
        </w:tc>
      </w:tr>
      <w:tr>
        <w:trPr>
          <w:trHeight w:val="243"/>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Arising on earn-out (prior year acquisitions)</w:t>
            </w:r>
          </w:p>
        </w:tc>
        <w:tc>
          <w:tcPr>
            <w:tcW w:w="19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1,856</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4"/>
                <w:szCs w:val="14"/>
                <w:color w:val="auto"/>
              </w:rPr>
              <w:t>Goodwill impairment (Note 14)</w:t>
            </w:r>
          </w:p>
        </w:tc>
        <w:tc>
          <w:tcPr>
            <w:tcW w:w="196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(7,017)</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r>
      <w:tr>
        <w:trPr>
          <w:trHeight w:val="243"/>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exchange movement</w:t>
            </w:r>
          </w:p>
        </w:tc>
        <w:tc>
          <w:tcPr>
            <w:tcW w:w="19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(1,709)</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Closing Goodwill</w:t>
            </w:r>
          </w:p>
        </w:tc>
        <w:tc>
          <w:tcPr>
            <w:tcW w:w="19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67,440</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65,731</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78,717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01"/>
        </w:trPr>
        <w:tc>
          <w:tcPr>
            <w:tcW w:w="5260" w:type="dxa"/>
            <w:vAlign w:val="bottom"/>
          </w:tcPr>
          <w:p>
            <w:pPr>
              <w:spacing w:after="0"/>
              <w:rPr>
                <w:sz w:val="20"/>
                <w:szCs w:val="20"/>
                <w:color w:val="auto"/>
              </w:rPr>
            </w:pPr>
            <w:r>
              <w:rPr>
                <w:rFonts w:ascii="Arial" w:cs="Arial" w:eastAsia="Arial" w:hAnsi="Arial"/>
                <w:sz w:val="14"/>
                <w:szCs w:val="14"/>
                <w:color w:val="auto"/>
              </w:rPr>
              <w:t>The distribution of goodwill by business segment was as follows:</w:t>
            </w: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5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2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1"/>
                <w:szCs w:val="21"/>
                <w:color w:val="auto"/>
              </w:rPr>
            </w:pPr>
          </w:p>
        </w:tc>
      </w:tr>
      <w:tr>
        <w:trPr>
          <w:trHeight w:val="236"/>
        </w:trPr>
        <w:tc>
          <w:tcPr>
            <w:tcW w:w="5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 (Note 14)</w:t>
            </w:r>
          </w:p>
        </w:tc>
        <w:tc>
          <w:tcPr>
            <w:tcW w:w="19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r>
      <w:tr>
        <w:trPr>
          <w:trHeight w:val="243"/>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19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67,440</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65,731</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78,717</w:t>
            </w:r>
          </w:p>
        </w:tc>
        <w:tc>
          <w:tcPr>
            <w:tcW w:w="100" w:type="dxa"/>
            <w:vAlign w:val="bottom"/>
          </w:tcPr>
          <w:p>
            <w:pPr>
              <w:spacing w:after="0"/>
              <w:rPr>
                <w:sz w:val="21"/>
                <w:szCs w:val="21"/>
                <w:color w:val="auto"/>
              </w:rPr>
            </w:pPr>
          </w:p>
        </w:tc>
      </w:tr>
      <w:tr>
        <w:trPr>
          <w:trHeight w:val="237"/>
        </w:trPr>
        <w:tc>
          <w:tcPr>
            <w:tcW w:w="52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67,440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65,731</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78,717</w:t>
            </w:r>
          </w:p>
        </w:tc>
        <w:tc>
          <w:tcPr>
            <w:tcW w:w="100" w:type="dxa"/>
            <w:vAlign w:val="bottom"/>
          </w:tcPr>
          <w:p>
            <w:pPr>
              <w:spacing w:after="0"/>
              <w:rPr>
                <w:sz w:val="21"/>
                <w:szCs w:val="2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Acquisition of Medeval Group Ltd</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January 24, 2003, the Company acquired 100% of the outstanding shares of Medeval Group Limited (“Medeval”), a company based in Manchester, England, for an initial cash consideration of Stg£9.5 million (U.S.$15.5 million), excluding costs of acquisition which amounted to U.S.$1million. Earn-out provisions have been built into the acquisition contract requiring the potential payment of additional deferred consideration up to a maximum of Stg£4.3 million (U.S.$6.9 million) depending on the performance of Medeval over the period to May 31, 2004. Such additional consideration has been accounted for as goodwill.</w:t>
      </w:r>
    </w:p>
    <w:p>
      <w:pPr>
        <w:spacing w:after="0" w:line="24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May 31, 2003, an amount of Stg£1.4 million (U.S.$2 million) was accrued in relation to the Medeval acquisition, as the first earn-out target identified in the acquisition contract was reached on this date. It was provided in the applicable acquisition agreement that the form of the earn-out would consist of cash payable to one specific named selling shareholder, with the balance due to the other selling shareholders being in the form of guaranteed loan notes. These guaranteed loan notes have a repayment date of three years from the date of issue but are exercisable six months from that date. On September 30, 2003, Stg£0.472 million (U.S.$0.8 million) was paid in cash to a specific named selling shareholder. On the same date, Stg£0.753 million (U.S.$1.403 million) of guaranteed loan notes were issued to the remaining selling shareholders and were included in other liabilities. The guaranteed loan note holders issued redemption notices to the Company, which required the Company to redeem all the guaranteed loan notes on June 30, 2004, in consideration for a cash payment of Stg£0.753 million (U.S.$1.380 million), the total amount of which was accrued at May 31, 2004.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7" w:name="page68"/>
    <w:bookmarkEnd w:id="67"/>
    <w:p>
      <w:pPr>
        <w:jc w:val="both"/>
        <w:spacing w:after="0" w:line="295" w:lineRule="auto"/>
        <w:rPr>
          <w:sz w:val="20"/>
          <w:szCs w:val="20"/>
          <w:color w:val="auto"/>
        </w:rPr>
      </w:pPr>
      <w:r>
        <w:rPr>
          <w:rFonts w:ascii="Arial" w:cs="Arial" w:eastAsia="Arial" w:hAnsi="Arial"/>
          <w:sz w:val="13"/>
          <w:szCs w:val="13"/>
          <w:color w:val="auto"/>
        </w:rPr>
        <w:t>On September 30, 2004, cash consideration of Stg£0.54 million (U.S.$0.97 million) was paid to a number of the former shareholders of Medeval and guaranteed loan notes with a value of Stg£1.08 million (U.S.$1.93 million) were issued to the remaining selling shareholders. At May 31, 2004, Stg£1.37 million (U.S.$2.5 million) of this amount had been provided, therefore an additional Stg£0.253 million (U.S.$0.452 million) was provided and accounted for under goodwill as at May 31, 2005. These guaranteed loan notes have a repayment date of three years from the date of issue but are exercisable nine months from the date of issue. The guaranteed loan note holders issued redemption notices to the Company, which required the Company to redeem all the guaranteed loan notes on June 30, 2005, in consideration of a cash payment of Stg£1.08 million (U.S.$1.93 million), the total amount of which was accrued for at May 31, 2005.</w:t>
      </w:r>
    </w:p>
    <w:p>
      <w:pPr>
        <w:spacing w:after="0" w:line="22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acquisition of Medeval has been accounted for as a purchase in accordance with SFAS No. 141, “Business Combinations”. The following table summarizes the fair values of the assets acquired and the liabilities assumed at the date of acquisition.</w:t>
      </w: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4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120" w:type="dxa"/>
            <w:vAlign w:val="bottom"/>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4"/>
                <w:szCs w:val="14"/>
                <w:color w:val="auto"/>
              </w:rPr>
              <w:t>Goodwill</w:t>
            </w:r>
          </w:p>
        </w:tc>
        <w:tc>
          <w:tcPr>
            <w:tcW w:w="4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22,824</w:t>
            </w:r>
          </w:p>
        </w:tc>
        <w:tc>
          <w:tcPr>
            <w:tcW w:w="120" w:type="dxa"/>
            <w:vAlign w:val="bottom"/>
          </w:tcPr>
          <w:p>
            <w:pPr>
              <w:spacing w:after="0"/>
              <w:rPr>
                <w:sz w:val="21"/>
                <w:szCs w:val="2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4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120" w:type="dxa"/>
            <w:vAlign w:val="bottom"/>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4"/>
                <w:szCs w:val="14"/>
                <w:color w:val="auto"/>
              </w:rPr>
              <w:t>Pension liabilities</w:t>
            </w:r>
          </w:p>
        </w:tc>
        <w:tc>
          <w:tcPr>
            <w:tcW w:w="41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(2,588)</w:t>
            </w: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4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(3,113)</w:t>
            </w:r>
          </w:p>
        </w:tc>
      </w:tr>
      <w:tr>
        <w:trPr>
          <w:trHeight w:val="237"/>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Purchase Price</w:t>
            </w:r>
          </w:p>
        </w:tc>
        <w:tc>
          <w:tcPr>
            <w:tcW w:w="4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21,493</w:t>
            </w:r>
          </w:p>
        </w:tc>
        <w:tc>
          <w:tcPr>
            <w:tcW w:w="120" w:type="dxa"/>
            <w:vAlign w:val="bottom"/>
            <w:tcBorders>
              <w:top w:val="single" w:sz="8" w:color="CCEEFF"/>
            </w:tcBorders>
          </w:tcPr>
          <w:p>
            <w:pPr>
              <w:spacing w:after="0"/>
              <w:rPr>
                <w:sz w:val="20"/>
                <w:szCs w:val="20"/>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Medeval have been included in the consolidated financial statements from January 24, 2003.</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Acquisition of GloboMax LLC</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On September 9, 2003, the Company acquired 100% of the outstanding shares of GloboMax LLC, based in Maryland, USA, for an initial cash consideration of U.S.$10.9 million, excluding costs of acquisition. Earn-out provisions have been built into the acquisition contract requiring the potential payment of additional deferred consideration up to a maximum of U.S.$4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On August 26, 2005, cash consideration of U.S.$1.4 million was paid to the former shareholders of GloboMax in respect of the first earn-out target which was reached on May 31, 2005, The total amount of this earn-out was accrued at May 31, 2005.</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May 31, 2006, an amount of U.S.$0.96 million was paid to the former shareholders of GloboMax. This U.S.$0.96 million was withheld from an earn-out payment made on August 31, 2005 due to an outstanding customer debt arising prior to the acquisition of GloboMax. This customer debt has subsequently been recovered and the U.S.$0.96 million in turn became due to the former shareholders of GloboMax. This payment has been accounted for as goodwill. No further payments are anticipated.</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acquisition of GloboMax has been accounted for as a purchase in accordance with SFAS No. 141, “Business Combinations”. The following table summarizes the fair values of the assets acquired and the liabilities assumed at the date of acquisition.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68" w:name="page69"/>
    <w:bookmarkEnd w:id="68"/>
    <w:tbl>
      <w:tblPr>
        <w:tblLayout w:type="fixed"/>
        <w:tblInd w:w="30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4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4"/>
                <w:szCs w:val="14"/>
                <w:color w:val="auto"/>
              </w:rPr>
              <w:t>Goodwill</w:t>
            </w:r>
          </w:p>
        </w:tc>
        <w:tc>
          <w:tcPr>
            <w:tcW w:w="4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14,634</w:t>
            </w:r>
          </w:p>
        </w:tc>
        <w:tc>
          <w:tcPr>
            <w:tcW w:w="120" w:type="dxa"/>
            <w:vAlign w:val="bottom"/>
          </w:tcPr>
          <w:p>
            <w:pPr>
              <w:spacing w:after="0"/>
              <w:rPr>
                <w:sz w:val="21"/>
                <w:szCs w:val="2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4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21"/>
                <w:szCs w:val="2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4"/>
                <w:szCs w:val="14"/>
                <w:color w:val="auto"/>
              </w:rPr>
              <w:t>Other current assets</w:t>
            </w:r>
          </w:p>
        </w:tc>
        <w:tc>
          <w:tcPr>
            <w:tcW w:w="4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2,487</w:t>
            </w:r>
          </w:p>
        </w:tc>
        <w:tc>
          <w:tcPr>
            <w:tcW w:w="120" w:type="dxa"/>
            <w:vAlign w:val="bottom"/>
          </w:tcPr>
          <w:p>
            <w:pPr>
              <w:spacing w:after="0"/>
              <w:rPr>
                <w:sz w:val="21"/>
                <w:szCs w:val="2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4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(5,539)</w:t>
            </w:r>
          </w:p>
        </w:tc>
      </w:tr>
      <w:tr>
        <w:trPr>
          <w:trHeight w:val="237"/>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Purchase Price</w:t>
            </w:r>
          </w:p>
        </w:tc>
        <w:tc>
          <w:tcPr>
            <w:tcW w:w="4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12,825</w:t>
            </w:r>
          </w:p>
        </w:tc>
        <w:tc>
          <w:tcPr>
            <w:tcW w:w="120" w:type="dxa"/>
            <w:vAlign w:val="bottom"/>
            <w:tcBorders>
              <w:top w:val="single" w:sz="8" w:color="CCEEFF"/>
            </w:tcBorders>
          </w:tcPr>
          <w:p>
            <w:pPr>
              <w:spacing w:after="0"/>
              <w:rPr>
                <w:sz w:val="20"/>
                <w:szCs w:val="20"/>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GloboMax have been included in the consolidated financial statements from September 9, 2003.</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 Acquisition of Beacon Biosciences, Inc</w:t>
      </w:r>
    </w:p>
    <w:p>
      <w:pPr>
        <w:spacing w:after="0" w:line="28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On July 1, 2004, the Company acquired 70% of the outstanding shares of Beacon Biosciences, inc. (“Beacon”), based in Pennsylvania, USA, for an initial cash consideration of U.S.$9.9 million, excluding costs of acquisition.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80" w:type="dxa"/>
            <w:vAlign w:val="bottom"/>
            <w:gridSpan w:val="2"/>
          </w:tcPr>
          <w:p>
            <w:pPr>
              <w:spacing w:after="0"/>
              <w:rPr>
                <w:sz w:val="20"/>
                <w:szCs w:val="20"/>
                <w:color w:val="auto"/>
              </w:rPr>
            </w:pPr>
            <w:r>
              <w:rPr>
                <w:rFonts w:ascii="Arial" w:cs="Arial" w:eastAsia="Arial" w:hAnsi="Arial"/>
                <w:sz w:val="14"/>
                <w:szCs w:val="14"/>
                <w:color w:val="auto"/>
              </w:rPr>
              <w:t>The following table summarizes the fair values of the assets acquired and the liabilities assumed at the date of acquisition.</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13"/>
        </w:trPr>
        <w:tc>
          <w:tcPr>
            <w:tcW w:w="3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792</w:t>
            </w:r>
          </w:p>
        </w:tc>
        <w:tc>
          <w:tcPr>
            <w:tcW w:w="4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Goodwill</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8,463</w:t>
            </w:r>
          </w:p>
        </w:tc>
        <w:tc>
          <w:tcPr>
            <w:tcW w:w="4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Cash</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1,658</w:t>
            </w:r>
          </w:p>
        </w:tc>
        <w:tc>
          <w:tcPr>
            <w:tcW w:w="4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Other current assets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935</w:t>
            </w:r>
          </w:p>
        </w:tc>
        <w:tc>
          <w:tcPr>
            <w:tcW w:w="4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Current liabilities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(718)</w:t>
            </w:r>
          </w:p>
        </w:tc>
      </w:tr>
      <w:tr>
        <w:trPr>
          <w:trHeight w:val="242"/>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Long term liabilities</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(352)</w:t>
            </w:r>
          </w:p>
        </w:tc>
      </w:tr>
      <w:tr>
        <w:trPr>
          <w:trHeight w:val="238"/>
        </w:trPr>
        <w:tc>
          <w:tcPr>
            <w:tcW w:w="30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10,778</w:t>
            </w:r>
          </w:p>
        </w:tc>
        <w:tc>
          <w:tcPr>
            <w:tcW w:w="40" w:type="dxa"/>
            <w:vAlign w:val="bottom"/>
          </w:tcPr>
          <w:p>
            <w:pPr>
              <w:spacing w:after="0"/>
              <w:rPr>
                <w:sz w:val="20"/>
                <w:szCs w:val="20"/>
                <w:color w:val="auto"/>
              </w:rPr>
            </w:pPr>
          </w:p>
        </w:tc>
      </w:tr>
      <w:tr>
        <w:trPr>
          <w:trHeight w:val="242"/>
        </w:trPr>
        <w:tc>
          <w:tcPr>
            <w:tcW w:w="300" w:type="dxa"/>
            <w:vAlign w:val="bottom"/>
          </w:tcPr>
          <w:p>
            <w:pPr>
              <w:spacing w:after="0"/>
              <w:rPr>
                <w:sz w:val="21"/>
                <w:szCs w:val="21"/>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Minority interest</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(695)</w:t>
            </w:r>
          </w:p>
        </w:tc>
      </w:tr>
      <w:tr>
        <w:trPr>
          <w:trHeight w:val="237"/>
        </w:trPr>
        <w:tc>
          <w:tcPr>
            <w:tcW w:w="300" w:type="dxa"/>
            <w:vAlign w:val="bottom"/>
          </w:tcPr>
          <w:p>
            <w:pPr>
              <w:spacing w:after="0"/>
              <w:rPr>
                <w:sz w:val="20"/>
                <w:szCs w:val="20"/>
                <w:color w:val="auto"/>
              </w:rPr>
            </w:pPr>
          </w:p>
        </w:tc>
        <w:tc>
          <w:tcPr>
            <w:tcW w:w="8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Purchase Price</w:t>
            </w:r>
          </w:p>
        </w:tc>
        <w:tc>
          <w:tcPr>
            <w:tcW w:w="16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10,083</w:t>
            </w:r>
          </w:p>
        </w:tc>
        <w:tc>
          <w:tcPr>
            <w:tcW w:w="40" w:type="dxa"/>
            <w:vAlign w:val="bottom"/>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8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Beacon have been included in the consolidated financial statements from July 1, 2004</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 Acquisition of Ovation</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July 10, 2006, the Company acquired 100% of the common stock of Ovation Healthcare Research 2 Inc. (“Ovation”), based in Illinois, USA, for an initial cash consideration of U.S.$6.6 million, excluding costs of acquisition. Working capital provisions were built into the acquisition contract requiring the potential payment of additional deferred consideration up to a maximum of U.S.$1.4 million. On October 27, 2006, $0.18 million was paid to the former shareholders of Ovation in full and final settlement of the working capital provisions.</w:t>
      </w:r>
    </w:p>
    <w:p>
      <w:pPr>
        <w:spacing w:after="0" w:line="23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acquisition of Ovation has been accounted for as a purchase in accordance with SFAS No. 141, “Business Combinations”. The following table summarizes the fair values of the assets acquired and the liabilities assumed at the date of acquisition.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r>
      <w:tr>
        <w:trPr>
          <w:trHeight w:val="243"/>
        </w:trPr>
        <w:tc>
          <w:tcPr>
            <w:tcW w:w="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6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3840" w:type="dxa"/>
            <w:vAlign w:val="bottom"/>
            <w:gridSpan w:val="2"/>
          </w:tcPr>
          <w:p>
            <w:pPr>
              <w:ind w:left="300"/>
              <w:spacing w:after="0"/>
              <w:rPr>
                <w:sz w:val="20"/>
                <w:szCs w:val="20"/>
                <w:color w:val="auto"/>
              </w:rPr>
            </w:pPr>
            <w:r>
              <w:rPr>
                <w:rFonts w:ascii="Arial" w:cs="Arial" w:eastAsia="Arial" w:hAnsi="Arial"/>
                <w:sz w:val="14"/>
                <w:szCs w:val="14"/>
                <w:color w:val="auto"/>
              </w:rPr>
              <w:t>Goodwill</w:t>
            </w:r>
          </w:p>
        </w:tc>
        <w:tc>
          <w:tcPr>
            <w:tcW w:w="6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6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3840" w:type="dxa"/>
            <w:vAlign w:val="bottom"/>
            <w:gridSpan w:val="2"/>
          </w:tcPr>
          <w:p>
            <w:pPr>
              <w:ind w:left="300"/>
              <w:spacing w:after="0"/>
              <w:rPr>
                <w:sz w:val="20"/>
                <w:szCs w:val="20"/>
                <w:color w:val="auto"/>
              </w:rPr>
            </w:pPr>
            <w:r>
              <w:rPr>
                <w:rFonts w:ascii="Arial" w:cs="Arial" w:eastAsia="Arial" w:hAnsi="Arial"/>
                <w:sz w:val="14"/>
                <w:szCs w:val="14"/>
                <w:color w:val="auto"/>
              </w:rPr>
              <w:t>Other current assets</w:t>
            </w:r>
          </w:p>
        </w:tc>
        <w:tc>
          <w:tcPr>
            <w:tcW w:w="6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6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(6,952)</w:t>
            </w:r>
          </w:p>
        </w:tc>
        <w:tc>
          <w:tcPr>
            <w:tcW w:w="280" w:type="dxa"/>
            <w:vAlign w:val="bottom"/>
          </w:tcPr>
          <w:p>
            <w:pPr>
              <w:spacing w:after="0"/>
              <w:rPr>
                <w:sz w:val="21"/>
                <w:szCs w:val="21"/>
                <w:color w:val="auto"/>
              </w:rPr>
            </w:pPr>
          </w:p>
        </w:tc>
      </w:tr>
      <w:tr>
        <w:trPr>
          <w:trHeight w:val="243"/>
        </w:trPr>
        <w:tc>
          <w:tcPr>
            <w:tcW w:w="3840" w:type="dxa"/>
            <w:vAlign w:val="bottom"/>
            <w:gridSpan w:val="2"/>
          </w:tcPr>
          <w:p>
            <w:pPr>
              <w:ind w:left="300"/>
              <w:spacing w:after="0"/>
              <w:rPr>
                <w:sz w:val="20"/>
                <w:szCs w:val="20"/>
                <w:color w:val="auto"/>
              </w:rPr>
            </w:pPr>
            <w:r>
              <w:rPr>
                <w:rFonts w:ascii="Arial" w:cs="Arial" w:eastAsia="Arial" w:hAnsi="Arial"/>
                <w:sz w:val="14"/>
                <w:szCs w:val="14"/>
                <w:color w:val="auto"/>
              </w:rPr>
              <w:t>Long term liabilities</w:t>
            </w:r>
          </w:p>
        </w:tc>
        <w:tc>
          <w:tcPr>
            <w:tcW w:w="614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(124)</w:t>
            </w:r>
          </w:p>
        </w:tc>
        <w:tc>
          <w:tcPr>
            <w:tcW w:w="280" w:type="dxa"/>
            <w:vAlign w:val="bottom"/>
          </w:tcPr>
          <w:p>
            <w:pPr>
              <w:spacing w:after="0"/>
              <w:rPr>
                <w:sz w:val="21"/>
                <w:szCs w:val="21"/>
                <w:color w:val="auto"/>
              </w:rPr>
            </w:pPr>
          </w:p>
        </w:tc>
      </w:tr>
      <w:tr>
        <w:trPr>
          <w:trHeight w:val="277"/>
        </w:trPr>
        <w:tc>
          <w:tcPr>
            <w:tcW w:w="300" w:type="dxa"/>
            <w:vAlign w:val="bottom"/>
          </w:tcPr>
          <w:p>
            <w:pPr>
              <w:spacing w:after="0"/>
              <w:rPr>
                <w:sz w:val="24"/>
                <w:szCs w:val="24"/>
                <w:color w:val="auto"/>
              </w:rPr>
            </w:pPr>
          </w:p>
        </w:tc>
        <w:tc>
          <w:tcPr>
            <w:tcW w:w="3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Purchase Price</w:t>
            </w:r>
          </w:p>
        </w:tc>
        <w:tc>
          <w:tcPr>
            <w:tcW w:w="6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40" w:type="dxa"/>
            <w:vAlign w:val="bottom"/>
          </w:tcPr>
          <w:p>
            <w:pPr>
              <w:jc w:val="right"/>
              <w:ind w:right="4128"/>
              <w:spacing w:after="0"/>
              <w:rPr>
                <w:sz w:val="20"/>
                <w:szCs w:val="20"/>
                <w:color w:val="auto"/>
              </w:rPr>
            </w:pPr>
            <w:r>
              <w:rPr>
                <w:rFonts w:ascii="Arial" w:cs="Arial" w:eastAsia="Arial" w:hAnsi="Arial"/>
                <w:sz w:val="14"/>
                <w:szCs w:val="14"/>
                <w:color w:val="auto"/>
              </w:rPr>
              <w:t>66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3"/>
        </w:trPr>
        <w:tc>
          <w:tcPr>
            <w:tcW w:w="300" w:type="dxa"/>
            <w:vAlign w:val="bottom"/>
            <w:tcBorders>
              <w:bottom w:val="single" w:sz="8" w:color="808080"/>
            </w:tcBorders>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61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auto"/>
        </w:rPr>
        <w:t>5. Intangible Assets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On December 1, 2004, the Company acquired the workforce of Biomines Research Solutions Private Limited, (“Biomines”), based in Chennai, India, for a cash consideration of U.S.$250,000.</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1,</w:t>
            </w:r>
          </w:p>
        </w:tc>
      </w:tr>
      <w:tr>
        <w:trPr>
          <w:trHeight w:val="176"/>
        </w:trPr>
        <w:tc>
          <w:tcPr>
            <w:tcW w:w="58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2004</w:t>
            </w:r>
          </w:p>
        </w:tc>
      </w:tr>
      <w:tr>
        <w:trPr>
          <w:trHeight w:val="185"/>
        </w:trPr>
        <w:tc>
          <w:tcPr>
            <w:tcW w:w="58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Acquired workforce - intangible asset</w:t>
            </w:r>
          </w:p>
        </w:tc>
        <w:tc>
          <w:tcPr>
            <w:tcW w:w="3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37"/>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Purchase Price</w:t>
            </w:r>
          </w:p>
        </w:tc>
        <w:tc>
          <w:tcPr>
            <w:tcW w:w="3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The cost of the acquired workforce is being amortized over 24 months in line with the life of the non-compete service contracts of the acquired employees. U.S.$250,000 has been amortized in the period since the date of acquisition.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15"/>
                <w:szCs w:val="15"/>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2006</w:t>
            </w:r>
          </w:p>
        </w:tc>
      </w:tr>
      <w:tr>
        <w:trPr>
          <w:trHeight w:val="243"/>
        </w:trPr>
        <w:tc>
          <w:tcPr>
            <w:tcW w:w="5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Cost</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43"/>
        </w:trPr>
        <w:tc>
          <w:tcPr>
            <w:tcW w:w="580" w:type="dxa"/>
            <w:vAlign w:val="bottom"/>
          </w:tcPr>
          <w:p>
            <w:pPr>
              <w:spacing w:after="0"/>
              <w:rPr>
                <w:sz w:val="21"/>
                <w:szCs w:val="21"/>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Accumulated amortization</w:t>
            </w:r>
          </w:p>
        </w:tc>
        <w:tc>
          <w:tcPr>
            <w:tcW w:w="2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20"/>
        </w:trPr>
        <w:tc>
          <w:tcPr>
            <w:tcW w:w="58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4"/>
        </w:trPr>
        <w:tc>
          <w:tcPr>
            <w:tcW w:w="580" w:type="dxa"/>
            <w:vAlign w:val="bottom"/>
          </w:tcPr>
          <w:p>
            <w:pPr>
              <w:spacing w:after="0"/>
              <w:rPr>
                <w:sz w:val="22"/>
                <w:szCs w:val="22"/>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book value</w:t>
            </w:r>
          </w:p>
        </w:tc>
        <w:tc>
          <w:tcPr>
            <w:tcW w:w="22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3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698"/>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6. Property, Plant and Equipment, net</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5"/>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3"/>
        </w:trPr>
        <w:tc>
          <w:tcPr>
            <w:tcW w:w="5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4"/>
                <w:szCs w:val="14"/>
                <w:b w:val="1"/>
                <w:bCs w:val="1"/>
                <w:color w:val="auto"/>
              </w:rPr>
              <w:t>Cost</w:t>
            </w:r>
          </w:p>
        </w:tc>
        <w:tc>
          <w:tcPr>
            <w:tcW w:w="2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22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3,477</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3,771</w:t>
            </w:r>
          </w:p>
        </w:tc>
      </w:tr>
      <w:tr>
        <w:trPr>
          <w:trHeight w:val="243"/>
        </w:trPr>
        <w:tc>
          <w:tcPr>
            <w:tcW w:w="58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Building</w:t>
            </w:r>
          </w:p>
        </w:tc>
        <w:tc>
          <w:tcPr>
            <w:tcW w:w="22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11,358</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12,625</w:t>
            </w:r>
          </w:p>
        </w:tc>
        <w:tc>
          <w:tcPr>
            <w:tcW w:w="3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28,131</w:t>
            </w:r>
          </w:p>
        </w:tc>
      </w:tr>
      <w:tr>
        <w:trPr>
          <w:trHeight w:val="243"/>
        </w:trPr>
        <w:tc>
          <w:tcPr>
            <w:tcW w:w="58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Computer equipment and software</w:t>
            </w:r>
          </w:p>
        </w:tc>
        <w:tc>
          <w:tcPr>
            <w:tcW w:w="2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51,867</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53,768</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68,353</w:t>
            </w:r>
          </w:p>
        </w:tc>
      </w:tr>
      <w:tr>
        <w:trPr>
          <w:trHeight w:val="243"/>
        </w:trPr>
        <w:tc>
          <w:tcPr>
            <w:tcW w:w="58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Office furniture and fixtures</w:t>
            </w:r>
          </w:p>
        </w:tc>
        <w:tc>
          <w:tcPr>
            <w:tcW w:w="22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20,031</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19,889</w:t>
            </w:r>
          </w:p>
        </w:tc>
        <w:tc>
          <w:tcPr>
            <w:tcW w:w="3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24,639</w:t>
            </w:r>
          </w:p>
        </w:tc>
      </w:tr>
      <w:tr>
        <w:trPr>
          <w:trHeight w:val="243"/>
        </w:trPr>
        <w:tc>
          <w:tcPr>
            <w:tcW w:w="58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5,538</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6,820</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8,525</w:t>
            </w:r>
          </w:p>
        </w:tc>
      </w:tr>
      <w:tr>
        <w:trPr>
          <w:trHeight w:val="243"/>
        </w:trPr>
        <w:tc>
          <w:tcPr>
            <w:tcW w:w="58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2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5,684</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5,679</w:t>
            </w:r>
          </w:p>
        </w:tc>
        <w:tc>
          <w:tcPr>
            <w:tcW w:w="3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5,674</w:t>
            </w:r>
          </w:p>
        </w:tc>
      </w:tr>
      <w:tr>
        <w:trPr>
          <w:trHeight w:val="243"/>
        </w:trPr>
        <w:tc>
          <w:tcPr>
            <w:tcW w:w="580" w:type="dxa"/>
            <w:vAlign w:val="bottom"/>
          </w:tcPr>
          <w:p>
            <w:pPr>
              <w:spacing w:after="0"/>
              <w:rPr>
                <w:sz w:val="21"/>
                <w:szCs w:val="21"/>
                <w:color w:val="auto"/>
              </w:rPr>
            </w:pPr>
          </w:p>
        </w:tc>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Motor vehicles</w:t>
            </w:r>
          </w:p>
        </w:tc>
        <w:tc>
          <w:tcPr>
            <w:tcW w:w="2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37"/>
        </w:trPr>
        <w:tc>
          <w:tcPr>
            <w:tcW w:w="5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95,297</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102,331</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139,203</w:t>
            </w:r>
          </w:p>
        </w:tc>
      </w:tr>
      <w:tr>
        <w:trPr>
          <w:trHeight w:val="243"/>
        </w:trPr>
        <w:tc>
          <w:tcPr>
            <w:tcW w:w="580" w:type="dxa"/>
            <w:vAlign w:val="bottom"/>
          </w:tcPr>
          <w:p>
            <w:pPr>
              <w:spacing w:after="0"/>
              <w:rPr>
                <w:sz w:val="21"/>
                <w:szCs w:val="21"/>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Less accumulated depreciation and asset write off</w:t>
            </w:r>
          </w:p>
        </w:tc>
        <w:tc>
          <w:tcPr>
            <w:tcW w:w="2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(50,011)</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(54,679)</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(70,995)</w:t>
            </w:r>
          </w:p>
        </w:tc>
      </w:tr>
      <w:tr>
        <w:trPr>
          <w:trHeight w:val="237"/>
        </w:trPr>
        <w:tc>
          <w:tcPr>
            <w:tcW w:w="58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Property, plant and equipment (net)</w:t>
            </w:r>
          </w:p>
        </w:tc>
        <w:tc>
          <w:tcPr>
            <w:tcW w:w="2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47,652</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68,208</w:t>
            </w:r>
          </w:p>
        </w:tc>
      </w:tr>
    </w:tbl>
    <w:p>
      <w:pPr>
        <w:spacing w:after="0" w:line="265" w:lineRule="exact"/>
        <w:rPr>
          <w:sz w:val="20"/>
          <w:szCs w:val="20"/>
          <w:color w:val="auto"/>
        </w:rPr>
      </w:pPr>
    </w:p>
    <w:p>
      <w:pPr>
        <w:ind w:right="260"/>
        <w:spacing w:after="0" w:line="277" w:lineRule="auto"/>
        <w:rPr>
          <w:sz w:val="20"/>
          <w:szCs w:val="20"/>
          <w:color w:val="auto"/>
        </w:rPr>
      </w:pPr>
      <w:r>
        <w:rPr>
          <w:rFonts w:ascii="Arial" w:cs="Arial" w:eastAsia="Arial" w:hAnsi="Arial"/>
          <w:sz w:val="14"/>
          <w:szCs w:val="14"/>
          <w:color w:val="auto"/>
        </w:rPr>
        <w:t>Total cost above at December 31, 2006 includes U.S. $1,057,987 (December 31, 2005: U.S.$654,000; May 31, 2005: U.S.$725,643,), which relates to assets held under capital finance leases. Related accumulated depreciation amounted to U.S. $642,726, (December 31, 2005: U.S.$346,000; May 31, 2005: U.S.$305,867). The cost of assets under construction as at December 31, 2006 amounted to $11.2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6"/>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7. Other Liabilities</w:t>
            </w:r>
          </w:p>
        </w:tc>
        <w:tc>
          <w:tcPr>
            <w:tcW w:w="2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35"/>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3"/>
        </w:trPr>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w w:val="95"/>
              </w:rPr>
              <w:t>(in thousands)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Accrued liabilities</w:t>
            </w:r>
          </w:p>
        </w:tc>
        <w:tc>
          <w:tcPr>
            <w:tcW w:w="21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20,684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18,844</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26,349</w:t>
            </w:r>
          </w:p>
        </w:tc>
      </w:tr>
      <w:tr>
        <w:trPr>
          <w:trHeight w:val="243"/>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Accrued salary and bonuses</w:t>
            </w:r>
          </w:p>
        </w:tc>
        <w:tc>
          <w:tcPr>
            <w:tcW w:w="2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9,830</w:t>
            </w:r>
          </w:p>
        </w:tc>
        <w:tc>
          <w:tcPr>
            <w:tcW w:w="2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5,762</w:t>
            </w:r>
          </w:p>
        </w:tc>
        <w:tc>
          <w:tcPr>
            <w:tcW w:w="38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18,460</w:t>
            </w:r>
          </w:p>
        </w:tc>
      </w:tr>
      <w:tr>
        <w:trPr>
          <w:trHeight w:val="243"/>
        </w:trPr>
        <w:tc>
          <w:tcPr>
            <w:tcW w:w="580" w:type="dxa"/>
            <w:vAlign w:val="bottom"/>
          </w:tcPr>
          <w:p>
            <w:pPr>
              <w:spacing w:after="0"/>
              <w:rPr>
                <w:sz w:val="21"/>
                <w:szCs w:val="21"/>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Accrued social welfare costs</w:t>
            </w:r>
          </w:p>
        </w:tc>
        <w:tc>
          <w:tcPr>
            <w:tcW w:w="2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2,016</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3,124</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2,131</w:t>
            </w:r>
          </w:p>
        </w:tc>
      </w:tr>
      <w:tr>
        <w:trPr>
          <w:trHeight w:val="243"/>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Contingent purchase consideration payable</w:t>
            </w:r>
          </w:p>
        </w:tc>
        <w:tc>
          <w:tcPr>
            <w:tcW w:w="2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3,374</w:t>
            </w:r>
          </w:p>
        </w:tc>
        <w:tc>
          <w:tcPr>
            <w:tcW w:w="2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0" w:type="dxa"/>
            <w:vAlign w:val="bottom"/>
          </w:tcPr>
          <w:p>
            <w:pPr>
              <w:spacing w:after="0"/>
              <w:rPr>
                <w:sz w:val="21"/>
                <w:szCs w:val="21"/>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Short term government grants</w:t>
            </w:r>
          </w:p>
        </w:tc>
        <w:tc>
          <w:tcPr>
            <w:tcW w:w="2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43"/>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Accrued pension liability</w:t>
            </w:r>
          </w:p>
        </w:tc>
        <w:tc>
          <w:tcPr>
            <w:tcW w:w="21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3,585</w:t>
            </w:r>
          </w:p>
        </w:tc>
        <w:tc>
          <w:tcPr>
            <w:tcW w:w="2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5,152</w:t>
            </w:r>
          </w:p>
        </w:tc>
        <w:tc>
          <w:tcPr>
            <w:tcW w:w="38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4,724</w:t>
            </w:r>
          </w:p>
        </w:tc>
      </w:tr>
      <w:tr>
        <w:trPr>
          <w:trHeight w:val="243"/>
        </w:trPr>
        <w:tc>
          <w:tcPr>
            <w:tcW w:w="580" w:type="dxa"/>
            <w:vAlign w:val="bottom"/>
          </w:tcPr>
          <w:p>
            <w:pPr>
              <w:spacing w:after="0"/>
              <w:rPr>
                <w:sz w:val="21"/>
                <w:szCs w:val="21"/>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Short term finance leases (Note 16)</w:t>
            </w:r>
          </w:p>
        </w:tc>
        <w:tc>
          <w:tcPr>
            <w:tcW w:w="2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r>
      <w:tr>
        <w:trPr>
          <w:trHeight w:val="237"/>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466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33,184</w:t>
            </w:r>
          </w:p>
        </w:tc>
        <w:tc>
          <w:tcPr>
            <w:tcW w:w="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51,956</w:t>
            </w:r>
          </w:p>
        </w:tc>
      </w:tr>
      <w:tr>
        <w:trPr>
          <w:trHeight w:val="428"/>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8. Bank Loans</w:t>
            </w: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5240" w:type="dxa"/>
            <w:vAlign w:val="bottom"/>
            <w:gridSpan w:val="2"/>
          </w:tcPr>
          <w:p>
            <w:pPr>
              <w:spacing w:after="0"/>
              <w:rPr>
                <w:sz w:val="20"/>
                <w:szCs w:val="20"/>
                <w:color w:val="auto"/>
              </w:rPr>
            </w:pPr>
            <w:r>
              <w:rPr>
                <w:rFonts w:ascii="Arial" w:cs="Arial" w:eastAsia="Arial" w:hAnsi="Arial"/>
                <w:sz w:val="14"/>
                <w:szCs w:val="14"/>
                <w:color w:val="auto"/>
              </w:rPr>
              <w:t>The Company has short-term bank loan facilities as follows:</w:t>
            </w: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63"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favor of each of the banks. The term loan facility bears interest at an annual rate equal to the Banks’ prime rate plus one percent. The multi-currency overdraft facility and the revolving credit facility bear interest at an annual rate equal to the Banks’ prime rate plus three quarters of one percent. ICON plc and its subsidiaries are entitled to make borrowings under a term loan facility of $40 million and a multi currency overdraft facility of $5 million. As at December 31, 2006, $15 million of the term loan facility was available to be drawn down, while the entire $5 million multi currency overdraft had been drawn down. The multi currency overdraft facility will become payable on demand if the Company defaults under its obligations as specified in the loan agreement. The reduction in the term loan facility is due to amortization terms in the facility agreement. The term loan facility will reduce by a further $5 million dollars at six monthly intervals until the facility expires on June 30, 2008. ICON Clinical Research, Inc. (a subsidiary of ICON plc) is entitled to make borrowings under the revolving credit facility of $15 million. As at December 31, 2006, the full amount of this facility was available to be drawn down.</w:t>
      </w:r>
    </w:p>
    <w:p>
      <w:pPr>
        <w:spacing w:after="0" w:line="236" w:lineRule="exact"/>
        <w:rPr>
          <w:sz w:val="20"/>
          <w:szCs w:val="20"/>
          <w:color w:val="auto"/>
        </w:rPr>
      </w:pPr>
    </w:p>
    <w:p>
      <w:pPr>
        <w:ind w:right="240"/>
        <w:spacing w:after="0" w:line="293" w:lineRule="auto"/>
        <w:rPr>
          <w:sz w:val="20"/>
          <w:szCs w:val="20"/>
          <w:color w:val="auto"/>
        </w:rPr>
      </w:pPr>
      <w:r>
        <w:rPr>
          <w:rFonts w:ascii="Arial" w:cs="Arial" w:eastAsia="Arial" w:hAnsi="Arial"/>
          <w:sz w:val="14"/>
          <w:szCs w:val="14"/>
          <w:color w:val="auto"/>
        </w:rPr>
        <w:t>The Company entered into an overdraft agreement with Allied Irish Banks, plc (“AIB”) whereby the Company guarantees any overdraft of its subsidiary ICON Clinical Research GmbH up to an amount of €120,000 (U.S.$157,645). As of December 31, 2006, the full facility was available to be drawn down.</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Employee Benefits</w:t>
      </w:r>
    </w:p>
    <w:p>
      <w:pPr>
        <w:spacing w:after="0" w:line="28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10% of the participant's annual compensation. Contributions to this plan are recorded, as expense in the Consolidated Statement of Operations. Contributions for the years ended May 31, 2004, and 2005, the seven month period ending December 31, 2005 and the year ended December 31, 2006 were U.S.$2,297,928, U.S.$3,443,374, U.S.$2,112,184 and U.S.$4,837,040 respectively.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4"/>
          <w:szCs w:val="14"/>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2004, 2005, the seven month period ending December 31, 2005 and the year ended December 31, 2006 were U.S.$ 2,389,757, U.S.$2,539,760, U.S.$1,587,626 and U.S.$ 3,427,916 respectively.</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2004, 2005, December 31, 2005 and December 31, 2006 consist of units held in independently administered funds. The pension costs of this plan are presented in the following tables in accordance with the requirements of SFAS No.158, “Employers’ Accounting for Defined Pension and Other Postretirement Plans”. The plan is no longer open to new entrants.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20"/>
                <w:szCs w:val="20"/>
                <w:color w:val="auto"/>
              </w:rPr>
            </w:pPr>
            <w:r>
              <w:rPr>
                <w:rFonts w:ascii="Arial" w:cs="Arial" w:eastAsia="Arial" w:hAnsi="Arial"/>
                <w:sz w:val="14"/>
                <w:szCs w:val="14"/>
                <w:b w:val="1"/>
                <w:bCs w:val="1"/>
                <w:color w:val="auto"/>
              </w:rPr>
              <w:t>Change in benefit obligation</w:t>
            </w:r>
          </w:p>
        </w:tc>
        <w:tc>
          <w:tcPr>
            <w:tcW w:w="25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7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47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Benefit obligation at beginning of year/period</w:t>
            </w:r>
          </w:p>
        </w:tc>
        <w:tc>
          <w:tcPr>
            <w:tcW w:w="25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9,056</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11,323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13,244</w:t>
            </w: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Service cost</w:t>
            </w:r>
          </w:p>
        </w:tc>
        <w:tc>
          <w:tcPr>
            <w:tcW w:w="252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832</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685</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Interest cost</w:t>
            </w:r>
          </w:p>
        </w:tc>
        <w:tc>
          <w:tcPr>
            <w:tcW w:w="2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Plan participants’ contributions</w:t>
            </w:r>
          </w:p>
        </w:tc>
        <w:tc>
          <w:tcPr>
            <w:tcW w:w="252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Benefits paid</w:t>
            </w:r>
          </w:p>
        </w:tc>
        <w:tc>
          <w:tcPr>
            <w:tcW w:w="2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43"/>
        </w:trPr>
        <w:tc>
          <w:tcPr>
            <w:tcW w:w="4700" w:type="dxa"/>
            <w:vAlign w:val="bottom"/>
          </w:tcPr>
          <w:p>
            <w:pPr>
              <w:spacing w:after="0"/>
              <w:rPr>
                <w:sz w:val="20"/>
                <w:szCs w:val="20"/>
                <w:color w:val="auto"/>
              </w:rPr>
            </w:pPr>
            <w:r>
              <w:rPr>
                <w:rFonts w:ascii="Arial" w:cs="Arial" w:eastAsia="Arial" w:hAnsi="Arial"/>
                <w:sz w:val="14"/>
                <w:szCs w:val="14"/>
                <w:color w:val="auto"/>
              </w:rPr>
              <w:t>Actuarial loss</w:t>
            </w:r>
          </w:p>
        </w:tc>
        <w:tc>
          <w:tcPr>
            <w:tcW w:w="252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819</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1,875</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1,015</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exchange rate changes</w:t>
            </w:r>
          </w:p>
        </w:tc>
        <w:tc>
          <w:tcPr>
            <w:tcW w:w="2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r>
      <w:tr>
        <w:trPr>
          <w:trHeight w:val="243"/>
        </w:trPr>
        <w:tc>
          <w:tcPr>
            <w:tcW w:w="47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37"/>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Benefit obligation at end of year/period</w:t>
            </w:r>
          </w:p>
        </w:tc>
        <w:tc>
          <w:tcPr>
            <w:tcW w:w="25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11,323</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13,244</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17,816</w:t>
            </w:r>
          </w:p>
        </w:tc>
      </w:tr>
    </w:tbl>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20"/>
                <w:szCs w:val="20"/>
                <w:color w:val="auto"/>
              </w:rPr>
            </w:pPr>
            <w:r>
              <w:rPr>
                <w:rFonts w:ascii="Arial" w:cs="Arial" w:eastAsia="Arial" w:hAnsi="Arial"/>
                <w:sz w:val="14"/>
                <w:szCs w:val="14"/>
                <w:b w:val="1"/>
                <w:bCs w:val="1"/>
                <w:color w:val="auto"/>
              </w:rPr>
              <w:t>Change in plan assets</w:t>
            </w:r>
          </w:p>
        </w:tc>
        <w:tc>
          <w:tcPr>
            <w:tcW w:w="234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8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48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Fair value of plan assets at beginning of year/period</w:t>
            </w:r>
          </w:p>
        </w:tc>
        <w:tc>
          <w:tcPr>
            <w:tcW w:w="23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6,129</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7,354</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8,092</w:t>
            </w:r>
          </w:p>
        </w:tc>
      </w:tr>
      <w:tr>
        <w:trPr>
          <w:trHeight w:val="243"/>
        </w:trPr>
        <w:tc>
          <w:tcPr>
            <w:tcW w:w="4880" w:type="dxa"/>
            <w:vAlign w:val="bottom"/>
          </w:tcPr>
          <w:p>
            <w:pPr>
              <w:spacing w:after="0"/>
              <w:rPr>
                <w:sz w:val="20"/>
                <w:szCs w:val="20"/>
                <w:color w:val="auto"/>
              </w:rPr>
            </w:pPr>
            <w:r>
              <w:rPr>
                <w:rFonts w:ascii="Arial" w:cs="Arial" w:eastAsia="Arial" w:hAnsi="Arial"/>
                <w:sz w:val="14"/>
                <w:szCs w:val="14"/>
                <w:color w:val="auto"/>
              </w:rPr>
              <w:t>Actual return on plan assets</w:t>
            </w:r>
          </w:p>
        </w:tc>
        <w:tc>
          <w:tcPr>
            <w:tcW w:w="234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371</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342</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1,218</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Employer contributions</w:t>
            </w:r>
          </w:p>
        </w:tc>
        <w:tc>
          <w:tcPr>
            <w:tcW w:w="2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765</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2,287</w:t>
            </w:r>
          </w:p>
        </w:tc>
      </w:tr>
      <w:tr>
        <w:trPr>
          <w:trHeight w:val="243"/>
        </w:trPr>
        <w:tc>
          <w:tcPr>
            <w:tcW w:w="4880" w:type="dxa"/>
            <w:vAlign w:val="bottom"/>
          </w:tcPr>
          <w:p>
            <w:pPr>
              <w:spacing w:after="0"/>
              <w:rPr>
                <w:sz w:val="20"/>
                <w:szCs w:val="20"/>
                <w:color w:val="auto"/>
              </w:rPr>
            </w:pPr>
            <w:r>
              <w:rPr>
                <w:rFonts w:ascii="Arial" w:cs="Arial" w:eastAsia="Arial" w:hAnsi="Arial"/>
                <w:sz w:val="14"/>
                <w:szCs w:val="14"/>
                <w:color w:val="auto"/>
              </w:rPr>
              <w:t>Plan participants’ contributions</w:t>
            </w:r>
          </w:p>
        </w:tc>
        <w:tc>
          <w:tcPr>
            <w:tcW w:w="234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Benefits paid</w:t>
            </w:r>
          </w:p>
        </w:tc>
        <w:tc>
          <w:tcPr>
            <w:tcW w:w="2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43"/>
        </w:trPr>
        <w:tc>
          <w:tcPr>
            <w:tcW w:w="4880" w:type="dxa"/>
            <w:vAlign w:val="bottom"/>
          </w:tcPr>
          <w:p>
            <w:pPr>
              <w:spacing w:after="0"/>
              <w:rPr>
                <w:sz w:val="20"/>
                <w:szCs w:val="20"/>
                <w:color w:val="auto"/>
              </w:rPr>
            </w:pPr>
            <w:r>
              <w:rPr>
                <w:rFonts w:ascii="Arial" w:cs="Arial" w:eastAsia="Arial" w:hAnsi="Arial"/>
                <w:sz w:val="14"/>
                <w:szCs w:val="14"/>
                <w:color w:val="auto"/>
              </w:rPr>
              <w:t>Foreign currency exchange rate changes</w:t>
            </w:r>
          </w:p>
        </w:tc>
        <w:tc>
          <w:tcPr>
            <w:tcW w:w="234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21"/>
                <w:szCs w:val="21"/>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(447)</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1,353</w:t>
            </w:r>
          </w:p>
        </w:tc>
      </w:tr>
      <w:tr>
        <w:trPr>
          <w:trHeight w:val="243"/>
        </w:trPr>
        <w:tc>
          <w:tcPr>
            <w:tcW w:w="488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37"/>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 of plan assets at end of year/period</w:t>
            </w:r>
          </w:p>
        </w:tc>
        <w:tc>
          <w:tcPr>
            <w:tcW w:w="2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7,354</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8,092</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13,092</w:t>
            </w:r>
          </w:p>
        </w:tc>
      </w:tr>
    </w:tbl>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20"/>
                <w:szCs w:val="20"/>
                <w:color w:val="auto"/>
              </w:rPr>
            </w:pPr>
            <w:r>
              <w:rPr>
                <w:rFonts w:ascii="Arial" w:cs="Arial" w:eastAsia="Arial" w:hAnsi="Arial"/>
                <w:sz w:val="14"/>
                <w:szCs w:val="14"/>
                <w:b w:val="1"/>
                <w:bCs w:val="1"/>
                <w:color w:val="auto"/>
              </w:rPr>
              <w:t>Funded status</w:t>
            </w:r>
          </w:p>
        </w:tc>
        <w:tc>
          <w:tcPr>
            <w:tcW w:w="3760" w:type="dxa"/>
            <w:vAlign w:val="bottom"/>
          </w:tcPr>
          <w:p>
            <w:pPr>
              <w:jc w:val="right"/>
              <w:ind w:right="188"/>
              <w:spacing w:after="0"/>
              <w:rPr>
                <w:sz w:val="20"/>
                <w:szCs w:val="20"/>
                <w:color w:val="auto"/>
              </w:rPr>
            </w:pPr>
            <w:r>
              <w:rPr>
                <w:rFonts w:ascii="Arial" w:cs="Arial" w:eastAsia="Arial" w:hAnsi="Arial"/>
                <w:sz w:val="14"/>
                <w:szCs w:val="14"/>
                <w:b w:val="1"/>
                <w:bCs w:val="1"/>
                <w:color w:val="auto"/>
              </w:rPr>
              <w:t>May 31,</w:t>
            </w:r>
          </w:p>
        </w:tc>
        <w:tc>
          <w:tcPr>
            <w:tcW w:w="17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620" w:type="dxa"/>
            <w:vAlign w:val="bottom"/>
          </w:tcPr>
          <w:p>
            <w:pPr>
              <w:spacing w:after="0"/>
              <w:rPr>
                <w:sz w:val="16"/>
                <w:szCs w:val="16"/>
                <w:color w:val="auto"/>
              </w:rPr>
            </w:pPr>
          </w:p>
        </w:tc>
        <w:tc>
          <w:tcPr>
            <w:tcW w:w="3760" w:type="dxa"/>
            <w:vAlign w:val="bottom"/>
          </w:tcPr>
          <w:p>
            <w:pPr>
              <w:jc w:val="right"/>
              <w:ind w:right="188"/>
              <w:spacing w:after="0"/>
              <w:rPr>
                <w:sz w:val="20"/>
                <w:szCs w:val="20"/>
                <w:color w:val="auto"/>
              </w:rPr>
            </w:pPr>
            <w:r>
              <w:rPr>
                <w:rFonts w:ascii="Arial" w:cs="Arial" w:eastAsia="Arial" w:hAnsi="Arial"/>
                <w:sz w:val="14"/>
                <w:szCs w:val="14"/>
                <w:b w:val="1"/>
                <w:bCs w:val="1"/>
                <w:color w:val="auto"/>
              </w:rPr>
              <w:t>2005</w:t>
            </w:r>
          </w:p>
        </w:tc>
        <w:tc>
          <w:tcPr>
            <w:tcW w:w="1740" w:type="dxa"/>
            <w:vAlign w:val="bottom"/>
          </w:tcPr>
          <w:p>
            <w:pPr>
              <w:jc w:val="right"/>
              <w:ind w:right="308"/>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46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740" w:type="dxa"/>
            <w:vAlign w:val="bottom"/>
          </w:tcPr>
          <w:p>
            <w:pPr>
              <w:jc w:val="right"/>
              <w:ind w:right="588"/>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Projected benefit obligation</w:t>
            </w:r>
          </w:p>
        </w:tc>
        <w:tc>
          <w:tcPr>
            <w:tcW w:w="3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($11,323)</w:t>
            </w:r>
          </w:p>
        </w:tc>
        <w:tc>
          <w:tcPr>
            <w:tcW w:w="17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($13,244)</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($17,816)</w:t>
            </w:r>
          </w:p>
        </w:tc>
      </w:tr>
      <w:tr>
        <w:trPr>
          <w:trHeight w:val="243"/>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Fair value of plan assets</w:t>
            </w:r>
          </w:p>
        </w:tc>
        <w:tc>
          <w:tcPr>
            <w:tcW w:w="3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7,354</w:t>
            </w:r>
          </w:p>
        </w:tc>
        <w:tc>
          <w:tcPr>
            <w:tcW w:w="1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8,092</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13,092</w:t>
            </w: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Funded status</w:t>
            </w:r>
          </w:p>
        </w:tc>
        <w:tc>
          <w:tcPr>
            <w:tcW w:w="3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($3,969)</w:t>
            </w:r>
          </w:p>
        </w:tc>
        <w:tc>
          <w:tcPr>
            <w:tcW w:w="17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($5,152)</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w:t>
            </w:r>
          </w:p>
        </w:tc>
      </w:tr>
      <w:tr>
        <w:trPr>
          <w:trHeight w:val="245"/>
        </w:trPr>
        <w:tc>
          <w:tcPr>
            <w:tcW w:w="4620" w:type="dxa"/>
            <w:vAlign w:val="bottom"/>
          </w:tcPr>
          <w:p>
            <w:pPr>
              <w:spacing w:after="0"/>
              <w:rPr>
                <w:sz w:val="20"/>
                <w:szCs w:val="20"/>
                <w:color w:val="auto"/>
              </w:rPr>
            </w:pPr>
            <w:r>
              <w:rPr>
                <w:rFonts w:ascii="Arial" w:cs="Arial" w:eastAsia="Arial" w:hAnsi="Arial"/>
                <w:sz w:val="14"/>
                <w:szCs w:val="14"/>
                <w:color w:val="auto"/>
              </w:rPr>
              <w:t>Unrecognized net loss</w:t>
            </w:r>
          </w:p>
        </w:tc>
        <w:tc>
          <w:tcPr>
            <w:tcW w:w="3760" w:type="dxa"/>
            <w:vAlign w:val="bottom"/>
          </w:tcPr>
          <w:p>
            <w:pPr>
              <w:jc w:val="right"/>
              <w:ind w:right="188"/>
              <w:spacing w:after="0"/>
              <w:rPr>
                <w:sz w:val="20"/>
                <w:szCs w:val="20"/>
                <w:color w:val="auto"/>
              </w:rPr>
            </w:pPr>
            <w:r>
              <w:rPr>
                <w:rFonts w:ascii="Arial" w:cs="Arial" w:eastAsia="Arial" w:hAnsi="Arial"/>
                <w:sz w:val="14"/>
                <w:szCs w:val="14"/>
                <w:color w:val="auto"/>
              </w:rPr>
              <w:t>384</w:t>
            </w:r>
          </w:p>
        </w:tc>
        <w:tc>
          <w:tcPr>
            <w:tcW w:w="1740" w:type="dxa"/>
            <w:vAlign w:val="bottom"/>
          </w:tcPr>
          <w:p>
            <w:pPr>
              <w:jc w:val="right"/>
              <w:ind w:right="308"/>
              <w:spacing w:after="0"/>
              <w:rPr>
                <w:sz w:val="20"/>
                <w:szCs w:val="20"/>
                <w:color w:val="auto"/>
              </w:rPr>
            </w:pPr>
            <w:r>
              <w:rPr>
                <w:rFonts w:ascii="Arial" w:cs="Arial" w:eastAsia="Arial" w:hAnsi="Arial"/>
                <w:sz w:val="14"/>
                <w:szCs w:val="14"/>
                <w:color w:val="auto"/>
              </w:rPr>
              <w:t>1,771</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8"/>
        </w:trPr>
        <w:tc>
          <w:tcPr>
            <w:tcW w:w="4620" w:type="dxa"/>
            <w:vAlign w:val="bottom"/>
          </w:tcPr>
          <w:p>
            <w:pPr>
              <w:spacing w:after="0"/>
              <w:rPr>
                <w:sz w:val="20"/>
                <w:szCs w:val="20"/>
                <w:color w:val="auto"/>
              </w:rPr>
            </w:pPr>
            <w:r>
              <w:rPr>
                <w:rFonts w:ascii="Arial" w:cs="Arial" w:eastAsia="Arial" w:hAnsi="Arial"/>
                <w:sz w:val="14"/>
                <w:szCs w:val="14"/>
                <w:color w:val="auto"/>
              </w:rPr>
              <w:t>Current liability</w:t>
            </w:r>
          </w:p>
        </w:tc>
        <w:tc>
          <w:tcPr>
            <w:tcW w:w="3760" w:type="dxa"/>
            <w:vAlign w:val="bottom"/>
          </w:tcPr>
          <w:p>
            <w:pPr>
              <w:jc w:val="right"/>
              <w:ind w:right="188"/>
              <w:spacing w:after="0"/>
              <w:rPr>
                <w:sz w:val="20"/>
                <w:szCs w:val="20"/>
                <w:color w:val="auto"/>
              </w:rPr>
            </w:pPr>
            <w:r>
              <w:rPr>
                <w:rFonts w:ascii="Arial" w:cs="Arial" w:eastAsia="Arial" w:hAnsi="Arial"/>
                <w:sz w:val="14"/>
                <w:szCs w:val="14"/>
                <w:color w:val="auto"/>
              </w:rPr>
              <w:t>3,585</w:t>
            </w:r>
          </w:p>
        </w:tc>
        <w:tc>
          <w:tcPr>
            <w:tcW w:w="1740" w:type="dxa"/>
            <w:vAlign w:val="bottom"/>
          </w:tcPr>
          <w:p>
            <w:pPr>
              <w:jc w:val="right"/>
              <w:ind w:right="308"/>
              <w:spacing w:after="0"/>
              <w:rPr>
                <w:sz w:val="20"/>
                <w:szCs w:val="20"/>
                <w:color w:val="auto"/>
              </w:rPr>
            </w:pPr>
            <w:r>
              <w:rPr>
                <w:rFonts w:ascii="Arial" w:cs="Arial" w:eastAsia="Arial" w:hAnsi="Arial"/>
                <w:sz w:val="14"/>
                <w:szCs w:val="14"/>
                <w:color w:val="auto"/>
              </w:rPr>
              <w:t>5,152</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Non-current asset (liability)</w:t>
      </w:r>
    </w:p>
    <w:p>
      <w:pPr>
        <w:spacing w:after="0" w:line="20" w:lineRule="exact"/>
        <w:rPr>
          <w:sz w:val="20"/>
          <w:szCs w:val="20"/>
          <w:color w:val="auto"/>
        </w:rPr>
      </w:pPr>
      <w:r>
        <w:rPr>
          <w:sz w:val="20"/>
          <w:szCs w:val="20"/>
          <w:color w:val="auto"/>
        </w:rPr>
        <w:br w:type="column"/>
      </w:r>
    </w:p>
    <w:p>
      <w:pPr>
        <w:spacing w:after="0"/>
        <w:tabs>
          <w:tab w:leader="none" w:pos="1580" w:val="left"/>
          <w:tab w:leader="none" w:pos="31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-3175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40" w:space="720"/>
            <w:col w:w="3360"/>
          </w:cols>
          <w:pgMar w:left="240" w:top="404" w:right="23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76"/>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Amounts included in other comprehensive</w:t>
            </w:r>
          </w:p>
        </w:tc>
        <w:tc>
          <w:tcPr>
            <w:tcW w:w="214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income consist of:</w:t>
            </w:r>
          </w:p>
        </w:tc>
        <w:tc>
          <w:tcPr>
            <w:tcW w:w="21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Actuarial loss</w:t>
            </w:r>
          </w:p>
        </w:tc>
        <w:tc>
          <w:tcPr>
            <w:tcW w:w="21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w:t>
            </w:r>
          </w:p>
        </w:tc>
      </w:tr>
      <w:tr>
        <w:trPr>
          <w:trHeight w:val="243"/>
        </w:trPr>
        <w:tc>
          <w:tcPr>
            <w:tcW w:w="5080" w:type="dxa"/>
            <w:vAlign w:val="bottom"/>
            <w:gridSpan w:val="2"/>
          </w:tcPr>
          <w:p>
            <w:pPr>
              <w:spacing w:after="0"/>
              <w:rPr>
                <w:sz w:val="20"/>
                <w:szCs w:val="20"/>
                <w:color w:val="auto"/>
              </w:rPr>
            </w:pPr>
            <w:r>
              <w:rPr>
                <w:rFonts w:ascii="Arial" w:cs="Arial" w:eastAsia="Arial" w:hAnsi="Arial"/>
                <w:sz w:val="14"/>
                <w:szCs w:val="14"/>
                <w:color w:val="auto"/>
              </w:rPr>
              <w:t>Less actuarial gain recognized in Net Periodic Benefit Cost</w:t>
            </w:r>
          </w:p>
        </w:tc>
        <w:tc>
          <w:tcPr>
            <w:tcW w:w="214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37"/>
        </w:trPr>
        <w:tc>
          <w:tcPr>
            <w:tcW w:w="20" w:type="dxa"/>
            <w:vAlign w:val="bottom"/>
          </w:tcPr>
          <w:p>
            <w:pPr>
              <w:spacing w:after="0"/>
              <w:rPr>
                <w:sz w:val="20"/>
                <w:szCs w:val="20"/>
                <w:color w:val="auto"/>
              </w:rPr>
            </w:pPr>
          </w:p>
        </w:tc>
        <w:tc>
          <w:tcPr>
            <w:tcW w:w="5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Amounts recognized in other comprehensive income</w:t>
            </w:r>
          </w:p>
        </w:tc>
        <w:tc>
          <w:tcPr>
            <w:tcW w:w="214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r>
      <w:tr>
        <w:trPr>
          <w:trHeight w:val="700"/>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Accumulated other comprehensive income</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not yet recognized as components of net</w:t>
            </w:r>
          </w:p>
        </w:tc>
        <w:tc>
          <w:tcPr>
            <w:tcW w:w="214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5"/>
                <w:szCs w:val="15"/>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periodic benefit</w:t>
            </w:r>
          </w:p>
        </w:tc>
        <w:tc>
          <w:tcPr>
            <w:tcW w:w="21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3"/>
        </w:trPr>
        <w:tc>
          <w:tcPr>
            <w:tcW w:w="20" w:type="dxa"/>
            <w:vAlign w:val="bottom"/>
          </w:tcPr>
          <w:p>
            <w:pPr>
              <w:spacing w:after="0"/>
              <w:rPr>
                <w:sz w:val="21"/>
                <w:szCs w:val="21"/>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gain</w:t>
            </w:r>
          </w:p>
        </w:tc>
        <w:tc>
          <w:tcPr>
            <w:tcW w:w="21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2,220</w:t>
            </w:r>
          </w:p>
        </w:tc>
      </w:tr>
      <w:tr>
        <w:trPr>
          <w:trHeight w:val="160"/>
        </w:trPr>
        <w:tc>
          <w:tcPr>
            <w:tcW w:w="20" w:type="dxa"/>
            <w:vAlign w:val="bottom"/>
          </w:tcPr>
          <w:p>
            <w:pPr>
              <w:spacing w:after="0"/>
              <w:rPr>
                <w:sz w:val="13"/>
                <w:szCs w:val="13"/>
                <w:color w:val="auto"/>
              </w:rPr>
            </w:pPr>
          </w:p>
        </w:tc>
        <w:tc>
          <w:tcPr>
            <w:tcW w:w="5060" w:type="dxa"/>
            <w:vAlign w:val="bottom"/>
          </w:tcPr>
          <w:p>
            <w:pPr>
              <w:spacing w:after="0" w:line="160" w:lineRule="exact"/>
              <w:rPr>
                <w:sz w:val="20"/>
                <w:szCs w:val="20"/>
                <w:color w:val="auto"/>
              </w:rPr>
            </w:pPr>
            <w:r>
              <w:rPr>
                <w:rFonts w:ascii="Arial" w:cs="Arial" w:eastAsia="Arial" w:hAnsi="Arial"/>
                <w:sz w:val="14"/>
                <w:szCs w:val="14"/>
                <w:b w:val="1"/>
                <w:bCs w:val="1"/>
                <w:color w:val="auto"/>
              </w:rPr>
              <w:t>Total Amount in Accumulated Other</w:t>
            </w:r>
          </w:p>
        </w:tc>
        <w:tc>
          <w:tcPr>
            <w:tcW w:w="2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5"/>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Comprehensive income</w:t>
            </w:r>
          </w:p>
        </w:tc>
        <w:tc>
          <w:tcPr>
            <w:tcW w:w="2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2,220</w:t>
            </w:r>
          </w:p>
        </w:tc>
      </w:tr>
      <w:tr>
        <w:trPr>
          <w:trHeight w:val="700"/>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Components of Net Periodic Benefit Cost</w:t>
            </w:r>
          </w:p>
        </w:tc>
        <w:tc>
          <w:tcPr>
            <w:tcW w:w="214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4"/>
                <w:szCs w:val="24"/>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w w:val="97"/>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214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w:t>
            </w:r>
          </w:p>
        </w:tc>
      </w:tr>
      <w:tr>
        <w:trPr>
          <w:trHeight w:val="243"/>
        </w:trPr>
        <w:tc>
          <w:tcPr>
            <w:tcW w:w="508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14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559</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730</w:t>
            </w:r>
          </w:p>
        </w:tc>
      </w:tr>
      <w:tr>
        <w:trPr>
          <w:trHeight w:val="243"/>
        </w:trPr>
        <w:tc>
          <w:tcPr>
            <w:tcW w:w="20" w:type="dxa"/>
            <w:vAlign w:val="bottom"/>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2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r>
      <w:tr>
        <w:trPr>
          <w:trHeight w:val="243"/>
        </w:trPr>
        <w:tc>
          <w:tcPr>
            <w:tcW w:w="5080" w:type="dxa"/>
            <w:vAlign w:val="bottom"/>
            <w:gridSpan w:val="2"/>
          </w:tcPr>
          <w:p>
            <w:pPr>
              <w:spacing w:after="0"/>
              <w:rPr>
                <w:sz w:val="20"/>
                <w:szCs w:val="20"/>
                <w:color w:val="auto"/>
              </w:rPr>
            </w:pPr>
            <w:r>
              <w:rPr>
                <w:rFonts w:ascii="Arial" w:cs="Arial" w:eastAsia="Arial" w:hAnsi="Arial"/>
                <w:sz w:val="14"/>
                <w:szCs w:val="14"/>
                <w:color w:val="auto"/>
              </w:rPr>
              <w:t>Amortization of net loss</w:t>
            </w:r>
          </w:p>
        </w:tc>
        <w:tc>
          <w:tcPr>
            <w:tcW w:w="214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37"/>
        </w:trPr>
        <w:tc>
          <w:tcPr>
            <w:tcW w:w="20" w:type="dxa"/>
            <w:vAlign w:val="bottom"/>
          </w:tcPr>
          <w:p>
            <w:pPr>
              <w:spacing w:after="0"/>
              <w:rPr>
                <w:sz w:val="20"/>
                <w:szCs w:val="20"/>
                <w:color w:val="auto"/>
              </w:rPr>
            </w:pPr>
          </w:p>
        </w:tc>
        <w:tc>
          <w:tcPr>
            <w:tcW w:w="50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Periodic Benefit Cost</w:t>
            </w:r>
          </w:p>
        </w:tc>
        <w:tc>
          <w:tcPr>
            <w:tcW w:w="214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962</w:t>
            </w:r>
          </w:p>
        </w:tc>
        <w:tc>
          <w:tcPr>
            <w:tcW w:w="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433</w:t>
            </w:r>
          </w:p>
        </w:tc>
        <w:tc>
          <w:tcPr>
            <w:tcW w:w="38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837</w:t>
            </w:r>
          </w:p>
        </w:tc>
      </w:tr>
    </w:tbl>
    <w:p>
      <w:pPr>
        <w:spacing w:after="0" w:line="265"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estimated net loss and prior service cost for the defined benefit pension plans that will be amortized from accumulated other comprehensive income into net periodic benefit cost over the next fiscal year are U.S.$0.04m and nil,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20"/>
                <w:szCs w:val="20"/>
                <w:color w:val="auto"/>
              </w:rPr>
            </w:pPr>
            <w:r>
              <w:rPr>
                <w:rFonts w:ascii="Arial" w:cs="Arial" w:eastAsia="Arial" w:hAnsi="Arial"/>
                <w:sz w:val="14"/>
                <w:szCs w:val="14"/>
                <w:b w:val="1"/>
                <w:bCs w:val="1"/>
                <w:color w:val="auto"/>
              </w:rPr>
              <w:t>Weighted average assumptions to determine</w:t>
            </w:r>
          </w:p>
        </w:tc>
        <w:tc>
          <w:tcPr>
            <w:tcW w:w="3380" w:type="dxa"/>
            <w:vAlign w:val="bottom"/>
          </w:tcPr>
          <w:p>
            <w:pPr>
              <w:jc w:val="right"/>
              <w:ind w:right="368"/>
              <w:spacing w:after="0"/>
              <w:rPr>
                <w:sz w:val="20"/>
                <w:szCs w:val="20"/>
                <w:color w:val="auto"/>
              </w:rPr>
            </w:pPr>
            <w:r>
              <w:rPr>
                <w:rFonts w:ascii="Arial" w:cs="Arial" w:eastAsia="Arial" w:hAnsi="Arial"/>
                <w:sz w:val="14"/>
                <w:szCs w:val="14"/>
                <w:b w:val="1"/>
                <w:bCs w:val="1"/>
                <w:color w:val="auto"/>
              </w:rPr>
              <w:t>May 31,</w:t>
            </w: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180" w:type="dxa"/>
            <w:vAlign w:val="bottom"/>
          </w:tcPr>
          <w:p>
            <w:pPr>
              <w:spacing w:after="0"/>
              <w:rPr>
                <w:sz w:val="20"/>
                <w:szCs w:val="20"/>
                <w:color w:val="auto"/>
              </w:rPr>
            </w:pPr>
            <w:r>
              <w:rPr>
                <w:rFonts w:ascii="Arial" w:cs="Arial" w:eastAsia="Arial" w:hAnsi="Arial"/>
                <w:sz w:val="14"/>
                <w:szCs w:val="14"/>
                <w:b w:val="1"/>
                <w:bCs w:val="1"/>
                <w:color w:val="auto"/>
              </w:rPr>
              <w:t>benefit obligation</w:t>
            </w:r>
          </w:p>
        </w:tc>
        <w:tc>
          <w:tcPr>
            <w:tcW w:w="3380" w:type="dxa"/>
            <w:vAlign w:val="bottom"/>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2006</w:t>
            </w: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33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5.4%</w:t>
            </w:r>
          </w:p>
        </w:tc>
        <w:tc>
          <w:tcPr>
            <w:tcW w:w="1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43"/>
        </w:trPr>
        <w:tc>
          <w:tcPr>
            <w:tcW w:w="518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3380" w:type="dxa"/>
            <w:vAlign w:val="bottom"/>
          </w:tcPr>
          <w:p>
            <w:pPr>
              <w:jc w:val="right"/>
              <w:ind w:right="248"/>
              <w:spacing w:after="0"/>
              <w:rPr>
                <w:sz w:val="20"/>
                <w:szCs w:val="20"/>
                <w:color w:val="auto"/>
              </w:rPr>
            </w:pPr>
            <w:r>
              <w:rPr>
                <w:rFonts w:ascii="Arial" w:cs="Arial" w:eastAsia="Arial" w:hAnsi="Arial"/>
                <w:sz w:val="14"/>
                <w:szCs w:val="14"/>
                <w:color w:val="auto"/>
              </w:rPr>
              <w:t>4.1%</w:t>
            </w: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4.4%</w:t>
            </w:r>
          </w:p>
        </w:tc>
        <w:tc>
          <w:tcPr>
            <w:tcW w:w="12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Expected rate of return on plan assets</w:t>
            </w:r>
          </w:p>
        </w:tc>
        <w:tc>
          <w:tcPr>
            <w:tcW w:w="33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6.5%</w:t>
            </w:r>
          </w:p>
        </w:tc>
        <w:tc>
          <w:tcPr>
            <w:tcW w:w="1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bl>
    <w:p>
      <w:pPr>
        <w:spacing w:after="0" w:line="265" w:lineRule="exact"/>
        <w:rPr>
          <w:sz w:val="20"/>
          <w:szCs w:val="20"/>
          <w:color w:val="auto"/>
        </w:rPr>
      </w:pPr>
    </w:p>
    <w:p>
      <w:pPr>
        <w:ind w:right="380"/>
        <w:spacing w:after="0" w:line="293" w:lineRule="auto"/>
        <w:rPr>
          <w:sz w:val="20"/>
          <w:szCs w:val="20"/>
          <w:color w:val="auto"/>
        </w:rPr>
      </w:pPr>
      <w:r>
        <w:rPr>
          <w:rFonts w:ascii="Arial" w:cs="Arial" w:eastAsia="Arial" w:hAnsi="Arial"/>
          <w:sz w:val="14"/>
          <w:szCs w:val="14"/>
          <w:color w:val="auto"/>
        </w:rPr>
        <w:t>The assets of the scheme are invested in a unitized with profits policy. The expected long-term rate of return on assets of 6.8% was calculated as the value of the unitized with profits fund after application of a market value reduction factor. The underlying asset split of the fund is shown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20"/>
                <w:szCs w:val="20"/>
                <w:color w:val="auto"/>
              </w:rPr>
            </w:pPr>
            <w:r>
              <w:rPr>
                <w:rFonts w:ascii="Arial" w:cs="Arial" w:eastAsia="Arial" w:hAnsi="Arial"/>
                <w:sz w:val="14"/>
                <w:szCs w:val="14"/>
                <w:b w:val="1"/>
                <w:bCs w:val="1"/>
                <w:color w:val="auto"/>
              </w:rPr>
              <w:t>Asset Category</w:t>
            </w:r>
          </w:p>
        </w:tc>
        <w:tc>
          <w:tcPr>
            <w:tcW w:w="4280" w:type="dxa"/>
            <w:vAlign w:val="bottom"/>
          </w:tcPr>
          <w:p>
            <w:pPr>
              <w:jc w:val="right"/>
              <w:ind w:right="368"/>
              <w:spacing w:after="0"/>
              <w:rPr>
                <w:sz w:val="20"/>
                <w:szCs w:val="20"/>
                <w:color w:val="auto"/>
              </w:rPr>
            </w:pPr>
            <w:r>
              <w:rPr>
                <w:rFonts w:ascii="Arial" w:cs="Arial" w:eastAsia="Arial" w:hAnsi="Arial"/>
                <w:sz w:val="14"/>
                <w:szCs w:val="14"/>
                <w:b w:val="1"/>
                <w:bCs w:val="1"/>
                <w:color w:val="auto"/>
              </w:rPr>
              <w:t>May 31,</w:t>
            </w: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280" w:type="dxa"/>
            <w:vAlign w:val="bottom"/>
          </w:tcPr>
          <w:p>
            <w:pPr>
              <w:spacing w:after="0"/>
              <w:rPr>
                <w:sz w:val="16"/>
                <w:szCs w:val="16"/>
                <w:color w:val="auto"/>
              </w:rPr>
            </w:pPr>
          </w:p>
        </w:tc>
        <w:tc>
          <w:tcPr>
            <w:tcW w:w="4280" w:type="dxa"/>
            <w:vAlign w:val="bottom"/>
          </w:tcPr>
          <w:p>
            <w:pPr>
              <w:jc w:val="right"/>
              <w:ind w:right="368"/>
              <w:spacing w:after="0"/>
              <w:rPr>
                <w:sz w:val="20"/>
                <w:szCs w:val="20"/>
                <w:color w:val="auto"/>
              </w:rPr>
            </w:pPr>
            <w:r>
              <w:rPr>
                <w:rFonts w:ascii="Arial" w:cs="Arial" w:eastAsia="Arial" w:hAnsi="Arial"/>
                <w:sz w:val="14"/>
                <w:szCs w:val="14"/>
                <w:b w:val="1"/>
                <w:bCs w:val="1"/>
                <w:color w:val="auto"/>
              </w:rPr>
              <w:t>2005</w:t>
            </w:r>
          </w:p>
        </w:tc>
        <w:tc>
          <w:tcPr>
            <w:tcW w:w="1600" w:type="dxa"/>
            <w:vAlign w:val="bottom"/>
          </w:tcPr>
          <w:p>
            <w:pPr>
              <w:jc w:val="right"/>
              <w:ind w:right="348"/>
              <w:spacing w:after="0"/>
              <w:rPr>
                <w:sz w:val="20"/>
                <w:szCs w:val="20"/>
                <w:color w:val="auto"/>
              </w:rPr>
            </w:pPr>
            <w:r>
              <w:rPr>
                <w:rFonts w:ascii="Arial" w:cs="Arial" w:eastAsia="Arial" w:hAnsi="Arial"/>
                <w:sz w:val="14"/>
                <w:szCs w:val="14"/>
                <w:b w:val="1"/>
                <w:bCs w:val="1"/>
                <w:color w:val="auto"/>
              </w:rPr>
              <w:t>2005</w:t>
            </w: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2006</w:t>
            </w:r>
          </w:p>
        </w:tc>
      </w:tr>
      <w:tr>
        <w:trPr>
          <w:trHeight w:val="243"/>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42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28%</w:t>
            </w:r>
          </w:p>
        </w:tc>
        <w:tc>
          <w:tcPr>
            <w:tcW w:w="1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30%</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243"/>
        </w:trPr>
        <w:tc>
          <w:tcPr>
            <w:tcW w:w="4280" w:type="dxa"/>
            <w:vAlign w:val="bottom"/>
          </w:tcPr>
          <w:p>
            <w:pPr>
              <w:spacing w:after="0"/>
              <w:rPr>
                <w:sz w:val="20"/>
                <w:szCs w:val="20"/>
                <w:color w:val="auto"/>
              </w:rPr>
            </w:pPr>
            <w:r>
              <w:rPr>
                <w:rFonts w:ascii="Arial" w:cs="Arial" w:eastAsia="Arial" w:hAnsi="Arial"/>
                <w:sz w:val="14"/>
                <w:szCs w:val="14"/>
                <w:color w:val="auto"/>
              </w:rPr>
              <w:t>Bonds</w:t>
            </w:r>
          </w:p>
        </w:tc>
        <w:tc>
          <w:tcPr>
            <w:tcW w:w="4280" w:type="dxa"/>
            <w:vAlign w:val="bottom"/>
          </w:tcPr>
          <w:p>
            <w:pPr>
              <w:jc w:val="right"/>
              <w:ind w:right="248"/>
              <w:spacing w:after="0"/>
              <w:rPr>
                <w:sz w:val="20"/>
                <w:szCs w:val="20"/>
                <w:color w:val="auto"/>
              </w:rPr>
            </w:pPr>
            <w:r>
              <w:rPr>
                <w:rFonts w:ascii="Arial" w:cs="Arial" w:eastAsia="Arial" w:hAnsi="Arial"/>
                <w:sz w:val="14"/>
                <w:szCs w:val="14"/>
                <w:color w:val="auto"/>
              </w:rPr>
              <w:t>51%</w:t>
            </w: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49%</w:t>
            </w: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3"/>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Property</w:t>
            </w:r>
          </w:p>
        </w:tc>
        <w:tc>
          <w:tcPr>
            <w:tcW w:w="42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16%</w:t>
            </w:r>
          </w:p>
        </w:tc>
        <w:tc>
          <w:tcPr>
            <w:tcW w:w="1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18%</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4280" w:type="dxa"/>
            <w:vAlign w:val="bottom"/>
          </w:tcPr>
          <w:p>
            <w:pPr>
              <w:spacing w:after="0"/>
              <w:rPr>
                <w:sz w:val="20"/>
                <w:szCs w:val="20"/>
                <w:color w:val="auto"/>
              </w:rPr>
            </w:pPr>
            <w:r>
              <w:rPr>
                <w:rFonts w:ascii="Arial" w:cs="Arial" w:eastAsia="Arial" w:hAnsi="Arial"/>
                <w:sz w:val="14"/>
                <w:szCs w:val="14"/>
                <w:color w:val="auto"/>
              </w:rPr>
              <w:t>Cash/ other</w:t>
            </w:r>
          </w:p>
        </w:tc>
        <w:tc>
          <w:tcPr>
            <w:tcW w:w="4280" w:type="dxa"/>
            <w:vAlign w:val="bottom"/>
          </w:tcPr>
          <w:p>
            <w:pPr>
              <w:jc w:val="right"/>
              <w:ind w:right="248"/>
              <w:spacing w:after="0"/>
              <w:rPr>
                <w:sz w:val="20"/>
                <w:szCs w:val="20"/>
                <w:color w:val="auto"/>
              </w:rPr>
            </w:pPr>
            <w:r>
              <w:rPr>
                <w:rFonts w:ascii="Arial" w:cs="Arial" w:eastAsia="Arial" w:hAnsi="Arial"/>
                <w:sz w:val="14"/>
                <w:szCs w:val="14"/>
                <w:color w:val="auto"/>
              </w:rPr>
              <w:t>5%</w:t>
            </w:r>
          </w:p>
        </w:tc>
        <w:tc>
          <w:tcPr>
            <w:tcW w:w="1600" w:type="dxa"/>
            <w:vAlign w:val="bottom"/>
          </w:tcPr>
          <w:p>
            <w:pPr>
              <w:jc w:val="right"/>
              <w:ind w:right="228"/>
              <w:spacing w:after="0"/>
              <w:rPr>
                <w:sz w:val="20"/>
                <w:szCs w:val="20"/>
                <w:color w:val="auto"/>
              </w:rPr>
            </w:pPr>
            <w:r>
              <w:rPr>
                <w:rFonts w:ascii="Arial" w:cs="Arial" w:eastAsia="Arial" w:hAnsi="Arial"/>
                <w:sz w:val="14"/>
                <w:szCs w:val="14"/>
                <w:color w:val="auto"/>
              </w:rPr>
              <w:t>3%</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4280" w:type="dxa"/>
            <w:vAlign w:val="bottom"/>
            <w:tcBorders>
              <w:bottom w:val="single" w:sz="8" w:color="auto"/>
            </w:tcBorders>
            <w:shd w:val="clear" w:color="auto" w:fill="CCEEFF"/>
          </w:tcPr>
          <w:p>
            <w:pPr>
              <w:spacing w:after="0"/>
              <w:rPr>
                <w:sz w:val="21"/>
                <w:szCs w:val="21"/>
                <w:color w:val="auto"/>
              </w:rPr>
            </w:pPr>
          </w:p>
        </w:tc>
        <w:tc>
          <w:tcPr>
            <w:tcW w:w="4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r>
      <w:tr>
        <w:trPr>
          <w:trHeight w:val="237"/>
        </w:trPr>
        <w:tc>
          <w:tcPr>
            <w:tcW w:w="4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100%</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bl>
    <w:p>
      <w:pPr>
        <w:spacing w:after="0" w:line="265" w:lineRule="exact"/>
        <w:rPr>
          <w:sz w:val="20"/>
          <w:szCs w:val="20"/>
          <w:color w:val="auto"/>
        </w:rPr>
      </w:pPr>
    </w:p>
    <w:p>
      <w:pPr>
        <w:ind w:right="340"/>
        <w:spacing w:after="0" w:line="293" w:lineRule="auto"/>
        <w:rPr>
          <w:sz w:val="20"/>
          <w:szCs w:val="20"/>
          <w:color w:val="auto"/>
        </w:rPr>
      </w:pPr>
      <w:r>
        <w:rPr>
          <w:rFonts w:ascii="Arial" w:cs="Arial" w:eastAsia="Arial" w:hAnsi="Arial"/>
          <w:sz w:val="14"/>
          <w:szCs w:val="14"/>
          <w:color w:val="auto"/>
        </w:rPr>
        <w:t>The accumulated benefit obligation for all defined pension plans was $17.8 million at December 31, 2006 (December 2005: $13.2, May 2005: $11.3 million). With effect from July 1, 2003, the scheme was closed to new entrants. The Company expects to contribute $0.4 million to its pension fund in the year ending December 31, 2007.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20"/>
                <w:szCs w:val="20"/>
                <w:color w:val="auto"/>
              </w:rPr>
            </w:pPr>
            <w:r>
              <w:rPr>
                <w:rFonts w:ascii="Arial" w:cs="Arial" w:eastAsia="Arial" w:hAnsi="Arial"/>
                <w:sz w:val="14"/>
                <w:szCs w:val="14"/>
                <w:b w:val="1"/>
                <w:bCs w:val="1"/>
                <w:color w:val="auto"/>
              </w:rPr>
              <w:t>Accumulated other comprehensive income expected</w:t>
            </w:r>
          </w:p>
        </w:tc>
        <w:tc>
          <w:tcPr>
            <w:tcW w:w="1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60" w:type="dxa"/>
            <w:vAlign w:val="bottom"/>
          </w:tcPr>
          <w:p>
            <w:pPr>
              <w:spacing w:after="0"/>
              <w:rPr>
                <w:sz w:val="20"/>
                <w:szCs w:val="20"/>
                <w:color w:val="auto"/>
              </w:rPr>
            </w:pPr>
            <w:r>
              <w:rPr>
                <w:rFonts w:ascii="Arial" w:cs="Arial" w:eastAsia="Arial" w:hAnsi="Arial"/>
                <w:sz w:val="14"/>
                <w:szCs w:val="14"/>
                <w:b w:val="1"/>
                <w:bCs w:val="1"/>
                <w:color w:val="auto"/>
              </w:rPr>
              <w:t>to be recognized as periodic benefit cost over the</w:t>
            </w:r>
          </w:p>
        </w:tc>
        <w:tc>
          <w:tcPr>
            <w:tcW w:w="18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360" w:type="dxa"/>
            <w:vAlign w:val="bottom"/>
          </w:tcPr>
          <w:p>
            <w:pPr>
              <w:spacing w:after="0"/>
              <w:rPr>
                <w:sz w:val="20"/>
                <w:szCs w:val="20"/>
                <w:color w:val="auto"/>
              </w:rPr>
            </w:pPr>
            <w:r>
              <w:rPr>
                <w:rFonts w:ascii="Arial" w:cs="Arial" w:eastAsia="Arial" w:hAnsi="Arial"/>
                <w:sz w:val="14"/>
                <w:szCs w:val="14"/>
                <w:b w:val="1"/>
                <w:bCs w:val="1"/>
                <w:color w:val="auto"/>
              </w:rPr>
              <w:t>next financial year</w:t>
            </w:r>
          </w:p>
        </w:tc>
        <w:tc>
          <w:tcPr>
            <w:tcW w:w="18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42"/>
        </w:trPr>
        <w:tc>
          <w:tcPr>
            <w:tcW w:w="83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gain</w:t>
            </w:r>
          </w:p>
        </w:tc>
        <w:tc>
          <w:tcPr>
            <w:tcW w:w="1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441"/>
        </w:trPr>
        <w:tc>
          <w:tcPr>
            <w:tcW w:w="8360" w:type="dxa"/>
            <w:vAlign w:val="bottom"/>
          </w:tcPr>
          <w:p>
            <w:pPr>
              <w:spacing w:after="0"/>
              <w:rPr>
                <w:sz w:val="20"/>
                <w:szCs w:val="20"/>
                <w:color w:val="auto"/>
              </w:rPr>
            </w:pPr>
            <w:r>
              <w:rPr>
                <w:rFonts w:ascii="Arial" w:cs="Arial" w:eastAsia="Arial" w:hAnsi="Arial"/>
                <w:sz w:val="14"/>
                <w:szCs w:val="14"/>
                <w:color w:val="auto"/>
              </w:rPr>
              <w:t>The following annual benefit payments, which reflect expected future service, as appropriate, are expected to be paid.</w:t>
            </w: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360" w:type="dxa"/>
            <w:vAlign w:val="bottom"/>
          </w:tcPr>
          <w:p>
            <w:pPr>
              <w:spacing w:after="0"/>
              <w:rPr>
                <w:sz w:val="20"/>
                <w:szCs w:val="20"/>
                <w:color w:val="auto"/>
              </w:rPr>
            </w:pPr>
            <w:r>
              <w:rPr>
                <w:rFonts w:ascii="Arial" w:cs="Arial" w:eastAsia="Arial" w:hAnsi="Arial"/>
                <w:sz w:val="14"/>
                <w:szCs w:val="14"/>
                <w:b w:val="1"/>
                <w:bCs w:val="1"/>
                <w:color w:val="auto"/>
              </w:rPr>
              <w:t>Estimated Future benefit payments</w:t>
            </w:r>
          </w:p>
        </w:tc>
        <w:tc>
          <w:tcPr>
            <w:tcW w:w="1860" w:type="dxa"/>
            <w:vAlign w:val="bottom"/>
          </w:tcPr>
          <w:p>
            <w:pPr>
              <w:spacing w:after="0"/>
              <w:rPr>
                <w:sz w:val="24"/>
                <w:szCs w:val="2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68"/>
        </w:trPr>
        <w:tc>
          <w:tcPr>
            <w:tcW w:w="83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3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1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0"/>
                <w:szCs w:val="20"/>
                <w:color w:val="auto"/>
              </w:rPr>
            </w:pPr>
            <w:r>
              <w:rPr>
                <w:rFonts w:ascii="Arial" w:cs="Arial" w:eastAsia="Arial" w:hAnsi="Arial"/>
                <w:sz w:val="14"/>
                <w:szCs w:val="14"/>
                <w:color w:val="auto"/>
              </w:rPr>
              <w:t>2008</w:t>
            </w:r>
          </w:p>
        </w:tc>
        <w:tc>
          <w:tcPr>
            <w:tcW w:w="18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2009</w:t>
            </w:r>
          </w:p>
        </w:tc>
        <w:tc>
          <w:tcPr>
            <w:tcW w:w="18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3"/>
        </w:trPr>
        <w:tc>
          <w:tcPr>
            <w:tcW w:w="8360" w:type="dxa"/>
            <w:vAlign w:val="bottom"/>
          </w:tcPr>
          <w:p>
            <w:pPr>
              <w:spacing w:after="0"/>
              <w:rPr>
                <w:sz w:val="20"/>
                <w:szCs w:val="20"/>
                <w:color w:val="auto"/>
              </w:rPr>
            </w:pPr>
            <w:r>
              <w:rPr>
                <w:rFonts w:ascii="Arial" w:cs="Arial" w:eastAsia="Arial" w:hAnsi="Arial"/>
                <w:sz w:val="14"/>
                <w:szCs w:val="14"/>
                <w:color w:val="auto"/>
              </w:rPr>
              <w:t>2010</w:t>
            </w:r>
          </w:p>
        </w:tc>
        <w:tc>
          <w:tcPr>
            <w:tcW w:w="18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3"/>
        </w:trPr>
        <w:tc>
          <w:tcPr>
            <w:tcW w:w="8360" w:type="dxa"/>
            <w:vAlign w:val="bottom"/>
            <w:shd w:val="clear" w:color="auto" w:fill="CCEEFF"/>
          </w:tcPr>
          <w:p>
            <w:pPr>
              <w:spacing w:after="0"/>
              <w:rPr>
                <w:sz w:val="20"/>
                <w:szCs w:val="20"/>
                <w:color w:val="auto"/>
              </w:rPr>
            </w:pPr>
            <w:r>
              <w:rPr>
                <w:rFonts w:ascii="Arial" w:cs="Arial" w:eastAsia="Arial" w:hAnsi="Arial"/>
                <w:sz w:val="14"/>
                <w:szCs w:val="14"/>
                <w:color w:val="auto"/>
              </w:rPr>
              <w:t>2011</w:t>
            </w:r>
          </w:p>
        </w:tc>
        <w:tc>
          <w:tcPr>
            <w:tcW w:w="18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45"/>
        </w:trPr>
        <w:tc>
          <w:tcPr>
            <w:tcW w:w="8360" w:type="dxa"/>
            <w:vAlign w:val="bottom"/>
          </w:tcPr>
          <w:p>
            <w:pPr>
              <w:spacing w:after="0"/>
              <w:rPr>
                <w:sz w:val="20"/>
                <w:szCs w:val="20"/>
                <w:color w:val="auto"/>
              </w:rPr>
            </w:pPr>
            <w:r>
              <w:rPr>
                <w:rFonts w:ascii="Arial" w:cs="Arial" w:eastAsia="Arial" w:hAnsi="Arial"/>
                <w:sz w:val="14"/>
                <w:szCs w:val="14"/>
                <w:color w:val="auto"/>
              </w:rPr>
              <w:t>Years 2012 - 2016</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the Scheme assets. The above cash flows have been estimated on the assumption that pension will be paid monthly out of the Scheme assets. If annuities are purchased, then the expected benefit payments will be significantly different from those shown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20"/>
                <w:szCs w:val="20"/>
                <w:color w:val="auto"/>
              </w:rPr>
            </w:pPr>
            <w:r>
              <w:rPr>
                <w:rFonts w:ascii="Arial" w:cs="Arial" w:eastAsia="Arial" w:hAnsi="Arial"/>
                <w:sz w:val="14"/>
                <w:szCs w:val="14"/>
                <w:b w:val="1"/>
                <w:bCs w:val="1"/>
                <w:color w:val="auto"/>
              </w:rPr>
              <w:t>Transitional disclosure of impact of FAS 158</w:t>
            </w:r>
          </w:p>
        </w:tc>
        <w:tc>
          <w:tcPr>
            <w:tcW w:w="27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Before</w:t>
            </w:r>
          </w:p>
        </w:tc>
        <w:tc>
          <w:tcPr>
            <w:tcW w:w="44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auto"/>
              </w:rPr>
              <w:t>Adjustments</w:t>
            </w:r>
          </w:p>
        </w:tc>
        <w:tc>
          <w:tcPr>
            <w:tcW w:w="30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After</w:t>
            </w:r>
          </w:p>
        </w:tc>
      </w:tr>
      <w:tr>
        <w:trPr>
          <w:trHeight w:val="176"/>
        </w:trPr>
        <w:tc>
          <w:tcPr>
            <w:tcW w:w="4180" w:type="dxa"/>
            <w:vAlign w:val="bottom"/>
          </w:tcPr>
          <w:p>
            <w:pPr>
              <w:spacing w:after="0"/>
              <w:rPr>
                <w:sz w:val="20"/>
                <w:szCs w:val="20"/>
                <w:color w:val="auto"/>
              </w:rPr>
            </w:pPr>
            <w:r>
              <w:rPr>
                <w:rFonts w:ascii="Arial" w:cs="Arial" w:eastAsia="Arial" w:hAnsi="Arial"/>
                <w:sz w:val="14"/>
                <w:szCs w:val="14"/>
                <w:b w:val="1"/>
                <w:bCs w:val="1"/>
                <w:color w:val="auto"/>
              </w:rPr>
              <w:t>in the first year of implementation:</w:t>
            </w:r>
          </w:p>
        </w:tc>
        <w:tc>
          <w:tcPr>
            <w:tcW w:w="274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implementation of</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implementation</w:t>
            </w:r>
          </w:p>
        </w:tc>
      </w:tr>
      <w:tr>
        <w:trPr>
          <w:trHeight w:val="186"/>
        </w:trPr>
        <w:tc>
          <w:tcPr>
            <w:tcW w:w="4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FAS158</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of FAS158</w:t>
            </w:r>
          </w:p>
        </w:tc>
      </w:tr>
      <w:tr>
        <w:trPr>
          <w:trHeight w:val="242"/>
        </w:trPr>
        <w:tc>
          <w:tcPr>
            <w:tcW w:w="41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Liability for pension benefits</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4,724</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4,724</w:t>
            </w:r>
          </w:p>
        </w:tc>
      </w:tr>
      <w:tr>
        <w:trPr>
          <w:trHeight w:val="243"/>
        </w:trPr>
        <w:tc>
          <w:tcPr>
            <w:tcW w:w="4180" w:type="dxa"/>
            <w:vAlign w:val="bottom"/>
          </w:tcPr>
          <w:p>
            <w:pPr>
              <w:spacing w:after="0"/>
              <w:rPr>
                <w:sz w:val="20"/>
                <w:szCs w:val="20"/>
                <w:color w:val="auto"/>
              </w:rPr>
            </w:pPr>
            <w:r>
              <w:rPr>
                <w:rFonts w:ascii="Arial" w:cs="Arial" w:eastAsia="Arial" w:hAnsi="Arial"/>
                <w:sz w:val="14"/>
                <w:szCs w:val="14"/>
                <w:color w:val="auto"/>
              </w:rPr>
              <w:t>Deferred income taxes</w:t>
            </w:r>
          </w:p>
        </w:tc>
        <w:tc>
          <w:tcPr>
            <w:tcW w:w="274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3,437</w:t>
            </w:r>
          </w:p>
        </w:tc>
        <w:tc>
          <w:tcPr>
            <w:tcW w:w="44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3,437</w:t>
            </w: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7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173,603</w:t>
            </w:r>
          </w:p>
        </w:tc>
        <w:tc>
          <w:tcPr>
            <w:tcW w:w="4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173,603</w:t>
            </w:r>
          </w:p>
        </w:tc>
      </w:tr>
      <w:tr>
        <w:trPr>
          <w:trHeight w:val="243"/>
        </w:trPr>
        <w:tc>
          <w:tcPr>
            <w:tcW w:w="418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74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14,500</w:t>
            </w:r>
          </w:p>
        </w:tc>
        <w:tc>
          <w:tcPr>
            <w:tcW w:w="440" w:type="dxa"/>
            <w:vAlign w:val="bottom"/>
          </w:tcPr>
          <w:p>
            <w:pPr>
              <w:spacing w:after="0"/>
              <w:rPr>
                <w:sz w:val="21"/>
                <w:szCs w:val="21"/>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14,515</w:t>
            </w:r>
          </w:p>
        </w:tc>
      </w:tr>
      <w:tr>
        <w:trPr>
          <w:trHeight w:val="243"/>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Retained earnings</w:t>
            </w:r>
          </w:p>
        </w:tc>
        <w:tc>
          <w:tcPr>
            <w:tcW w:w="27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152,142</w:t>
            </w:r>
          </w:p>
        </w:tc>
        <w:tc>
          <w:tcPr>
            <w:tcW w:w="4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152,127</w:t>
            </w:r>
          </w:p>
        </w:tc>
      </w:tr>
      <w:tr>
        <w:trPr>
          <w:trHeight w:val="441"/>
        </w:trPr>
        <w:tc>
          <w:tcPr>
            <w:tcW w:w="4180" w:type="dxa"/>
            <w:vAlign w:val="bottom"/>
          </w:tcPr>
          <w:p>
            <w:pPr>
              <w:spacing w:after="0"/>
              <w:rPr>
                <w:sz w:val="24"/>
                <w:szCs w:val="24"/>
                <w:color w:val="auto"/>
              </w:rPr>
            </w:pPr>
          </w:p>
        </w:tc>
        <w:tc>
          <w:tcPr>
            <w:tcW w:w="2740" w:type="dxa"/>
            <w:vAlign w:val="bottom"/>
          </w:tcPr>
          <w:p>
            <w:pPr>
              <w:jc w:val="right"/>
              <w:ind w:right="1068"/>
              <w:spacing w:after="0"/>
              <w:rPr>
                <w:sz w:val="20"/>
                <w:szCs w:val="20"/>
                <w:color w:val="auto"/>
              </w:rPr>
            </w:pPr>
            <w:r>
              <w:rPr>
                <w:rFonts w:ascii="Arial" w:cs="Arial" w:eastAsia="Arial" w:hAnsi="Arial"/>
                <w:sz w:val="14"/>
                <w:szCs w:val="14"/>
                <w:color w:val="auto"/>
              </w:rPr>
              <w:t>71</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7"/>
        </w:trPr>
        <w:tc>
          <w:tcPr>
            <w:tcW w:w="418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auto"/>
        </w:rPr>
        <w:t>Details of the Medeval Group Limited pension and life assurance scheme.</w:t>
      </w:r>
    </w:p>
    <w:p>
      <w:pPr>
        <w:spacing w:after="0" w:line="289"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The assets of the Scheme are invested in the Norwich Union With-Profit Fund and the Legal &amp; General Global Equity Fixed Weights (50:50) Index Fund. The aim of the Index Fund is to capture the returns of the UK and overseas equity markets with a more even spread of overseas equities than would be provided by market capitalization or consensus weights. The aim of the With-Profits Fund is to provide good investment returns through steady growth over the duration of the policy. Although market fluctuations of investment return are evened through the declaration of bonuses, the investment objective is to provide payments which reflects the actual investment returns achieved by the Scheme over the long term.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Allocation</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The asset distribution of the Legal &amp; General Fund is 50% UK Equities and 50% global equities. The asset distribution of the With-Profits Fund (the most up to date available)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20"/>
                <w:szCs w:val="20"/>
                <w:color w:val="auto"/>
              </w:rPr>
            </w:pPr>
            <w:r>
              <w:rPr>
                <w:rFonts w:ascii="Arial" w:cs="Arial" w:eastAsia="Arial" w:hAnsi="Arial"/>
                <w:sz w:val="14"/>
                <w:szCs w:val="14"/>
                <w:b w:val="1"/>
                <w:bCs w:val="1"/>
                <w:color w:val="auto"/>
              </w:rPr>
              <w:t>Asset Category</w:t>
            </w:r>
          </w:p>
        </w:tc>
        <w:tc>
          <w:tcPr>
            <w:tcW w:w="46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18"/>
        </w:trPr>
        <w:tc>
          <w:tcPr>
            <w:tcW w:w="4480" w:type="dxa"/>
            <w:vAlign w:val="bottom"/>
          </w:tcPr>
          <w:p>
            <w:pPr>
              <w:spacing w:after="0"/>
              <w:rPr>
                <w:sz w:val="18"/>
                <w:szCs w:val="18"/>
                <w:color w:val="auto"/>
              </w:rPr>
            </w:pPr>
          </w:p>
        </w:tc>
        <w:tc>
          <w:tcPr>
            <w:tcW w:w="4600" w:type="dxa"/>
            <w:vAlign w:val="bottom"/>
          </w:tcPr>
          <w:p>
            <w:pPr>
              <w:jc w:val="right"/>
              <w:ind w:right="268"/>
              <w:spacing w:after="0"/>
              <w:rPr>
                <w:sz w:val="20"/>
                <w:szCs w:val="20"/>
                <w:color w:val="auto"/>
              </w:rPr>
            </w:pPr>
            <w:r>
              <w:rPr>
                <w:rFonts w:ascii="Arial" w:cs="Arial" w:eastAsia="Arial" w:hAnsi="Arial"/>
                <w:sz w:val="14"/>
                <w:szCs w:val="14"/>
                <w:b w:val="1"/>
                <w:bCs w:val="1"/>
                <w:color w:val="auto"/>
              </w:rPr>
              <w:t>2005</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2006</w:t>
            </w:r>
          </w:p>
        </w:tc>
      </w:tr>
      <w:tr>
        <w:trPr>
          <w:trHeight w:val="296"/>
        </w:trPr>
        <w:tc>
          <w:tcPr>
            <w:tcW w:w="4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UK Equities</w:t>
            </w:r>
          </w:p>
        </w:tc>
        <w:tc>
          <w:tcPr>
            <w:tcW w:w="4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43"/>
        </w:trPr>
        <w:tc>
          <w:tcPr>
            <w:tcW w:w="4480" w:type="dxa"/>
            <w:vAlign w:val="bottom"/>
          </w:tcPr>
          <w:p>
            <w:pPr>
              <w:spacing w:after="0"/>
              <w:rPr>
                <w:sz w:val="20"/>
                <w:szCs w:val="20"/>
                <w:color w:val="auto"/>
              </w:rPr>
            </w:pPr>
            <w:r>
              <w:rPr>
                <w:rFonts w:ascii="Arial" w:cs="Arial" w:eastAsia="Arial" w:hAnsi="Arial"/>
                <w:sz w:val="14"/>
                <w:szCs w:val="14"/>
                <w:color w:val="auto"/>
              </w:rPr>
              <w:t>Overseas Equities</w:t>
            </w:r>
          </w:p>
        </w:tc>
        <w:tc>
          <w:tcPr>
            <w:tcW w:w="460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Property</w:t>
            </w:r>
          </w:p>
        </w:tc>
        <w:tc>
          <w:tcPr>
            <w:tcW w:w="4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43"/>
        </w:trPr>
        <w:tc>
          <w:tcPr>
            <w:tcW w:w="4480" w:type="dxa"/>
            <w:vAlign w:val="bottom"/>
          </w:tcPr>
          <w:p>
            <w:pPr>
              <w:spacing w:after="0"/>
              <w:rPr>
                <w:sz w:val="20"/>
                <w:szCs w:val="20"/>
                <w:color w:val="auto"/>
              </w:rPr>
            </w:pPr>
            <w:r>
              <w:rPr>
                <w:rFonts w:ascii="Arial" w:cs="Arial" w:eastAsia="Arial" w:hAnsi="Arial"/>
                <w:sz w:val="14"/>
                <w:szCs w:val="14"/>
                <w:color w:val="auto"/>
              </w:rPr>
              <w:t>UK Fixed Interest</w:t>
            </w:r>
          </w:p>
        </w:tc>
        <w:tc>
          <w:tcPr>
            <w:tcW w:w="4600" w:type="dxa"/>
            <w:vAlign w:val="bottom"/>
          </w:tcPr>
          <w:p>
            <w:pPr>
              <w:jc w:val="right"/>
              <w:ind w:right="148"/>
              <w:spacing w:after="0"/>
              <w:rPr>
                <w:sz w:val="20"/>
                <w:szCs w:val="20"/>
                <w:color w:val="auto"/>
              </w:rPr>
            </w:pPr>
            <w:r>
              <w:rPr>
                <w:rFonts w:ascii="Arial" w:cs="Arial" w:eastAsia="Arial" w:hAnsi="Arial"/>
                <w:sz w:val="14"/>
                <w:szCs w:val="14"/>
                <w:color w:val="auto"/>
              </w:rPr>
              <w:t>21%</w:t>
            </w: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4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43"/>
        </w:trPr>
        <w:tc>
          <w:tcPr>
            <w:tcW w:w="4480" w:type="dxa"/>
            <w:vAlign w:val="bottom"/>
          </w:tcPr>
          <w:p>
            <w:pPr>
              <w:spacing w:after="0"/>
              <w:rPr>
                <w:sz w:val="20"/>
                <w:szCs w:val="20"/>
                <w:color w:val="auto"/>
              </w:rPr>
            </w:pPr>
            <w:r>
              <w:rPr>
                <w:rFonts w:ascii="Arial" w:cs="Arial" w:eastAsia="Arial" w:hAnsi="Arial"/>
                <w:sz w:val="14"/>
                <w:szCs w:val="14"/>
                <w:color w:val="auto"/>
              </w:rPr>
              <w:t>Overseas Bonds</w:t>
            </w:r>
          </w:p>
        </w:tc>
        <w:tc>
          <w:tcPr>
            <w:tcW w:w="460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w:t>
            </w:r>
          </w:p>
        </w:tc>
        <w:tc>
          <w:tcPr>
            <w:tcW w:w="46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37"/>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bl>
    <w:p>
      <w:pPr>
        <w:spacing w:after="0" w:line="265"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Bonuses paid under the Unitised With-Profits policy which is invested in the Norwich Union With-Profit Fund consist of regular bonuses and final bonuses which are explained below in further detail.</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Norwich Union Regular Bonus</w:t>
      </w:r>
    </w:p>
    <w:p>
      <w:pPr>
        <w:spacing w:after="0" w:line="285" w:lineRule="exact"/>
        <w:rPr>
          <w:sz w:val="20"/>
          <w:szCs w:val="20"/>
          <w:color w:val="auto"/>
        </w:rPr>
      </w:pPr>
    </w:p>
    <w:p>
      <w:pPr>
        <w:ind w:right="460"/>
        <w:spacing w:after="0" w:line="293" w:lineRule="auto"/>
        <w:rPr>
          <w:sz w:val="20"/>
          <w:szCs w:val="20"/>
          <w:color w:val="auto"/>
        </w:rPr>
      </w:pPr>
      <w:r>
        <w:rPr>
          <w:rFonts w:ascii="Arial" w:cs="Arial" w:eastAsia="Arial" w:hAnsi="Arial"/>
          <w:sz w:val="14"/>
          <w:szCs w:val="14"/>
          <w:color w:val="auto"/>
        </w:rPr>
        <w:t>Premiums paid under the policy are used to buy units which increase in price daily in line with the current Regular Bonus rate. The Regular Bonus rate is normally declared at the end of each calendar year and remains in force until further notice.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20"/>
                <w:szCs w:val="20"/>
                <w:color w:val="auto"/>
              </w:rPr>
            </w:pPr>
            <w:r>
              <w:rPr>
                <w:rFonts w:ascii="Arial" w:cs="Arial" w:eastAsia="Arial" w:hAnsi="Arial"/>
                <w:sz w:val="14"/>
                <w:szCs w:val="14"/>
                <w:color w:val="auto"/>
              </w:rPr>
              <w:t>Regular Bonuses have been declared at the following levels:</w:t>
            </w:r>
          </w:p>
        </w:tc>
        <w:tc>
          <w:tcPr>
            <w:tcW w:w="57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35"/>
        </w:trPr>
        <w:tc>
          <w:tcPr>
            <w:tcW w:w="456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5720" w:type="dxa"/>
            <w:vAlign w:val="bottom"/>
          </w:tcPr>
          <w:p>
            <w:pPr>
              <w:jc w:val="right"/>
              <w:ind w:right="48"/>
              <w:spacing w:after="0"/>
              <w:rPr>
                <w:sz w:val="20"/>
                <w:szCs w:val="20"/>
                <w:color w:val="auto"/>
              </w:rPr>
            </w:pPr>
            <w:r>
              <w:rPr>
                <w:rFonts w:ascii="Arial" w:cs="Arial" w:eastAsia="Arial" w:hAnsi="Arial"/>
                <w:sz w:val="14"/>
                <w:szCs w:val="14"/>
                <w:b w:val="1"/>
                <w:bCs w:val="1"/>
                <w:color w:val="auto"/>
              </w:rPr>
              <w:t>Regular Bonus</w:t>
            </w:r>
          </w:p>
        </w:tc>
        <w:tc>
          <w:tcPr>
            <w:tcW w:w="1140" w:type="dxa"/>
            <w:vAlign w:val="bottom"/>
          </w:tcPr>
          <w:p>
            <w:pPr>
              <w:spacing w:after="0"/>
              <w:rPr>
                <w:sz w:val="24"/>
                <w:szCs w:val="24"/>
                <w:color w:val="auto"/>
              </w:rPr>
            </w:pPr>
          </w:p>
        </w:tc>
      </w:tr>
      <w:tr>
        <w:trPr>
          <w:trHeight w:val="186"/>
        </w:trPr>
        <w:tc>
          <w:tcPr>
            <w:tcW w:w="4560" w:type="dxa"/>
            <w:vAlign w:val="bottom"/>
          </w:tcPr>
          <w:p>
            <w:pPr>
              <w:spacing w:after="0"/>
              <w:rPr>
                <w:sz w:val="16"/>
                <w:szCs w:val="16"/>
                <w:color w:val="auto"/>
              </w:rPr>
            </w:pPr>
          </w:p>
        </w:tc>
        <w:tc>
          <w:tcPr>
            <w:tcW w:w="5720" w:type="dxa"/>
            <w:vAlign w:val="bottom"/>
          </w:tcPr>
          <w:p>
            <w:pPr>
              <w:jc w:val="right"/>
              <w:ind w:right="48"/>
              <w:spacing w:after="0"/>
              <w:rPr>
                <w:sz w:val="20"/>
                <w:szCs w:val="20"/>
                <w:color w:val="auto"/>
              </w:rPr>
            </w:pPr>
            <w:r>
              <w:rPr>
                <w:rFonts w:ascii="Arial" w:cs="Arial" w:eastAsia="Arial" w:hAnsi="Arial"/>
                <w:sz w:val="14"/>
                <w:szCs w:val="14"/>
                <w:b w:val="1"/>
                <w:bCs w:val="1"/>
                <w:color w:val="auto"/>
              </w:rPr>
              <w:t>% per annum</w:t>
            </w:r>
          </w:p>
        </w:tc>
        <w:tc>
          <w:tcPr>
            <w:tcW w:w="1140" w:type="dxa"/>
            <w:vAlign w:val="bottom"/>
          </w:tcPr>
          <w:p>
            <w:pPr>
              <w:spacing w:after="0"/>
              <w:rPr>
                <w:sz w:val="16"/>
                <w:szCs w:val="16"/>
                <w:color w:val="auto"/>
              </w:rPr>
            </w:pPr>
          </w:p>
        </w:tc>
      </w:tr>
      <w:tr>
        <w:trPr>
          <w:trHeight w:val="336"/>
        </w:trPr>
        <w:tc>
          <w:tcPr>
            <w:tcW w:w="4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August 1, 2002</w:t>
            </w:r>
          </w:p>
        </w:tc>
        <w:tc>
          <w:tcPr>
            <w:tcW w:w="5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140" w:type="dxa"/>
            <w:vAlign w:val="bottom"/>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December 31, 2002</w:t>
            </w:r>
          </w:p>
        </w:tc>
        <w:tc>
          <w:tcPr>
            <w:tcW w:w="5720" w:type="dxa"/>
            <w:vAlign w:val="bottom"/>
          </w:tcPr>
          <w:p>
            <w:pPr>
              <w:jc w:val="right"/>
              <w:spacing w:after="0"/>
              <w:rPr>
                <w:sz w:val="20"/>
                <w:szCs w:val="20"/>
                <w:color w:val="auto"/>
              </w:rPr>
            </w:pPr>
            <w:r>
              <w:rPr>
                <w:rFonts w:ascii="Arial" w:cs="Arial" w:eastAsia="Arial" w:hAnsi="Arial"/>
                <w:sz w:val="14"/>
                <w:szCs w:val="14"/>
                <w:color w:val="auto"/>
              </w:rPr>
              <w:t>4.0%</w:t>
            </w:r>
          </w:p>
        </w:tc>
        <w:tc>
          <w:tcPr>
            <w:tcW w:w="1140" w:type="dxa"/>
            <w:vAlign w:val="bottom"/>
          </w:tcPr>
          <w:p>
            <w:pPr>
              <w:spacing w:after="0"/>
              <w:rPr>
                <w:sz w:val="21"/>
                <w:szCs w:val="21"/>
                <w:color w:val="auto"/>
              </w:rPr>
            </w:pP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2003</w:t>
            </w:r>
          </w:p>
        </w:tc>
        <w:tc>
          <w:tcPr>
            <w:tcW w:w="5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140" w:type="dxa"/>
            <w:vAlign w:val="bottom"/>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December 31, 2004</w:t>
            </w:r>
          </w:p>
        </w:tc>
        <w:tc>
          <w:tcPr>
            <w:tcW w:w="5720" w:type="dxa"/>
            <w:vAlign w:val="bottom"/>
          </w:tcPr>
          <w:p>
            <w:pPr>
              <w:jc w:val="right"/>
              <w:spacing w:after="0"/>
              <w:rPr>
                <w:sz w:val="20"/>
                <w:szCs w:val="20"/>
                <w:color w:val="auto"/>
              </w:rPr>
            </w:pPr>
            <w:r>
              <w:rPr>
                <w:rFonts w:ascii="Arial" w:cs="Arial" w:eastAsia="Arial" w:hAnsi="Arial"/>
                <w:sz w:val="14"/>
                <w:szCs w:val="14"/>
                <w:color w:val="auto"/>
              </w:rPr>
              <w:t>3.0%</w:t>
            </w:r>
          </w:p>
        </w:tc>
        <w:tc>
          <w:tcPr>
            <w:tcW w:w="1140" w:type="dxa"/>
            <w:vAlign w:val="bottom"/>
          </w:tcPr>
          <w:p>
            <w:pPr>
              <w:spacing w:after="0"/>
              <w:rPr>
                <w:sz w:val="21"/>
                <w:szCs w:val="21"/>
                <w:color w:val="auto"/>
              </w:rPr>
            </w:pP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2005</w:t>
            </w:r>
          </w:p>
        </w:tc>
        <w:tc>
          <w:tcPr>
            <w:tcW w:w="5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140" w:type="dxa"/>
            <w:vAlign w:val="bottom"/>
          </w:tcPr>
          <w:p>
            <w:pPr>
              <w:spacing w:after="0"/>
              <w:rPr>
                <w:sz w:val="21"/>
                <w:szCs w:val="21"/>
                <w:color w:val="auto"/>
              </w:rPr>
            </w:pPr>
          </w:p>
        </w:tc>
      </w:tr>
      <w:tr>
        <w:trPr>
          <w:trHeight w:val="245"/>
        </w:trPr>
        <w:tc>
          <w:tcPr>
            <w:tcW w:w="4560" w:type="dxa"/>
            <w:vAlign w:val="bottom"/>
          </w:tcPr>
          <w:p>
            <w:pPr>
              <w:spacing w:after="0"/>
              <w:rPr>
                <w:sz w:val="20"/>
                <w:szCs w:val="20"/>
                <w:color w:val="auto"/>
              </w:rPr>
            </w:pPr>
            <w:r>
              <w:rPr>
                <w:rFonts w:ascii="Arial" w:cs="Arial" w:eastAsia="Arial" w:hAnsi="Arial"/>
                <w:sz w:val="14"/>
                <w:szCs w:val="14"/>
                <w:color w:val="auto"/>
              </w:rPr>
              <w:t>December 31, 2006</w:t>
            </w:r>
          </w:p>
        </w:tc>
        <w:tc>
          <w:tcPr>
            <w:tcW w:w="5720" w:type="dxa"/>
            <w:vAlign w:val="bottom"/>
          </w:tcPr>
          <w:p>
            <w:pPr>
              <w:jc w:val="right"/>
              <w:spacing w:after="0"/>
              <w:rPr>
                <w:sz w:val="20"/>
                <w:szCs w:val="20"/>
                <w:color w:val="auto"/>
              </w:rPr>
            </w:pPr>
            <w:r>
              <w:rPr>
                <w:rFonts w:ascii="Arial" w:cs="Arial" w:eastAsia="Arial" w:hAnsi="Arial"/>
                <w:sz w:val="14"/>
                <w:szCs w:val="14"/>
                <w:color w:val="auto"/>
              </w:rPr>
              <w:t>3.0%</w:t>
            </w:r>
          </w:p>
        </w:tc>
        <w:tc>
          <w:tcPr>
            <w:tcW w:w="1140" w:type="dxa"/>
            <w:vAlign w:val="bottom"/>
          </w:tcPr>
          <w:p>
            <w:pPr>
              <w:spacing w:after="0"/>
              <w:rPr>
                <w:sz w:val="21"/>
                <w:szCs w:val="21"/>
                <w:color w:val="auto"/>
              </w:rPr>
            </w:pPr>
          </w:p>
        </w:tc>
      </w:tr>
      <w:tr>
        <w:trPr>
          <w:trHeight w:val="446"/>
        </w:trPr>
        <w:tc>
          <w:tcPr>
            <w:tcW w:w="4560" w:type="dxa"/>
            <w:vAlign w:val="bottom"/>
          </w:tcPr>
          <w:p>
            <w:pPr>
              <w:spacing w:after="0"/>
              <w:rPr>
                <w:sz w:val="24"/>
                <w:szCs w:val="24"/>
                <w:color w:val="auto"/>
              </w:rPr>
            </w:pPr>
          </w:p>
        </w:tc>
        <w:tc>
          <w:tcPr>
            <w:tcW w:w="5720" w:type="dxa"/>
            <w:vAlign w:val="bottom"/>
          </w:tcPr>
          <w:p>
            <w:pPr>
              <w:jc w:val="right"/>
              <w:ind w:right="4428"/>
              <w:spacing w:after="0"/>
              <w:rPr>
                <w:sz w:val="20"/>
                <w:szCs w:val="20"/>
                <w:color w:val="auto"/>
              </w:rPr>
            </w:pPr>
            <w:r>
              <w:rPr>
                <w:rFonts w:ascii="Arial" w:cs="Arial" w:eastAsia="Arial" w:hAnsi="Arial"/>
                <w:sz w:val="14"/>
                <w:szCs w:val="14"/>
                <w:color w:val="auto"/>
              </w:rPr>
              <w:t>72</w:t>
            </w:r>
          </w:p>
        </w:tc>
        <w:tc>
          <w:tcPr>
            <w:tcW w:w="1140" w:type="dxa"/>
            <w:vAlign w:val="bottom"/>
          </w:tcPr>
          <w:p>
            <w:pPr>
              <w:spacing w:after="0"/>
              <w:rPr>
                <w:sz w:val="24"/>
                <w:szCs w:val="24"/>
                <w:color w:val="auto"/>
              </w:rPr>
            </w:pPr>
          </w:p>
        </w:tc>
      </w:tr>
      <w:tr>
        <w:trPr>
          <w:trHeight w:val="117"/>
        </w:trPr>
        <w:tc>
          <w:tcPr>
            <w:tcW w:w="4560" w:type="dxa"/>
            <w:vAlign w:val="bottom"/>
            <w:tcBorders>
              <w:bottom w:val="single" w:sz="8" w:color="808080"/>
            </w:tcBorders>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5" w:name="page76"/>
    <w:bookmarkEnd w:id="75"/>
    <w:p>
      <w:pPr>
        <w:ind w:right="120"/>
        <w:spacing w:after="0" w:line="308" w:lineRule="auto"/>
        <w:rPr>
          <w:sz w:val="20"/>
          <w:szCs w:val="20"/>
          <w:color w:val="auto"/>
        </w:rPr>
      </w:pPr>
      <w:r>
        <w:rPr>
          <w:rFonts w:ascii="Arial" w:cs="Arial" w:eastAsia="Arial" w:hAnsi="Arial"/>
          <w:sz w:val="13"/>
          <w:szCs w:val="13"/>
          <w:color w:val="auto"/>
        </w:rPr>
        <w:t>The purpose of the Final Bonus is to enable the investment return provided by the policy to reflect more closely what has actually been earned over its lifetime. Final Bonus is added when units are cashed and is taken into account in calculating the market value of the policy. The last units purchased are the first units cashed. The amount of Final Bonus depends on the year units were purchased. A scale of bonus rates is normally declared at the end of each calendar year and remains in force until further notice. The scale can be altered during the year.</w:t>
      </w:r>
    </w:p>
    <w:p>
      <w:pPr>
        <w:spacing w:after="0" w:line="221"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When units are cashed a Market Value Reduction (“MVR”) scale may be applied instead of a Final Bonus Scale. This reduction may be applied at any time except when units are cashed to provide a member’s normal retirement benefits or because of a member’s death before retirement.</w:t>
      </w:r>
    </w:p>
    <w:p>
      <w:pPr>
        <w:spacing w:after="0" w:line="228" w:lineRule="exact"/>
        <w:rPr>
          <w:sz w:val="20"/>
          <w:szCs w:val="20"/>
          <w:color w:val="auto"/>
        </w:rPr>
      </w:pPr>
    </w:p>
    <w:p>
      <w:pPr>
        <w:ind w:right="320"/>
        <w:spacing w:after="0" w:line="334" w:lineRule="auto"/>
        <w:rPr>
          <w:sz w:val="20"/>
          <w:szCs w:val="20"/>
          <w:color w:val="auto"/>
        </w:rPr>
      </w:pPr>
      <w:r>
        <w:rPr>
          <w:rFonts w:ascii="Arial" w:cs="Arial" w:eastAsia="Arial" w:hAnsi="Arial"/>
          <w:sz w:val="13"/>
          <w:szCs w:val="13"/>
          <w:color w:val="auto"/>
        </w:rPr>
        <w:t>An MVR is applied when the value of the units plus the Final Bonus is significantly greater than the value of the underlying investments. It is applied so that non-contracted encashments do not result in more than the fair share of the fund being taken in times of poor performance in the stock market and other asset types in which Norwich Union’s With-Profits Fund is invested.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20"/>
                <w:szCs w:val="20"/>
                <w:color w:val="auto"/>
              </w:rPr>
            </w:pPr>
            <w:r>
              <w:rPr>
                <w:rFonts w:ascii="Arial" w:cs="Arial" w:eastAsia="Arial" w:hAnsi="Arial"/>
                <w:sz w:val="14"/>
                <w:szCs w:val="14"/>
                <w:b w:val="1"/>
                <w:bCs w:val="1"/>
                <w:color w:val="auto"/>
              </w:rPr>
              <w:t>Year units purchased</w:t>
            </w:r>
          </w:p>
        </w:tc>
        <w:tc>
          <w:tcPr>
            <w:tcW w:w="4320" w:type="dxa"/>
            <w:vAlign w:val="bottom"/>
          </w:tcPr>
          <w:p>
            <w:pPr>
              <w:jc w:val="right"/>
              <w:ind w:right="168"/>
              <w:spacing w:after="0"/>
              <w:rPr>
                <w:sz w:val="20"/>
                <w:szCs w:val="20"/>
                <w:color w:val="auto"/>
              </w:rPr>
            </w:pPr>
            <w:r>
              <w:rPr>
                <w:rFonts w:ascii="Arial" w:cs="Arial" w:eastAsia="Arial" w:hAnsi="Arial"/>
                <w:sz w:val="14"/>
                <w:szCs w:val="14"/>
                <w:b w:val="1"/>
                <w:bCs w:val="1"/>
                <w:color w:val="auto"/>
              </w:rPr>
              <w:t>Final Bonus</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Final Bonus</w:t>
            </w:r>
          </w:p>
        </w:tc>
      </w:tr>
      <w:tr>
        <w:trPr>
          <w:trHeight w:val="186"/>
        </w:trPr>
        <w:tc>
          <w:tcPr>
            <w:tcW w:w="46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(including MVR)</w:t>
            </w:r>
          </w:p>
        </w:tc>
      </w:tr>
      <w:tr>
        <w:trPr>
          <w:trHeight w:val="336"/>
        </w:trPr>
        <w:tc>
          <w:tcPr>
            <w:tcW w:w="4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2002</w:t>
            </w:r>
          </w:p>
        </w:tc>
        <w:tc>
          <w:tcPr>
            <w:tcW w:w="4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43"/>
        </w:trPr>
        <w:tc>
          <w:tcPr>
            <w:tcW w:w="4660" w:type="dxa"/>
            <w:vAlign w:val="bottom"/>
          </w:tcPr>
          <w:p>
            <w:pPr>
              <w:spacing w:after="0"/>
              <w:rPr>
                <w:sz w:val="20"/>
                <w:szCs w:val="20"/>
                <w:color w:val="auto"/>
              </w:rPr>
            </w:pPr>
            <w:r>
              <w:rPr>
                <w:rFonts w:ascii="Arial" w:cs="Arial" w:eastAsia="Arial" w:hAnsi="Arial"/>
                <w:sz w:val="14"/>
                <w:szCs w:val="14"/>
                <w:color w:val="auto"/>
              </w:rPr>
              <w:t>2003</w:t>
            </w:r>
          </w:p>
        </w:tc>
        <w:tc>
          <w:tcPr>
            <w:tcW w:w="4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2004</w:t>
            </w:r>
          </w:p>
        </w:tc>
        <w:tc>
          <w:tcPr>
            <w:tcW w:w="4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4660" w:type="dxa"/>
            <w:vAlign w:val="bottom"/>
          </w:tcPr>
          <w:p>
            <w:pPr>
              <w:spacing w:after="0"/>
              <w:rPr>
                <w:sz w:val="20"/>
                <w:szCs w:val="20"/>
                <w:color w:val="auto"/>
              </w:rPr>
            </w:pPr>
            <w:r>
              <w:rPr>
                <w:rFonts w:ascii="Arial" w:cs="Arial" w:eastAsia="Arial" w:hAnsi="Arial"/>
                <w:sz w:val="14"/>
                <w:szCs w:val="14"/>
                <w:color w:val="auto"/>
              </w:rPr>
              <w:t>2005</w:t>
            </w:r>
          </w:p>
        </w:tc>
        <w:tc>
          <w:tcPr>
            <w:tcW w:w="4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2006</w:t>
            </w:r>
          </w:p>
        </w:tc>
        <w:tc>
          <w:tcPr>
            <w:tcW w:w="4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Overall Rate of Return</w:t>
      </w:r>
    </w:p>
    <w:p>
      <w:pPr>
        <w:spacing w:after="0" w:line="285"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color w:val="auto"/>
        </w:rPr>
        <w:t>At December 31, 2006, UK gilts were yielding around 4.6% per annum. This is often referred to as the risk free rate of return as UK gilts have a negligible risk of default and the income payments and capital on redemption are guaranteed by the UK Government. Overseas bonds have been assumed to produce returns in line with UK gilts.</w:t>
      </w:r>
    </w:p>
    <w:p>
      <w:pPr>
        <w:spacing w:after="0" w:line="228" w:lineRule="exact"/>
        <w:rPr>
          <w:sz w:val="20"/>
          <w:szCs w:val="20"/>
          <w:color w:val="auto"/>
        </w:rPr>
      </w:pPr>
    </w:p>
    <w:p>
      <w:pPr>
        <w:ind w:right="320"/>
        <w:spacing w:after="0" w:line="334" w:lineRule="auto"/>
        <w:rPr>
          <w:sz w:val="20"/>
          <w:szCs w:val="20"/>
          <w:color w:val="auto"/>
        </w:rPr>
      </w:pPr>
      <w:r>
        <w:rPr>
          <w:rFonts w:ascii="Arial" w:cs="Arial" w:eastAsia="Arial" w:hAnsi="Arial"/>
          <w:sz w:val="13"/>
          <w:szCs w:val="13"/>
          <w:color w:val="auto"/>
        </w:rPr>
        <w:t>A long term equity “risk-premium” of 3.1% per annum has been assumed. This being the expected long term out-performance of equities over UK gilts. Property has been assumed to provide a return in line with equities over the long term. An out-performance of 0.5% per annum over the long term for corporate bonds over UK gilts has been taken into account.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80" w:type="dxa"/>
            <w:vAlign w:val="bottom"/>
          </w:tcPr>
          <w:p>
            <w:pPr>
              <w:spacing w:after="0"/>
              <w:rPr>
                <w:sz w:val="20"/>
                <w:szCs w:val="20"/>
                <w:color w:val="auto"/>
              </w:rPr>
            </w:pPr>
            <w:r>
              <w:rPr>
                <w:rFonts w:ascii="Arial" w:cs="Arial" w:eastAsia="Arial" w:hAnsi="Arial"/>
                <w:sz w:val="14"/>
                <w:szCs w:val="14"/>
                <w:color w:val="auto"/>
              </w:rPr>
              <w:t>The expected long term rates of return on different asset classes over the long term are as follows:</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7580" w:type="dxa"/>
            <w:vAlign w:val="bottom"/>
          </w:tcPr>
          <w:p>
            <w:pPr>
              <w:spacing w:after="0"/>
              <w:rPr>
                <w:sz w:val="24"/>
                <w:szCs w:val="24"/>
                <w:color w:val="auto"/>
              </w:rPr>
            </w:pPr>
          </w:p>
        </w:tc>
        <w:tc>
          <w:tcPr>
            <w:tcW w:w="2700" w:type="dxa"/>
            <w:vAlign w:val="bottom"/>
          </w:tcPr>
          <w:p>
            <w:pPr>
              <w:jc w:val="right"/>
              <w:ind w:right="4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76"/>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700" w:type="dxa"/>
            <w:vAlign w:val="bottom"/>
          </w:tcPr>
          <w:p>
            <w:pPr>
              <w:jc w:val="right"/>
              <w:ind w:right="4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92"/>
        </w:trPr>
        <w:tc>
          <w:tcPr>
            <w:tcW w:w="7580" w:type="dxa"/>
            <w:vAlign w:val="bottom"/>
            <w:vMerge w:val="continue"/>
          </w:tcPr>
          <w:p>
            <w:pPr>
              <w:spacing w:after="0"/>
              <w:rPr>
                <w:sz w:val="7"/>
                <w:szCs w:val="7"/>
                <w:color w:val="auto"/>
              </w:rPr>
            </w:pPr>
          </w:p>
        </w:tc>
        <w:tc>
          <w:tcPr>
            <w:tcW w:w="2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return per</w:t>
            </w:r>
          </w:p>
        </w:tc>
        <w:tc>
          <w:tcPr>
            <w:tcW w:w="0" w:type="dxa"/>
            <w:vAlign w:val="bottom"/>
          </w:tcPr>
          <w:p>
            <w:pPr>
              <w:spacing w:after="0"/>
              <w:rPr>
                <w:sz w:val="1"/>
                <w:szCs w:val="1"/>
                <w:color w:val="auto"/>
              </w:rPr>
            </w:pPr>
          </w:p>
        </w:tc>
      </w:tr>
      <w:tr>
        <w:trPr>
          <w:trHeight w:val="84"/>
        </w:trPr>
        <w:tc>
          <w:tcPr>
            <w:tcW w:w="75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7580" w:type="dxa"/>
            <w:vAlign w:val="bottom"/>
          </w:tcPr>
          <w:p>
            <w:pPr>
              <w:spacing w:after="0"/>
              <w:rPr>
                <w:sz w:val="16"/>
                <w:szCs w:val="16"/>
                <w:color w:val="auto"/>
              </w:rPr>
            </w:pPr>
          </w:p>
        </w:tc>
        <w:tc>
          <w:tcPr>
            <w:tcW w:w="2700" w:type="dxa"/>
            <w:vAlign w:val="bottom"/>
          </w:tcPr>
          <w:p>
            <w:pPr>
              <w:jc w:val="right"/>
              <w:ind w:right="48"/>
              <w:spacing w:after="0"/>
              <w:rPr>
                <w:sz w:val="20"/>
                <w:szCs w:val="20"/>
                <w:color w:val="auto"/>
              </w:rPr>
            </w:pPr>
            <w:r>
              <w:rPr>
                <w:rFonts w:ascii="Arial" w:cs="Arial" w:eastAsia="Arial" w:hAnsi="Arial"/>
                <w:sz w:val="14"/>
                <w:szCs w:val="14"/>
                <w:b w:val="1"/>
                <w:bCs w:val="1"/>
                <w:color w:val="auto"/>
              </w:rPr>
              <w:t>annum</w:t>
            </w:r>
          </w:p>
        </w:tc>
        <w:tc>
          <w:tcPr>
            <w:tcW w:w="0" w:type="dxa"/>
            <w:vAlign w:val="bottom"/>
          </w:tcPr>
          <w:p>
            <w:pPr>
              <w:spacing w:after="0"/>
              <w:rPr>
                <w:sz w:val="1"/>
                <w:szCs w:val="1"/>
                <w:color w:val="auto"/>
              </w:rPr>
            </w:pPr>
          </w:p>
        </w:tc>
      </w:tr>
      <w:tr>
        <w:trPr>
          <w:trHeight w:val="242"/>
        </w:trPr>
        <w:tc>
          <w:tcPr>
            <w:tcW w:w="7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UK equities</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Arial" w:cs="Arial" w:eastAsia="Arial" w:hAnsi="Arial"/>
                <w:sz w:val="14"/>
                <w:szCs w:val="14"/>
                <w:color w:val="auto"/>
              </w:rPr>
              <w:t>Overseas equities</w:t>
            </w:r>
          </w:p>
        </w:tc>
        <w:tc>
          <w:tcPr>
            <w:tcW w:w="27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Property</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Arial" w:cs="Arial" w:eastAsia="Arial" w:hAnsi="Arial"/>
                <w:sz w:val="14"/>
                <w:szCs w:val="14"/>
                <w:color w:val="auto"/>
              </w:rPr>
              <w:t>UK Gilts</w:t>
            </w:r>
          </w:p>
        </w:tc>
        <w:tc>
          <w:tcPr>
            <w:tcW w:w="27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Overseas bonds</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43"/>
        </w:trPr>
        <w:tc>
          <w:tcPr>
            <w:tcW w:w="7580" w:type="dxa"/>
            <w:vAlign w:val="bottom"/>
          </w:tcPr>
          <w:p>
            <w:pPr>
              <w:spacing w:after="0"/>
              <w:rPr>
                <w:sz w:val="20"/>
                <w:szCs w:val="20"/>
                <w:color w:val="auto"/>
              </w:rPr>
            </w:pPr>
            <w:r>
              <w:rPr>
                <w:rFonts w:ascii="Arial" w:cs="Arial" w:eastAsia="Arial" w:hAnsi="Arial"/>
                <w:sz w:val="14"/>
                <w:szCs w:val="14"/>
                <w:color w:val="auto"/>
              </w:rPr>
              <w:t>Corporate bonds</w:t>
            </w:r>
          </w:p>
        </w:tc>
        <w:tc>
          <w:tcPr>
            <w:tcW w:w="27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Applying the above expected long term rates of return to the asset distribution of the With-Profits Fund at December 31, 2006 gives rise to an expected overall rate of return of scheme assets of around 6.8% per annum.</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10. Share Options and Stock Compensation Charges</w:t>
      </w:r>
    </w:p>
    <w:p>
      <w:pPr>
        <w:spacing w:after="0" w:line="289" w:lineRule="exact"/>
        <w:rPr>
          <w:sz w:val="20"/>
          <w:szCs w:val="20"/>
          <w:color w:val="auto"/>
        </w:rPr>
      </w:pPr>
    </w:p>
    <w:p>
      <w:pPr>
        <w:jc w:val="both"/>
        <w:spacing w:after="0" w:line="292" w:lineRule="auto"/>
        <w:rPr>
          <w:sz w:val="20"/>
          <w:szCs w:val="20"/>
          <w:color w:val="auto"/>
        </w:rPr>
      </w:pPr>
      <w:r>
        <w:rPr>
          <w:rFonts w:ascii="Arial" w:cs="Arial" w:eastAsia="Arial" w:hAnsi="Arial"/>
          <w:sz w:val="13"/>
          <w:szCs w:val="13"/>
          <w:color w:val="auto"/>
        </w:rPr>
        <w:t>The Company accounts for its share options in accordance with the provisions of SFAS No. 123R, “Share Based Payment”. SFAS 123R requires that all share based payments to employees, including stock options granted, be recognized in the financial statements based on their grant date fair values. The Company adopted SFAS 123R with effect from January 1, 2006, with the Black-Scholes method of valuation being used to calculate the fair value of options granted. The Company adopted SFAS 123R using the modified-prospective transition method. Under that transition method compensation cost recognized in the year ended December 31, 2006, includes; (a) compensation cost for all share-based payments granted prior to, but not yet vested as of, January 1, 2006, based on grant date fair value estimated in accordance with the original provisions of SFAS 123 and (b) compensation cost for all share based payments granted subsequent to January 1, 2006, based on grant date fair values estimated in accordance with the provisions of SFAS 123R. Results for prior periods have not been restated.</w:t>
      </w:r>
    </w:p>
    <w:p>
      <w:pPr>
        <w:spacing w:after="0" w:line="232"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46"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An aggregate of 3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200,000 ordinary shares.</w:t>
      </w:r>
    </w:p>
    <w:p>
      <w:pPr>
        <w:spacing w:after="0" w:line="239" w:lineRule="exact"/>
        <w:rPr>
          <w:sz w:val="20"/>
          <w:szCs w:val="20"/>
          <w:color w:val="auto"/>
        </w:rPr>
      </w:pPr>
    </w:p>
    <w:p>
      <w:pPr>
        <w:ind w:right="140"/>
        <w:spacing w:after="0" w:line="334" w:lineRule="auto"/>
        <w:rPr>
          <w:sz w:val="20"/>
          <w:szCs w:val="20"/>
          <w:color w:val="auto"/>
        </w:rPr>
      </w:pPr>
      <w:r>
        <w:rPr>
          <w:rFonts w:ascii="Arial" w:cs="Arial" w:eastAsia="Arial" w:hAnsi="Arial"/>
          <w:sz w:val="13"/>
          <w:szCs w:val="13"/>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December 31, 2006 is eight years. No options can be granted after January 17, 2013.</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In December 2004, the Financial Accounting Standards Board (“FASB”) issued Statement of Accounting Standards (“SFAS”) 123 (revised 2004), </w:t>
      </w:r>
      <w:r>
        <w:rPr>
          <w:rFonts w:ascii="Arial" w:cs="Arial" w:eastAsia="Arial" w:hAnsi="Arial"/>
          <w:sz w:val="14"/>
          <w:szCs w:val="14"/>
          <w:i w:val="1"/>
          <w:iCs w:val="1"/>
          <w:color w:val="auto"/>
        </w:rPr>
        <w:t>Share Based Payment</w:t>
      </w:r>
      <w:r>
        <w:rPr>
          <w:rFonts w:ascii="Arial" w:cs="Arial" w:eastAsia="Arial" w:hAnsi="Arial"/>
          <w:sz w:val="14"/>
          <w:szCs w:val="14"/>
          <w:color w:val="auto"/>
        </w:rPr>
        <w:t xml:space="preserve"> (“SFAS 123R”) which replaced SFAS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and supersedes Accounting Principles Board (“APB”) Opinion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SFAS 123R requires, with effect from accounting periods beginning after June 15, 2005, that all share based payments to employees, including stock options granted, be recognized in the financial statements based on their grant date fair values.</w:t>
      </w:r>
    </w:p>
    <w:p>
      <w:pPr>
        <w:spacing w:after="0" w:line="243"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The following table summarizes the transactions for the Company’s share option plans for the years ended May 31, 2004 and 2005, the seven month period ended December 31, 2005 and the year ended December 31, 2006:</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7" w:name="page78"/>
    <w:bookmarkEnd w:id="77"/>
    <w:tbl>
      <w:tblPr>
        <w:tblLayout w:type="fixed"/>
        <w:tblInd w:w="58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Options</w:t>
            </w:r>
          </w:p>
        </w:tc>
        <w:tc>
          <w:tcPr>
            <w:tcW w:w="13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5"/>
              </w:rPr>
              <w:t>Options Granted</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7"/>
                <w:szCs w:val="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2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Granted</w:t>
            </w:r>
          </w:p>
        </w:tc>
        <w:tc>
          <w:tcPr>
            <w:tcW w:w="13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Under Plans *</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 *</w:t>
            </w:r>
          </w:p>
        </w:tc>
        <w:tc>
          <w:tcPr>
            <w:tcW w:w="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Exercise</w:t>
            </w:r>
          </w:p>
        </w:tc>
        <w:tc>
          <w:tcPr>
            <w:tcW w:w="340" w:type="dxa"/>
            <w:vAlign w:val="bottom"/>
          </w:tcPr>
          <w:p>
            <w:pPr>
              <w:spacing w:after="0"/>
              <w:rPr>
                <w:sz w:val="8"/>
                <w:szCs w:val="8"/>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2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Prior to</w:t>
            </w:r>
          </w:p>
        </w:tc>
        <w:tc>
          <w:tcPr>
            <w:tcW w:w="1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74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Price *</w:t>
            </w:r>
          </w:p>
        </w:tc>
        <w:tc>
          <w:tcPr>
            <w:tcW w:w="340" w:type="dxa"/>
            <w:vAlign w:val="bottom"/>
          </w:tcPr>
          <w:p>
            <w:pPr>
              <w:spacing w:after="0"/>
              <w:rPr>
                <w:sz w:val="8"/>
                <w:szCs w:val="8"/>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Value *</w:t>
            </w:r>
          </w:p>
        </w:tc>
        <w:tc>
          <w:tcPr>
            <w:tcW w:w="0" w:type="dxa"/>
            <w:vAlign w:val="bottom"/>
          </w:tcPr>
          <w:p>
            <w:pPr>
              <w:spacing w:after="0"/>
              <w:rPr>
                <w:sz w:val="1"/>
                <w:szCs w:val="1"/>
                <w:color w:val="auto"/>
              </w:rPr>
            </w:pPr>
          </w:p>
        </w:tc>
      </w:tr>
      <w:tr>
        <w:trPr>
          <w:trHeight w:val="92"/>
        </w:trPr>
        <w:tc>
          <w:tcPr>
            <w:tcW w:w="3740" w:type="dxa"/>
            <w:vAlign w:val="bottom"/>
          </w:tcPr>
          <w:p>
            <w:pPr>
              <w:spacing w:after="0"/>
              <w:rPr>
                <w:sz w:val="7"/>
                <w:szCs w:val="7"/>
                <w:color w:val="auto"/>
              </w:rPr>
            </w:pPr>
          </w:p>
        </w:tc>
        <w:tc>
          <w:tcPr>
            <w:tcW w:w="2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Jan 15,</w:t>
            </w:r>
          </w:p>
        </w:tc>
        <w:tc>
          <w:tcPr>
            <w:tcW w:w="1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374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1998 *</w:t>
            </w:r>
          </w:p>
        </w:tc>
        <w:tc>
          <w:tcPr>
            <w:tcW w:w="1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Outstanding at May 31, 2003</w:t>
            </w:r>
          </w:p>
        </w:tc>
        <w:tc>
          <w:tcPr>
            <w:tcW w:w="2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584,060</w:t>
            </w:r>
          </w:p>
        </w:tc>
        <w:tc>
          <w:tcPr>
            <w:tcW w:w="1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1,787,230</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2,371,290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4"/>
                <w:szCs w:val="14"/>
                <w:color w:val="auto"/>
              </w:rPr>
              <w:t>Granted</w:t>
            </w:r>
          </w:p>
        </w:tc>
        <w:tc>
          <w:tcPr>
            <w:tcW w:w="2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745,852</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745,852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17.76</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(489,920)</w:t>
            </w:r>
          </w:p>
        </w:tc>
        <w:tc>
          <w:tcPr>
            <w:tcW w:w="1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(503,918)</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(993,838)</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Canceled</w:t>
            </w: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(136,160)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(136,160)</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Outstanding at May 31, 2004</w:t>
            </w:r>
          </w:p>
        </w:tc>
        <w:tc>
          <w:tcPr>
            <w:tcW w:w="2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94,140</w:t>
            </w:r>
          </w:p>
        </w:tc>
        <w:tc>
          <w:tcPr>
            <w:tcW w:w="1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1,893,004</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1,987,144</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4"/>
                <w:szCs w:val="14"/>
                <w:color w:val="auto"/>
              </w:rPr>
              <w:t>Granted</w:t>
            </w:r>
          </w:p>
        </w:tc>
        <w:tc>
          <w:tcPr>
            <w:tcW w:w="2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855,460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855,460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17.20</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2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(121,240)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(121,240)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Canceled</w:t>
            </w: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(144,880)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(144,880)</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Outstanding at May 31, 2005</w:t>
            </w:r>
          </w:p>
        </w:tc>
        <w:tc>
          <w:tcPr>
            <w:tcW w:w="2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94,140</w:t>
            </w:r>
          </w:p>
        </w:tc>
        <w:tc>
          <w:tcPr>
            <w:tcW w:w="1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2,482,344</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2,576,484</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4"/>
                <w:szCs w:val="14"/>
                <w:color w:val="auto"/>
              </w:rPr>
              <w:t>Exercised</w:t>
            </w:r>
          </w:p>
        </w:tc>
        <w:tc>
          <w:tcPr>
            <w:tcW w:w="2340" w:type="dxa"/>
            <w:vAlign w:val="bottom"/>
          </w:tcPr>
          <w:p>
            <w:pPr>
              <w:jc w:val="right"/>
              <w:spacing w:after="0"/>
              <w:rPr>
                <w:sz w:val="20"/>
                <w:szCs w:val="20"/>
                <w:color w:val="auto"/>
              </w:rPr>
            </w:pPr>
            <w:r>
              <w:rPr>
                <w:rFonts w:ascii="Arial" w:cs="Arial" w:eastAsia="Arial" w:hAnsi="Arial"/>
                <w:sz w:val="14"/>
                <w:szCs w:val="14"/>
                <w:color w:val="auto"/>
              </w:rPr>
              <w:t>(80,000)</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(157,992)</w:t>
            </w:r>
          </w:p>
        </w:tc>
        <w:tc>
          <w:tcPr>
            <w:tcW w:w="980" w:type="dxa"/>
            <w:vAlign w:val="bottom"/>
          </w:tcPr>
          <w:p>
            <w:pPr>
              <w:jc w:val="right"/>
              <w:spacing w:after="0"/>
              <w:rPr>
                <w:sz w:val="20"/>
                <w:szCs w:val="20"/>
                <w:color w:val="auto"/>
              </w:rPr>
            </w:pPr>
            <w:r>
              <w:rPr>
                <w:rFonts w:ascii="Arial" w:cs="Arial" w:eastAsia="Arial" w:hAnsi="Arial"/>
                <w:sz w:val="14"/>
                <w:szCs w:val="14"/>
                <w:color w:val="auto"/>
              </w:rPr>
              <w:t>(237,992)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8.04</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Canceled</w:t>
            </w:r>
          </w:p>
        </w:tc>
        <w:tc>
          <w:tcPr>
            <w:tcW w:w="2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(74,200)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(74,200)</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December 31, 2005</w:t>
            </w: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14,140</w:t>
            </w: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2,250,152</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2,264,292</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2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818,502</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818,502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4"/>
                <w:szCs w:val="14"/>
                <w:color w:val="auto"/>
              </w:rPr>
              <w:t>Exercised</w:t>
            </w:r>
          </w:p>
        </w:tc>
        <w:tc>
          <w:tcPr>
            <w:tcW w:w="2340" w:type="dxa"/>
            <w:vAlign w:val="bottom"/>
          </w:tcPr>
          <w:p>
            <w:pPr>
              <w:jc w:val="right"/>
              <w:spacing w:after="0"/>
              <w:rPr>
                <w:sz w:val="20"/>
                <w:szCs w:val="20"/>
                <w:color w:val="auto"/>
              </w:rPr>
            </w:pPr>
            <w:r>
              <w:rPr>
                <w:rFonts w:ascii="Arial" w:cs="Arial" w:eastAsia="Arial" w:hAnsi="Arial"/>
                <w:sz w:val="14"/>
                <w:szCs w:val="14"/>
                <w:color w:val="auto"/>
              </w:rPr>
              <w:t>(14,140)</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(467,528)</w:t>
            </w:r>
          </w:p>
        </w:tc>
        <w:tc>
          <w:tcPr>
            <w:tcW w:w="980" w:type="dxa"/>
            <w:vAlign w:val="bottom"/>
          </w:tcPr>
          <w:p>
            <w:pPr>
              <w:jc w:val="right"/>
              <w:spacing w:after="0"/>
              <w:rPr>
                <w:sz w:val="20"/>
                <w:szCs w:val="20"/>
                <w:color w:val="auto"/>
              </w:rPr>
            </w:pPr>
            <w:r>
              <w:rPr>
                <w:rFonts w:ascii="Arial" w:cs="Arial" w:eastAsia="Arial" w:hAnsi="Arial"/>
                <w:sz w:val="14"/>
                <w:szCs w:val="14"/>
                <w:color w:val="auto"/>
              </w:rPr>
              <w:t>(481,668)</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13.87</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Canceled</w:t>
            </w:r>
          </w:p>
        </w:tc>
        <w:tc>
          <w:tcPr>
            <w:tcW w:w="2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(279,274)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(279,274)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December 31, 2006</w:t>
            </w:r>
          </w:p>
        </w:tc>
        <w:tc>
          <w:tcPr>
            <w:tcW w:w="2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2,321,852</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2,321,852</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Exercisable at December 31, 2006</w:t>
            </w:r>
          </w:p>
        </w:tc>
        <w:tc>
          <w:tcPr>
            <w:tcW w:w="2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533,544</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533,544</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Comparative figures have been amended to reflect the Bonus Issue which took place with an effective date of October 13, 2006</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weighted average fair value of options granted during the year was U.S.$23.16. The weighted average remaining contractual life of options outstanding and exercisable at December 31, 2006 was 5.75 years and 4.60 years respectively.</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There were 498,041 options vested during the year and the weighted average fair value of these options U.S.$7.66. There were 279,274 options cancelled during the year and the weighted average fair value of these options was U.S.$7.76.</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The intrinsic value of options exercised during the year was U.S.$14,727,577. The Company calculated the intrinsic value at the market value of options as at December 31, 2006, as per SFAS 123R.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aggregate intrinsic value of options outstanding and exercisable as at December 31, 2006 was U.S.$67,904,616 and U.S.$16,034,491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The total recognized tax benefit related to the compensation charge during the year was U.S.$0.3 million. The total compensation cost capitalized during the year was U.S.$nil.</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total compensation cost not yet recognized at December 31, 2006 was U.S.$10.2 million and the weighted average period over which this is expected to be recognized is 2.1 years.</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 grants share options at an option grant price equal to or greater than the estimated fair value of ordinary shares on the measurement date and therefore the share option grants summarized in the above table do not result in a compensation expense in addition to the SFAS 123R expense in the current period.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Outstanding and exercisable share options: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concerning outstanding and exercisable share options as of December 31, 2006:</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260" w:type="dxa"/>
            <w:vAlign w:val="bottom"/>
          </w:tcPr>
          <w:p>
            <w:pPr>
              <w:jc w:val="right"/>
              <w:ind w:right="708"/>
              <w:spacing w:after="0"/>
              <w:rPr>
                <w:sz w:val="20"/>
                <w:szCs w:val="20"/>
                <w:color w:val="auto"/>
              </w:rPr>
            </w:pPr>
            <w:r>
              <w:rPr>
                <w:rFonts w:ascii="Arial" w:cs="Arial" w:eastAsia="Arial" w:hAnsi="Arial"/>
                <w:sz w:val="14"/>
                <w:szCs w:val="14"/>
                <w:b w:val="1"/>
                <w:bCs w:val="1"/>
                <w:color w:val="auto"/>
              </w:rPr>
              <w:t>Options Outstanding</w:t>
            </w:r>
          </w:p>
        </w:tc>
        <w:tc>
          <w:tcPr>
            <w:tcW w:w="1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340" w:type="dxa"/>
            <w:vAlign w:val="bottom"/>
          </w:tcPr>
          <w:p>
            <w:pPr>
              <w:jc w:val="right"/>
              <w:ind w:right="828"/>
              <w:spacing w:after="0"/>
              <w:rPr>
                <w:sz w:val="20"/>
                <w:szCs w:val="20"/>
                <w:color w:val="auto"/>
              </w:rPr>
            </w:pPr>
            <w:r>
              <w:rPr>
                <w:rFonts w:ascii="Arial" w:cs="Arial" w:eastAsia="Arial" w:hAnsi="Arial"/>
                <w:sz w:val="14"/>
                <w:szCs w:val="14"/>
                <w:b w:val="1"/>
                <w:bCs w:val="1"/>
                <w:color w:val="auto"/>
              </w:rPr>
              <w:t>Options Exercisable</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00" w:type="dxa"/>
            <w:vAlign w:val="bottom"/>
          </w:tcPr>
          <w:p>
            <w:pPr>
              <w:jc w:val="right"/>
              <w:ind w:right="408"/>
              <w:spacing w:after="0"/>
              <w:rPr>
                <w:sz w:val="20"/>
                <w:szCs w:val="20"/>
                <w:color w:val="auto"/>
              </w:rPr>
            </w:pPr>
            <w:r>
              <w:rPr>
                <w:rFonts w:ascii="Arial" w:cs="Arial" w:eastAsia="Arial" w:hAnsi="Arial"/>
                <w:sz w:val="14"/>
                <w:szCs w:val="14"/>
                <w:b w:val="1"/>
                <w:bCs w:val="1"/>
                <w:color w:val="auto"/>
              </w:rPr>
              <w:t>Weighted</w:t>
            </w:r>
          </w:p>
        </w:tc>
        <w:tc>
          <w:tcPr>
            <w:tcW w:w="1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b w:val="1"/>
                <w:bCs w:val="1"/>
                <w:color w:val="auto"/>
              </w:rPr>
              <w:t>Range</w:t>
            </w:r>
          </w:p>
        </w:tc>
        <w:tc>
          <w:tcPr>
            <w:tcW w:w="2260" w:type="dxa"/>
            <w:vAlign w:val="bottom"/>
          </w:tcPr>
          <w:p>
            <w:pPr>
              <w:spacing w:after="0"/>
              <w:rPr>
                <w:sz w:val="15"/>
                <w:szCs w:val="15"/>
                <w:color w:val="auto"/>
              </w:rPr>
            </w:pPr>
          </w:p>
        </w:tc>
        <w:tc>
          <w:tcPr>
            <w:tcW w:w="1900" w:type="dxa"/>
            <w:vAlign w:val="bottom"/>
          </w:tcPr>
          <w:p>
            <w:pPr>
              <w:jc w:val="right"/>
              <w:ind w:right="408"/>
              <w:spacing w:after="0"/>
              <w:rPr>
                <w:sz w:val="20"/>
                <w:szCs w:val="20"/>
                <w:color w:val="auto"/>
              </w:rPr>
            </w:pPr>
            <w:r>
              <w:rPr>
                <w:rFonts w:ascii="Arial" w:cs="Arial" w:eastAsia="Arial" w:hAnsi="Arial"/>
                <w:sz w:val="14"/>
                <w:szCs w:val="14"/>
                <w:b w:val="1"/>
                <w:bCs w:val="1"/>
                <w:color w:val="auto"/>
              </w:rPr>
              <w:t>Average</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w:t>
            </w:r>
          </w:p>
        </w:tc>
        <w:tc>
          <w:tcPr>
            <w:tcW w:w="234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b w:val="1"/>
                <w:bCs w:val="1"/>
                <w:color w:val="auto"/>
              </w:rPr>
              <w:t>Exercise</w:t>
            </w:r>
          </w:p>
        </w:tc>
        <w:tc>
          <w:tcPr>
            <w:tcW w:w="2260" w:type="dxa"/>
            <w:vAlign w:val="bottom"/>
          </w:tcPr>
          <w:p>
            <w:pPr>
              <w:jc w:val="right"/>
              <w:ind w:right="328"/>
              <w:spacing w:after="0"/>
              <w:rPr>
                <w:sz w:val="20"/>
                <w:szCs w:val="20"/>
                <w:color w:val="auto"/>
              </w:rPr>
            </w:pPr>
            <w:r>
              <w:rPr>
                <w:rFonts w:ascii="Arial" w:cs="Arial" w:eastAsia="Arial" w:hAnsi="Arial"/>
                <w:sz w:val="14"/>
                <w:szCs w:val="14"/>
                <w:b w:val="1"/>
                <w:bCs w:val="1"/>
                <w:color w:val="auto"/>
              </w:rPr>
              <w:t>Number of</w:t>
            </w:r>
          </w:p>
        </w:tc>
        <w:tc>
          <w:tcPr>
            <w:tcW w:w="1900" w:type="dxa"/>
            <w:vAlign w:val="bottom"/>
          </w:tcPr>
          <w:p>
            <w:pPr>
              <w:jc w:val="right"/>
              <w:ind w:right="408"/>
              <w:spacing w:after="0"/>
              <w:rPr>
                <w:sz w:val="20"/>
                <w:szCs w:val="20"/>
                <w:color w:val="auto"/>
              </w:rPr>
            </w:pPr>
            <w:r>
              <w:rPr>
                <w:rFonts w:ascii="Arial" w:cs="Arial" w:eastAsia="Arial" w:hAnsi="Arial"/>
                <w:sz w:val="14"/>
                <w:szCs w:val="14"/>
                <w:b w:val="1"/>
                <w:bCs w:val="1"/>
                <w:color w:val="auto"/>
              </w:rPr>
              <w:t>Remaining</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2340" w:type="dxa"/>
            <w:vAlign w:val="bottom"/>
          </w:tcPr>
          <w:p>
            <w:pPr>
              <w:jc w:val="right"/>
              <w:ind w:right="408"/>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2040" w:type="dxa"/>
            <w:vAlign w:val="bottom"/>
          </w:tcPr>
          <w:p>
            <w:pPr>
              <w:jc w:val="right"/>
              <w:ind w:right="128"/>
              <w:spacing w:after="0"/>
              <w:rPr>
                <w:sz w:val="20"/>
                <w:szCs w:val="20"/>
                <w:color w:val="auto"/>
              </w:rPr>
            </w:pPr>
            <w:r>
              <w:rPr>
                <w:rFonts w:ascii="Arial" w:cs="Arial" w:eastAsia="Arial" w:hAnsi="Arial"/>
                <w:sz w:val="14"/>
                <w:szCs w:val="14"/>
                <w:b w:val="1"/>
                <w:bCs w:val="1"/>
                <w:color w:val="auto"/>
              </w:rPr>
              <w:t>Price</w:t>
            </w:r>
          </w:p>
        </w:tc>
        <w:tc>
          <w:tcPr>
            <w:tcW w:w="226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900" w:type="dxa"/>
            <w:vAlign w:val="bottom"/>
          </w:tcPr>
          <w:p>
            <w:pPr>
              <w:jc w:val="right"/>
              <w:ind w:right="408"/>
              <w:spacing w:after="0"/>
              <w:rPr>
                <w:sz w:val="20"/>
                <w:szCs w:val="20"/>
                <w:color w:val="auto"/>
              </w:rPr>
            </w:pPr>
            <w:r>
              <w:rPr>
                <w:rFonts w:ascii="Arial" w:cs="Arial" w:eastAsia="Arial" w:hAnsi="Arial"/>
                <w:sz w:val="14"/>
                <w:szCs w:val="14"/>
                <w:b w:val="1"/>
                <w:bCs w:val="1"/>
                <w:color w:val="auto"/>
              </w:rPr>
              <w:t>Contractual Life</w:t>
            </w: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Exercise Price</w:t>
            </w:r>
          </w:p>
        </w:tc>
        <w:tc>
          <w:tcPr>
            <w:tcW w:w="2340" w:type="dxa"/>
            <w:vAlign w:val="bottom"/>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42"/>
        </w:trPr>
        <w:tc>
          <w:tcPr>
            <w:tcW w:w="20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$9.00</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29,600</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0.5</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$9.00</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29,600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$10.63</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23,440</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2.1</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$10.63</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23,440</w:t>
            </w:r>
          </w:p>
        </w:tc>
        <w:tc>
          <w:tcPr>
            <w:tcW w:w="1340" w:type="dxa"/>
            <w:vAlign w:val="bottom"/>
          </w:tcPr>
          <w:p>
            <w:pPr>
              <w:jc w:val="right"/>
              <w:spacing w:after="0"/>
              <w:rPr>
                <w:sz w:val="20"/>
                <w:szCs w:val="20"/>
                <w:color w:val="auto"/>
              </w:rPr>
            </w:pPr>
            <w:r>
              <w:rPr>
                <w:rFonts w:ascii="Arial" w:cs="Arial" w:eastAsia="Arial" w:hAnsi="Arial"/>
                <w:sz w:val="14"/>
                <w:szCs w:val="14"/>
                <w:color w:val="auto"/>
              </w:rPr>
              <w:t>$10.63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$14.50</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119,832</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3.0</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$14.50</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73,592</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$13.25</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16,000</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2.9</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$13.25</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16,000</w:t>
            </w:r>
          </w:p>
        </w:tc>
        <w:tc>
          <w:tcPr>
            <w:tcW w:w="1340" w:type="dxa"/>
            <w:vAlign w:val="bottom"/>
          </w:tcPr>
          <w:p>
            <w:pPr>
              <w:jc w:val="right"/>
              <w:spacing w:after="0"/>
              <w:rPr>
                <w:sz w:val="20"/>
                <w:szCs w:val="20"/>
                <w:color w:val="auto"/>
              </w:rPr>
            </w:pPr>
            <w:r>
              <w:rPr>
                <w:rFonts w:ascii="Arial" w:cs="Arial" w:eastAsia="Arial" w:hAnsi="Arial"/>
                <w:sz w:val="14"/>
                <w:szCs w:val="14"/>
                <w:color w:val="auto"/>
              </w:rPr>
              <w:t>$13.25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$14.00</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241,558</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4.1</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$14.00</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94,282</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$21.36</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3,596</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4.8</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$21.36</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3,596</w:t>
            </w:r>
          </w:p>
        </w:tc>
        <w:tc>
          <w:tcPr>
            <w:tcW w:w="1340" w:type="dxa"/>
            <w:vAlign w:val="bottom"/>
          </w:tcPr>
          <w:p>
            <w:pPr>
              <w:jc w:val="right"/>
              <w:spacing w:after="0"/>
              <w:rPr>
                <w:sz w:val="20"/>
                <w:szCs w:val="20"/>
                <w:color w:val="auto"/>
              </w:rPr>
            </w:pPr>
            <w:r>
              <w:rPr>
                <w:rFonts w:ascii="Arial" w:cs="Arial" w:eastAsia="Arial" w:hAnsi="Arial"/>
                <w:sz w:val="14"/>
                <w:szCs w:val="14"/>
                <w:color w:val="auto"/>
              </w:rPr>
              <w:t>$21.36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$17.75</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435,622</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5.1</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$17.75</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123,936</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$17.20</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696,284</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6.1</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$17.20</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92,748</w:t>
            </w:r>
          </w:p>
        </w:tc>
        <w:tc>
          <w:tcPr>
            <w:tcW w:w="1340" w:type="dxa"/>
            <w:vAlign w:val="bottom"/>
          </w:tcPr>
          <w:p>
            <w:pPr>
              <w:jc w:val="right"/>
              <w:spacing w:after="0"/>
              <w:rPr>
                <w:sz w:val="20"/>
                <w:szCs w:val="20"/>
                <w:color w:val="auto"/>
              </w:rPr>
            </w:pPr>
            <w:r>
              <w:rPr>
                <w:rFonts w:ascii="Arial" w:cs="Arial" w:eastAsia="Arial" w:hAnsi="Arial"/>
                <w:sz w:val="14"/>
                <w:szCs w:val="14"/>
                <w:color w:val="auto"/>
              </w:rPr>
              <w:t>$17.20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$20.84</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30,000</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7.1</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$20.84</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$22.00</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653,920</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7.1</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$22.00</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76,350</w:t>
            </w:r>
          </w:p>
        </w:tc>
        <w:tc>
          <w:tcPr>
            <w:tcW w:w="1340" w:type="dxa"/>
            <w:vAlign w:val="bottom"/>
          </w:tcPr>
          <w:p>
            <w:pPr>
              <w:jc w:val="right"/>
              <w:spacing w:after="0"/>
              <w:rPr>
                <w:sz w:val="20"/>
                <w:szCs w:val="20"/>
                <w:color w:val="auto"/>
              </w:rPr>
            </w:pPr>
            <w:r>
              <w:rPr>
                <w:rFonts w:ascii="Arial" w:cs="Arial" w:eastAsia="Arial" w:hAnsi="Arial"/>
                <w:sz w:val="14"/>
                <w:szCs w:val="14"/>
                <w:color w:val="auto"/>
              </w:rPr>
              <w:t>$22.00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$34.60</w:t>
            </w:r>
          </w:p>
        </w:tc>
        <w:tc>
          <w:tcPr>
            <w:tcW w:w="226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12,000</w:t>
            </w:r>
          </w:p>
        </w:tc>
        <w:tc>
          <w:tcPr>
            <w:tcW w:w="190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7.7</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$34.60</w:t>
            </w:r>
          </w:p>
        </w:tc>
        <w:tc>
          <w:tcPr>
            <w:tcW w:w="234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jc w:val="right"/>
              <w:ind w:right="128"/>
              <w:spacing w:after="0"/>
              <w:rPr>
                <w:sz w:val="20"/>
                <w:szCs w:val="20"/>
                <w:color w:val="auto"/>
              </w:rPr>
            </w:pPr>
            <w:r>
              <w:rPr>
                <w:rFonts w:ascii="Arial" w:cs="Arial" w:eastAsia="Arial" w:hAnsi="Arial"/>
                <w:sz w:val="14"/>
                <w:szCs w:val="14"/>
                <w:color w:val="auto"/>
              </w:rPr>
              <w:t>$35.99</w:t>
            </w:r>
          </w:p>
        </w:tc>
        <w:tc>
          <w:tcPr>
            <w:tcW w:w="2260" w:type="dxa"/>
            <w:vAlign w:val="bottom"/>
          </w:tcPr>
          <w:p>
            <w:pPr>
              <w:jc w:val="right"/>
              <w:ind w:right="328"/>
              <w:spacing w:after="0"/>
              <w:rPr>
                <w:sz w:val="20"/>
                <w:szCs w:val="20"/>
                <w:color w:val="auto"/>
              </w:rPr>
            </w:pPr>
            <w:r>
              <w:rPr>
                <w:rFonts w:ascii="Arial" w:cs="Arial" w:eastAsia="Arial" w:hAnsi="Arial"/>
                <w:sz w:val="14"/>
                <w:szCs w:val="14"/>
                <w:color w:val="auto"/>
              </w:rPr>
              <w:t>60,000</w:t>
            </w:r>
          </w:p>
        </w:tc>
        <w:tc>
          <w:tcPr>
            <w:tcW w:w="1900" w:type="dxa"/>
            <w:vAlign w:val="bottom"/>
          </w:tcPr>
          <w:p>
            <w:pPr>
              <w:jc w:val="right"/>
              <w:ind w:right="408"/>
              <w:spacing w:after="0"/>
              <w:rPr>
                <w:sz w:val="20"/>
                <w:szCs w:val="20"/>
                <w:color w:val="auto"/>
              </w:rPr>
            </w:pPr>
            <w:r>
              <w:rPr>
                <w:rFonts w:ascii="Arial" w:cs="Arial" w:eastAsia="Arial" w:hAnsi="Arial"/>
                <w:sz w:val="14"/>
                <w:szCs w:val="14"/>
                <w:color w:val="auto"/>
              </w:rPr>
              <w:t>7.8</w:t>
            </w:r>
          </w:p>
        </w:tc>
        <w:tc>
          <w:tcPr>
            <w:tcW w:w="1540" w:type="dxa"/>
            <w:vAlign w:val="bottom"/>
          </w:tcPr>
          <w:p>
            <w:pPr>
              <w:jc w:val="right"/>
              <w:ind w:right="128"/>
              <w:spacing w:after="0"/>
              <w:rPr>
                <w:sz w:val="20"/>
                <w:szCs w:val="20"/>
                <w:color w:val="auto"/>
              </w:rPr>
            </w:pPr>
            <w:r>
              <w:rPr>
                <w:rFonts w:ascii="Arial" w:cs="Arial" w:eastAsia="Arial" w:hAnsi="Arial"/>
                <w:sz w:val="14"/>
                <w:szCs w:val="14"/>
                <w:color w:val="auto"/>
              </w:rPr>
              <w:t>$35.99</w:t>
            </w:r>
          </w:p>
        </w:tc>
        <w:tc>
          <w:tcPr>
            <w:tcW w:w="23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$9.00 - $35.99</w:t>
            </w:r>
          </w:p>
        </w:tc>
        <w:tc>
          <w:tcPr>
            <w:tcW w:w="226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2,321,852</w:t>
            </w:r>
          </w:p>
        </w:tc>
        <w:tc>
          <w:tcPr>
            <w:tcW w:w="190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5.8</w:t>
            </w:r>
          </w:p>
        </w:tc>
        <w:tc>
          <w:tcPr>
            <w:tcW w:w="15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$18.61</w:t>
            </w:r>
          </w:p>
        </w:tc>
        <w:tc>
          <w:tcPr>
            <w:tcW w:w="234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533,544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Substantially all of the options granted at exercise prices from $14.00 to $35.99 vest over a five year period from the date of grant. All other options have fully vested as of December 31, 2006.</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Fair value of Stock Options Assumptions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part vesting and termination patterns. The risk-free rate is based on the U.S. government zero-coupon bonds yield curve in effect at time of grant for periods corresponding with the expected life of the option.</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weighted average fair value of stock options granted during the year ended May 31, 2004, calculated using the Black-Scholes option pricing model, was $24.58 using the following assumptions; expected dividend yield - 0%, risk free interest rate - 4.87%, expected volatility - 50% and expected life - 4.8 years.</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weighted average fair value of stock options granted during the year ended May 31, 2005, calculated using the Black-Scholes option pricing model, was $17.09 using the following assumptions; expected dividend yield - 0%, risk free interest rate - 4.02%, expected volatility - 50% and expected life - 4.8 years.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stock options granted during the seven months ended December 31, 2005.</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weighted average fair value of stock options granted during the year ended December 31, 2006, calculated using the Black-Scholes option pricing model, was $10.39 using the following assumptions; expected dividend yield - 0%, risk free interest rate - 4.68%, expected volatility - 45% and expected life - 4.8 years.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auto"/>
        </w:rPr>
        <w:t>Total Compensation cost recognized in income:</w:t>
      </w:r>
    </w:p>
    <w:p>
      <w:pPr>
        <w:spacing w:after="0" w:line="285" w:lineRule="exact"/>
        <w:rPr>
          <w:sz w:val="20"/>
          <w:szCs w:val="20"/>
          <w:color w:val="auto"/>
        </w:rPr>
      </w:pPr>
    </w:p>
    <w:p>
      <w:pPr>
        <w:jc w:val="both"/>
        <w:ind w:right="120"/>
        <w:spacing w:after="0" w:line="277" w:lineRule="auto"/>
        <w:rPr>
          <w:sz w:val="20"/>
          <w:szCs w:val="20"/>
          <w:color w:val="auto"/>
        </w:rPr>
      </w:pPr>
      <w:r>
        <w:rPr>
          <w:rFonts w:ascii="Arial" w:cs="Arial" w:eastAsia="Arial" w:hAnsi="Arial"/>
          <w:sz w:val="14"/>
          <w:szCs w:val="14"/>
          <w:color w:val="auto"/>
        </w:rPr>
        <w:t>Income from operations for the year ended December 31, 2006, is stated after charging $4.1 million in respect of non-cash stock compensation expense. Basic and diluted earnings per share for the year ended December 31, 2006, had SFAS 123R not been introduced would have been $1.50 and $1.45 respectively. Non-cash stock compensation expense for the year ended December 31, 2006, has been allocated to direct costs and selling, general and administrative expenses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Seven</w:t>
            </w:r>
          </w:p>
        </w:tc>
        <w:tc>
          <w:tcPr>
            <w:tcW w:w="5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w:t>
            </w:r>
          </w:p>
        </w:tc>
      </w:tr>
      <w:tr>
        <w:trPr>
          <w:trHeight w:val="176"/>
        </w:trPr>
        <w:tc>
          <w:tcPr>
            <w:tcW w:w="5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Months</w:t>
            </w:r>
          </w:p>
        </w:tc>
        <w:tc>
          <w:tcPr>
            <w:tcW w:w="5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5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176"/>
        </w:trPr>
        <w:tc>
          <w:tcPr>
            <w:tcW w:w="5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5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32"/>
        </w:trPr>
        <w:tc>
          <w:tcPr>
            <w:tcW w:w="5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4"/>
                <w:szCs w:val="24"/>
                <w:color w:val="auto"/>
              </w:rPr>
            </w:pPr>
          </w:p>
        </w:tc>
      </w:tr>
      <w:tr>
        <w:trPr>
          <w:trHeight w:val="242"/>
        </w:trPr>
        <w:tc>
          <w:tcPr>
            <w:tcW w:w="51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Direct costs</w:t>
            </w:r>
          </w:p>
        </w:tc>
        <w:tc>
          <w:tcPr>
            <w:tcW w:w="3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w:t>
            </w:r>
          </w:p>
        </w:tc>
      </w:tr>
      <w:tr>
        <w:trPr>
          <w:trHeight w:val="243"/>
        </w:trPr>
        <w:tc>
          <w:tcPr>
            <w:tcW w:w="51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3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5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1,826</w:t>
            </w:r>
          </w:p>
        </w:tc>
      </w:tr>
      <w:tr>
        <w:trPr>
          <w:trHeight w:val="243"/>
        </w:trPr>
        <w:tc>
          <w:tcPr>
            <w:tcW w:w="5180" w:type="dxa"/>
            <w:vAlign w:val="bottom"/>
            <w:tcBorders>
              <w:bottom w:val="single" w:sz="8" w:color="auto"/>
            </w:tcBorders>
            <w:shd w:val="clear" w:color="auto" w:fill="CCEEFF"/>
          </w:tcPr>
          <w:p>
            <w:pPr>
              <w:spacing w:after="0"/>
              <w:rPr>
                <w:sz w:val="21"/>
                <w:szCs w:val="21"/>
                <w:color w:val="auto"/>
              </w:rPr>
            </w:pPr>
          </w:p>
        </w:tc>
        <w:tc>
          <w:tcPr>
            <w:tcW w:w="34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r>
      <w:tr>
        <w:trPr>
          <w:trHeight w:val="237"/>
        </w:trPr>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compensation costs</w:t>
            </w:r>
          </w:p>
        </w:tc>
        <w:tc>
          <w:tcPr>
            <w:tcW w:w="3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4,066</w:t>
            </w:r>
          </w:p>
        </w:tc>
      </w:tr>
    </w:tbl>
    <w:p>
      <w:pPr>
        <w:spacing w:after="0" w:line="265" w:lineRule="exact"/>
        <w:rPr>
          <w:sz w:val="20"/>
          <w:szCs w:val="20"/>
          <w:color w:val="auto"/>
        </w:rPr>
      </w:pPr>
    </w:p>
    <w:p>
      <w:pPr>
        <w:ind w:right="20"/>
        <w:spacing w:after="0" w:line="299" w:lineRule="auto"/>
        <w:rPr>
          <w:sz w:val="20"/>
          <w:szCs w:val="20"/>
          <w:color w:val="auto"/>
        </w:rPr>
      </w:pPr>
      <w:r>
        <w:rPr>
          <w:rFonts w:ascii="Arial" w:cs="Arial" w:eastAsia="Arial" w:hAnsi="Arial"/>
          <w:sz w:val="13"/>
          <w:szCs w:val="13"/>
          <w:color w:val="auto"/>
        </w:rPr>
        <w:t>On December 6, 2005, Dr. Ronan Lambe and Dr. John Climax gifted 64,000 and 80,000 ADSs, respectively, to Mr. Peter Gray, the Company’s Chief Executive Officer. The Company has accounted for these transfers of equity instruments from shareholders to Mr. Gray as share based payment transactions, and recorded a compensation expense of $6,023,520 in its Statement of Operations, measured by reference to the fair value of the ADSs on the grant date. As this transaction is a transfer of already issued stock between officers and directors of the Company, the expense recorded no cash flow impact on the Company and created no dilution of ordinary shares outstanding. The fair value of the ADSs on the date of gift was determined by reference to market price.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11. Government Grants</w:t>
            </w:r>
          </w:p>
        </w:tc>
        <w:tc>
          <w:tcPr>
            <w:tcW w:w="2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3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288"/>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Received</w:t>
            </w:r>
          </w:p>
        </w:tc>
        <w:tc>
          <w:tcPr>
            <w:tcW w:w="2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2,225</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2,225</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24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(1,048)</w:t>
            </w:r>
          </w:p>
        </w:tc>
        <w:tc>
          <w:tcPr>
            <w:tcW w:w="220" w:type="dxa"/>
            <w:vAlign w:val="bottom"/>
          </w:tcPr>
          <w:p>
            <w:pPr>
              <w:spacing w:after="0"/>
              <w:rPr>
                <w:sz w:val="21"/>
                <w:szCs w:val="21"/>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(1,266)</w:t>
            </w:r>
          </w:p>
        </w:tc>
      </w:tr>
      <w:tr>
        <w:trPr>
          <w:trHeight w:val="243"/>
        </w:trPr>
        <w:tc>
          <w:tcPr>
            <w:tcW w:w="580" w:type="dxa"/>
            <w:vAlign w:val="bottom"/>
          </w:tcPr>
          <w:p>
            <w:pPr>
              <w:spacing w:after="0"/>
              <w:rPr>
                <w:sz w:val="21"/>
                <w:szCs w:val="21"/>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Foreign exchange translation adjustment</w:t>
            </w:r>
          </w:p>
        </w:tc>
        <w:tc>
          <w:tcPr>
            <w:tcW w:w="2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197</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1,456</w:t>
            </w:r>
          </w:p>
        </w:tc>
        <w:tc>
          <w:tcPr>
            <w:tcW w:w="220" w:type="dxa"/>
            <w:vAlign w:val="bottom"/>
          </w:tcPr>
          <w:p>
            <w:pPr>
              <w:spacing w:after="0"/>
              <w:rPr>
                <w:sz w:val="20"/>
                <w:szCs w:val="20"/>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1,269</w:t>
            </w:r>
          </w:p>
        </w:tc>
        <w:tc>
          <w:tcPr>
            <w:tcW w:w="340" w:type="dxa"/>
            <w:vAlign w:val="bottom"/>
          </w:tcPr>
          <w:p>
            <w:pPr>
              <w:spacing w:after="0"/>
              <w:rPr>
                <w:sz w:val="20"/>
                <w:szCs w:val="20"/>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1,288</w:t>
            </w:r>
          </w:p>
        </w:tc>
      </w:tr>
      <w:tr>
        <w:trPr>
          <w:trHeight w:val="243"/>
        </w:trPr>
        <w:tc>
          <w:tcPr>
            <w:tcW w:w="580" w:type="dxa"/>
            <w:vAlign w:val="bottom"/>
          </w:tcPr>
          <w:p>
            <w:pPr>
              <w:spacing w:after="0"/>
              <w:rPr>
                <w:sz w:val="21"/>
                <w:szCs w:val="21"/>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Less current portion</w:t>
            </w:r>
          </w:p>
        </w:tc>
        <w:tc>
          <w:tcPr>
            <w:tcW w:w="2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37"/>
        </w:trPr>
        <w:tc>
          <w:tcPr>
            <w:tcW w:w="58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1,160</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1,170</w:t>
            </w:r>
          </w:p>
        </w:tc>
      </w:tr>
    </w:tbl>
    <w:p>
      <w:pPr>
        <w:spacing w:after="0" w:line="26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Government grants amortized to the profit and loss account amounted to U.S.$569,000, U.S.$199,000, U.S.$105,000 and U.S.$113,000 for the years ended May 31, 2004 and 2005, for the seven month period ended December 31, 2005 and for the year ended December 31, 2006,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2006 the Company had U.S.$1,351,000 in restricted retained earnings, pursuant to the terms of the grant agreements.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12. Share Capital</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Ordinary Shares</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to May 31, 2004, 993,838 options were exercised by employees at an average exercise price of U.S.$5.39 per share for total proceeds of U.S.$5.4 million.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to May 31, 2005, a further 121,240 options were exercised by employees at an average exercise price of U.S.$11.56 per share for total proceeds of U.S.$1.4 million.</w:t>
      </w:r>
    </w:p>
    <w:p>
      <w:pPr>
        <w:spacing w:after="0" w:line="285" w:lineRule="exact"/>
        <w:rPr>
          <w:sz w:val="20"/>
          <w:szCs w:val="20"/>
          <w:color w:val="auto"/>
        </w:rPr>
      </w:pPr>
    </w:p>
    <w:p>
      <w:pPr>
        <w:ind w:right="360"/>
        <w:spacing w:after="0" w:line="293" w:lineRule="auto"/>
        <w:rPr>
          <w:sz w:val="20"/>
          <w:szCs w:val="20"/>
          <w:color w:val="auto"/>
        </w:rPr>
      </w:pPr>
      <w:r>
        <w:rPr>
          <w:rFonts w:ascii="Arial" w:cs="Arial" w:eastAsia="Arial" w:hAnsi="Arial"/>
          <w:sz w:val="14"/>
          <w:szCs w:val="14"/>
          <w:color w:val="auto"/>
        </w:rPr>
        <w:t>During the seven month period to December 31, 2005, a further 237,992 options were exercised by employees at an average exercise price of U.S.$8.04 per share for total proceeds of U.S.$1.9 million.</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During the year ended December 31, 2006, a further 481,668 options were exercised by employees at an average exercise price of U.S.$13.87 per share for total proceeds of U.S.$6.7 million.</w:t>
      </w:r>
    </w:p>
    <w:p>
      <w:pPr>
        <w:spacing w:after="0" w:line="296"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On September 29, 2006, ICON’s shareholders approved a bonus issue of ordinary shares (the “Bonus Issue”) to shareholders of record as of the close of business on October 13, 2006 (the “Record Date”). The Bonus Issue provided for each shareholder to receive one bonus ordinary share for each ordinary share held as of the Record Date, effecting the equivalent of a 2-for-1 stock split. The Bonus shares were issued on October 16, 2006 to Ordinary Shareholders and on October 23, 2006 to holders of American Depositary Shares (“ADSs”). NASDAQ adjusted the trading price of ICON’s ADSs to effect the Bonus Issue prior to the opening of trading on October 24, 2006. All outstanding ordinary share amounts referenced in the consolidated financial statements and the notes thereto have been retrospectively restated to give effect to the Bonus Issue as if it had occurred as of the date referenced.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13. Income Taxes</w:t>
      </w:r>
    </w:p>
    <w:p>
      <w:pPr>
        <w:spacing w:after="0" w:line="28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The U.S. based and Irish based subsidiaries file tax returns in the United States and Ireland, respectively. The other foreign subsidiaries are taxed separately under the laws of their respective countries.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gridSpan w:val="2"/>
          </w:tcPr>
          <w:p>
            <w:pPr>
              <w:spacing w:after="0"/>
              <w:rPr>
                <w:sz w:val="20"/>
                <w:szCs w:val="20"/>
                <w:color w:val="auto"/>
              </w:rPr>
            </w:pPr>
            <w:r>
              <w:rPr>
                <w:rFonts w:ascii="Arial" w:cs="Arial" w:eastAsia="Arial" w:hAnsi="Arial"/>
                <w:sz w:val="14"/>
                <w:szCs w:val="14"/>
                <w:color w:val="auto"/>
                <w:w w:val="99"/>
              </w:rPr>
              <w:t>The components of income before provision for income tax expense are as follows:</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513"/>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Year Ended May 31,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87"/>
              </w:rPr>
              <w:t>Seven</w:t>
            </w:r>
          </w:p>
        </w:tc>
        <w:tc>
          <w:tcPr>
            <w:tcW w:w="3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Months Ended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21"/>
                <w:szCs w:val="21"/>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40" w:type="dxa"/>
            <w:vAlign w:val="bottom"/>
            <w:gridSpan w:val="3"/>
          </w:tcPr>
          <w:p>
            <w:pPr>
              <w:jc w:val="right"/>
              <w:ind w:right="102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7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12,674</w:t>
            </w:r>
          </w:p>
        </w:tc>
        <w:tc>
          <w:tcPr>
            <w:tcW w:w="8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13,795</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31,212*</w:t>
            </w:r>
          </w:p>
        </w:tc>
      </w:tr>
      <w:tr>
        <w:trPr>
          <w:trHeight w:val="243"/>
        </w:trPr>
        <w:tc>
          <w:tcPr>
            <w:tcW w:w="58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United States</w:t>
            </w:r>
          </w:p>
        </w:tc>
        <w:tc>
          <w:tcPr>
            <w:tcW w:w="7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9,601</w:t>
            </w:r>
          </w:p>
        </w:tc>
        <w:tc>
          <w:tcPr>
            <w:tcW w:w="8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(9,001)</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2,647</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12,l69*</w:t>
            </w:r>
          </w:p>
        </w:tc>
      </w:tr>
      <w:tr>
        <w:trPr>
          <w:trHeight w:val="243"/>
        </w:trPr>
        <w:tc>
          <w:tcPr>
            <w:tcW w:w="580" w:type="dxa"/>
            <w:vAlign w:val="bottom"/>
          </w:tcPr>
          <w:p>
            <w:pPr>
              <w:spacing w:after="0"/>
              <w:rPr>
                <w:sz w:val="21"/>
                <w:szCs w:val="21"/>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12,396</w:t>
            </w:r>
          </w:p>
        </w:tc>
        <w:tc>
          <w:tcPr>
            <w:tcW w:w="8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14,792</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11,647</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8,075</w:t>
            </w:r>
          </w:p>
        </w:tc>
      </w:tr>
      <w:tr>
        <w:trPr>
          <w:trHeight w:val="237"/>
        </w:trPr>
        <w:tc>
          <w:tcPr>
            <w:tcW w:w="58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before provision for income taxes</w:t>
            </w: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34,671</w:t>
            </w:r>
          </w:p>
        </w:tc>
        <w:tc>
          <w:tcPr>
            <w:tcW w:w="8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12,824</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51,456</w:t>
            </w:r>
          </w:p>
        </w:tc>
      </w:tr>
      <w:tr>
        <w:trPr>
          <w:trHeight w:val="20"/>
        </w:trPr>
        <w:tc>
          <w:tcPr>
            <w:tcW w:w="58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80" w:right="240"/>
        <w:spacing w:after="0" w:line="293" w:lineRule="auto"/>
        <w:rPr>
          <w:sz w:val="20"/>
          <w:szCs w:val="20"/>
          <w:color w:val="auto"/>
        </w:rPr>
      </w:pPr>
      <w:r>
        <w:rPr>
          <w:rFonts w:ascii="Arial" w:cs="Arial" w:eastAsia="Arial" w:hAnsi="Arial"/>
          <w:sz w:val="14"/>
          <w:szCs w:val="14"/>
          <w:color w:val="auto"/>
        </w:rPr>
        <w:t>*Net Income as reported for the year ended December 31, 2006 for Ireland and United States is stated inclusive of stock compensation expense of $1.95m and $2.12m respectively (see Note 10: Share Options and Stock Compensation Charges).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total income tax expense are as follows: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Seven Months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6"/>
        </w:trPr>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3"/>
              </w:rPr>
              <w:t>Year Ended May 31</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6"/>
                <w:szCs w:val="16"/>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1"/>
                <w:szCs w:val="21"/>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r>
      <w:tr>
        <w:trPr>
          <w:trHeight w:val="243"/>
        </w:trPr>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21"/>
                <w:szCs w:val="21"/>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2006</w:t>
            </w:r>
          </w:p>
        </w:tc>
      </w:tr>
      <w:tr>
        <w:trPr>
          <w:trHeight w:val="243"/>
        </w:trPr>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80" w:type="dxa"/>
            <w:vAlign w:val="bottom"/>
            <w:gridSpan w:val="3"/>
          </w:tcPr>
          <w:p>
            <w:pPr>
              <w:jc w:val="right"/>
              <w:ind w:right="1028"/>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5"/>
        </w:trPr>
        <w:tc>
          <w:tcPr>
            <w:tcW w:w="580" w:type="dxa"/>
            <w:vAlign w:val="bottom"/>
          </w:tcPr>
          <w:p>
            <w:pPr>
              <w:spacing w:after="0"/>
              <w:rPr>
                <w:sz w:val="18"/>
                <w:szCs w:val="18"/>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8"/>
              </w:rPr>
              <w:t>Provision for income taxes</w:t>
            </w:r>
          </w:p>
        </w:tc>
        <w:tc>
          <w:tcPr>
            <w:tcW w:w="3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Current:</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Ireland</w:t>
            </w:r>
          </w:p>
        </w:tc>
        <w:tc>
          <w:tcPr>
            <w:tcW w:w="9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1,365</w:t>
            </w:r>
          </w:p>
        </w:tc>
        <w:tc>
          <w:tcPr>
            <w:tcW w:w="96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401</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4,291</w:t>
            </w: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United States</w:t>
            </w:r>
          </w:p>
        </w:tc>
        <w:tc>
          <w:tcPr>
            <w:tcW w:w="9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3,339</w:t>
            </w:r>
          </w:p>
        </w:tc>
        <w:tc>
          <w:tcPr>
            <w:tcW w:w="960" w:type="dxa"/>
            <w:vAlign w:val="bottom"/>
          </w:tcPr>
          <w:p>
            <w:pPr>
              <w:spacing w:after="0"/>
              <w:rPr>
                <w:sz w:val="21"/>
                <w:szCs w:val="21"/>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1,872</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1,196</w:t>
            </w:r>
          </w:p>
        </w:tc>
        <w:tc>
          <w:tcPr>
            <w:tcW w:w="2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8,855</w:t>
            </w:r>
          </w:p>
        </w:tc>
      </w:tr>
      <w:tr>
        <w:trPr>
          <w:trHeight w:val="243"/>
        </w:trPr>
        <w:tc>
          <w:tcPr>
            <w:tcW w:w="580" w:type="dxa"/>
            <w:vAlign w:val="bottom"/>
          </w:tcPr>
          <w:p>
            <w:pPr>
              <w:spacing w:after="0"/>
              <w:rPr>
                <w:sz w:val="21"/>
                <w:szCs w:val="21"/>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3,209</w:t>
            </w: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2,885</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3,044</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4,389</w:t>
            </w:r>
          </w:p>
        </w:tc>
      </w:tr>
      <w:tr>
        <w:trPr>
          <w:trHeight w:val="237"/>
        </w:trPr>
        <w:tc>
          <w:tcPr>
            <w:tcW w:w="58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Total current tax</w:t>
            </w:r>
          </w:p>
        </w:tc>
        <w:tc>
          <w:tcPr>
            <w:tcW w:w="94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7,913</w:t>
            </w:r>
          </w:p>
        </w:tc>
        <w:tc>
          <w:tcPr>
            <w:tcW w:w="96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6,578</w:t>
            </w:r>
          </w:p>
        </w:tc>
        <w:tc>
          <w:tcPr>
            <w:tcW w:w="220" w:type="dxa"/>
            <w:vAlign w:val="bottom"/>
          </w:tcPr>
          <w:p>
            <w:pPr>
              <w:spacing w:after="0"/>
              <w:rPr>
                <w:sz w:val="20"/>
                <w:szCs w:val="20"/>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4,641</w:t>
            </w:r>
          </w:p>
        </w:tc>
        <w:tc>
          <w:tcPr>
            <w:tcW w:w="220" w:type="dxa"/>
            <w:vAlign w:val="bottom"/>
          </w:tcPr>
          <w:p>
            <w:pPr>
              <w:spacing w:after="0"/>
              <w:rPr>
                <w:sz w:val="20"/>
                <w:szCs w:val="20"/>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17,535</w:t>
            </w:r>
          </w:p>
        </w:tc>
      </w:tr>
      <w:tr>
        <w:trPr>
          <w:trHeight w:val="243"/>
        </w:trPr>
        <w:tc>
          <w:tcPr>
            <w:tcW w:w="58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expenses/(benefit):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Ireland</w:t>
            </w:r>
          </w:p>
        </w:tc>
        <w:tc>
          <w:tcPr>
            <w:tcW w:w="9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43"/>
        </w:trPr>
        <w:tc>
          <w:tcPr>
            <w:tcW w:w="58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1,016</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w:t>
            </w:r>
          </w:p>
        </w:tc>
      </w:tr>
      <w:tr>
        <w:trPr>
          <w:trHeight w:val="243"/>
        </w:trPr>
        <w:tc>
          <w:tcPr>
            <w:tcW w:w="580" w:type="dxa"/>
            <w:vAlign w:val="bottom"/>
          </w:tcPr>
          <w:p>
            <w:pPr>
              <w:spacing w:after="0"/>
              <w:rPr>
                <w:sz w:val="21"/>
                <w:szCs w:val="21"/>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r>
      <w:tr>
        <w:trPr>
          <w:trHeight w:val="237"/>
        </w:trPr>
        <w:tc>
          <w:tcPr>
            <w:tcW w:w="58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Total deferred (benefit) /tax</w:t>
            </w:r>
          </w:p>
        </w:tc>
        <w:tc>
          <w:tcPr>
            <w:tcW w:w="94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1,016</w:t>
            </w:r>
          </w:p>
        </w:tc>
        <w:tc>
          <w:tcPr>
            <w:tcW w:w="96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755</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(4,611)</w:t>
            </w:r>
          </w:p>
        </w:tc>
      </w:tr>
      <w:tr>
        <w:trPr>
          <w:trHeight w:val="243"/>
        </w:trPr>
        <w:tc>
          <w:tcPr>
            <w:tcW w:w="580" w:type="dxa"/>
            <w:vAlign w:val="bottom"/>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8,929</w:t>
            </w: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5,852</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12,924</w:t>
            </w:r>
          </w:p>
        </w:tc>
      </w:tr>
      <w:tr>
        <w:trPr>
          <w:trHeight w:val="243"/>
        </w:trPr>
        <w:tc>
          <w:tcPr>
            <w:tcW w:w="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w w:val="94"/>
              </w:rPr>
              <w:t>Impact on shareholders equity of the tax consequence of compensation expense.</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(2,276)</w:t>
            </w: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237"/>
        </w:trPr>
        <w:tc>
          <w:tcPr>
            <w:tcW w:w="580" w:type="dxa"/>
            <w:vAlign w:val="bottom"/>
          </w:tcPr>
          <w:p>
            <w:pPr>
              <w:spacing w:after="0"/>
              <w:rPr>
                <w:sz w:val="20"/>
                <w:szCs w:val="20"/>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6,653</w:t>
            </w:r>
          </w:p>
        </w:tc>
        <w:tc>
          <w:tcPr>
            <w:tcW w:w="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4,638</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11,815</w:t>
            </w:r>
          </w:p>
        </w:tc>
      </w:tr>
      <w:tr>
        <w:trPr>
          <w:trHeight w:val="20"/>
        </w:trPr>
        <w:tc>
          <w:tcPr>
            <w:tcW w:w="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8"/>
        </w:trPr>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40" w:type="dxa"/>
            <w:vAlign w:val="bottom"/>
          </w:tcPr>
          <w:p>
            <w:pPr>
              <w:jc w:val="right"/>
              <w:ind w:right="428"/>
              <w:spacing w:after="0"/>
              <w:rPr>
                <w:sz w:val="20"/>
                <w:szCs w:val="20"/>
                <w:color w:val="auto"/>
              </w:rPr>
            </w:pPr>
            <w:r>
              <w:rPr>
                <w:rFonts w:ascii="Arial" w:cs="Arial" w:eastAsia="Arial" w:hAnsi="Arial"/>
                <w:sz w:val="14"/>
                <w:szCs w:val="14"/>
                <w:color w:val="auto"/>
              </w:rPr>
              <w:t>79</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7"/>
        </w:trPr>
        <w:tc>
          <w:tcPr>
            <w:tcW w:w="5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2" w:name="page83"/>
    <w:bookmarkEnd w:id="82"/>
    <w:p>
      <w:pPr>
        <w:spacing w:after="0" w:line="293" w:lineRule="auto"/>
        <w:rPr>
          <w:sz w:val="20"/>
          <w:szCs w:val="20"/>
          <w:color w:val="auto"/>
        </w:rPr>
      </w:pPr>
      <w:r>
        <w:rPr>
          <w:rFonts w:ascii="Arial" w:cs="Arial" w:eastAsia="Arial" w:hAnsi="Arial"/>
          <w:sz w:val="14"/>
          <w:szCs w:val="14"/>
          <w:color w:val="auto"/>
        </w:rPr>
        <w:t>Ireland’s statutory income tax rate is 12.5%. Certain activities carried out by the Irish company, principally data processing services, are taxed at a reduced rate of 10%. The Company’s consolidated effective tax rate differed from the statutory rate as set forth below;</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Seven Months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4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21"/>
                <w:szCs w:val="21"/>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4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May 31,</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1"/>
                <w:szCs w:val="21"/>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December 31,</w:t>
            </w:r>
          </w:p>
        </w:tc>
      </w:tr>
      <w:tr>
        <w:trPr>
          <w:trHeight w:val="243"/>
        </w:trPr>
        <w:tc>
          <w:tcPr>
            <w:tcW w:w="4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568"/>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1"/>
                <w:szCs w:val="21"/>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30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21"/>
                <w:szCs w:val="21"/>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4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580" w:type="dxa"/>
            <w:vAlign w:val="bottom"/>
            <w:gridSpan w:val="3"/>
          </w:tcPr>
          <w:p>
            <w:pPr>
              <w:jc w:val="right"/>
              <w:ind w:right="102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Taxes at Irish statutory rate of 12.5% (2005:12.5%, 2004: 12.5%)</w:t>
            </w:r>
          </w:p>
        </w:tc>
        <w:tc>
          <w:tcPr>
            <w:tcW w:w="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4,334</w:t>
            </w:r>
          </w:p>
        </w:tc>
        <w:tc>
          <w:tcPr>
            <w:tcW w:w="4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1,603</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6,430</w:t>
            </w:r>
          </w:p>
        </w:tc>
      </w:tr>
      <w:tr>
        <w:trPr>
          <w:trHeight w:val="243"/>
        </w:trPr>
        <w:tc>
          <w:tcPr>
            <w:tcW w:w="4640" w:type="dxa"/>
            <w:vAlign w:val="bottom"/>
          </w:tcPr>
          <w:p>
            <w:pPr>
              <w:spacing w:after="0"/>
              <w:rPr>
                <w:sz w:val="20"/>
                <w:szCs w:val="20"/>
                <w:color w:val="auto"/>
              </w:rPr>
            </w:pPr>
            <w:r>
              <w:rPr>
                <w:rFonts w:ascii="Arial" w:cs="Arial" w:eastAsia="Arial" w:hAnsi="Arial"/>
                <w:sz w:val="14"/>
                <w:szCs w:val="14"/>
                <w:color w:val="auto"/>
              </w:rPr>
              <w:t>Foreign and other income taxed at higher/(reduced) rates</w:t>
            </w:r>
          </w:p>
        </w:tc>
        <w:tc>
          <w:tcPr>
            <w:tcW w:w="5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2,786</w:t>
            </w:r>
          </w:p>
        </w:tc>
        <w:tc>
          <w:tcPr>
            <w:tcW w:w="46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(1,068)</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953</w:t>
            </w:r>
          </w:p>
        </w:tc>
        <w:tc>
          <w:tcPr>
            <w:tcW w:w="2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10,575</w:t>
            </w:r>
          </w:p>
        </w:tc>
      </w:tr>
      <w:tr>
        <w:trPr>
          <w:trHeight w:val="170"/>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w w:val="97"/>
              </w:rPr>
              <w:t>United States state tax net of United States Federal benefit and other foreign</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1"/>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taxes</w:t>
            </w: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4640" w:type="dxa"/>
            <w:vAlign w:val="bottom"/>
          </w:tcPr>
          <w:p>
            <w:pPr>
              <w:spacing w:after="0"/>
              <w:rPr>
                <w:sz w:val="20"/>
                <w:szCs w:val="20"/>
                <w:color w:val="auto"/>
              </w:rPr>
            </w:pPr>
            <w:r>
              <w:rPr>
                <w:rFonts w:ascii="Arial" w:cs="Arial" w:eastAsia="Arial" w:hAnsi="Arial"/>
                <w:sz w:val="14"/>
                <w:szCs w:val="14"/>
                <w:color w:val="auto"/>
              </w:rPr>
              <w:t>Movement in valuation allowance</w:t>
            </w:r>
          </w:p>
        </w:tc>
        <w:tc>
          <w:tcPr>
            <w:tcW w:w="5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1,445</w:t>
            </w:r>
          </w:p>
        </w:tc>
        <w:tc>
          <w:tcPr>
            <w:tcW w:w="46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2,473</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(6,113)</w:t>
            </w:r>
          </w:p>
        </w:tc>
      </w:tr>
      <w:tr>
        <w:trPr>
          <w:trHeight w:val="243"/>
        </w:trPr>
        <w:tc>
          <w:tcPr>
            <w:tcW w:w="4640" w:type="dxa"/>
            <w:vAlign w:val="bottom"/>
            <w:shd w:val="clear" w:color="auto" w:fill="CCEEFF"/>
          </w:tcPr>
          <w:p>
            <w:pPr>
              <w:spacing w:after="0"/>
              <w:rPr>
                <w:sz w:val="20"/>
                <w:szCs w:val="20"/>
                <w:color w:val="auto"/>
              </w:rPr>
            </w:pPr>
            <w:r>
              <w:rPr>
                <w:rFonts w:ascii="Arial" w:cs="Arial" w:eastAsia="Arial" w:hAnsi="Arial"/>
                <w:sz w:val="14"/>
                <w:szCs w:val="14"/>
                <w:color w:val="auto"/>
              </w:rPr>
              <w:t>Prior year over / under provision in respect of foreign taxes</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(1,319)</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r>
      <w:tr>
        <w:trPr>
          <w:trHeight w:val="243"/>
        </w:trPr>
        <w:tc>
          <w:tcPr>
            <w:tcW w:w="4640" w:type="dxa"/>
            <w:vAlign w:val="bottom"/>
          </w:tcPr>
          <w:p>
            <w:pPr>
              <w:spacing w:after="0"/>
              <w:rPr>
                <w:sz w:val="20"/>
                <w:szCs w:val="20"/>
                <w:color w:val="auto"/>
              </w:rPr>
            </w:pPr>
            <w:r>
              <w:rPr>
                <w:rFonts w:ascii="Arial" w:cs="Arial" w:eastAsia="Arial" w:hAnsi="Arial"/>
                <w:sz w:val="14"/>
                <w:szCs w:val="14"/>
                <w:color w:val="auto"/>
              </w:rPr>
              <w:t>Non deductible expenses</w:t>
            </w:r>
          </w:p>
        </w:tc>
        <w:tc>
          <w:tcPr>
            <w:tcW w:w="5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531</w:t>
            </w:r>
          </w:p>
        </w:tc>
        <w:tc>
          <w:tcPr>
            <w:tcW w:w="46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2,491</w:t>
            </w:r>
          </w:p>
        </w:tc>
        <w:tc>
          <w:tcPr>
            <w:tcW w:w="220" w:type="dxa"/>
            <w:vAlign w:val="bottom"/>
          </w:tcPr>
          <w:p>
            <w:pPr>
              <w:spacing w:after="0"/>
              <w:rPr>
                <w:sz w:val="21"/>
                <w:szCs w:val="21"/>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995</w:t>
            </w:r>
          </w:p>
        </w:tc>
        <w:tc>
          <w:tcPr>
            <w:tcW w:w="2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538</w:t>
            </w:r>
          </w:p>
        </w:tc>
      </w:tr>
      <w:tr>
        <w:trPr>
          <w:trHeight w:val="243"/>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37"/>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3"/>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provision for income taxes</w:t>
            </w:r>
          </w:p>
        </w:tc>
        <w:tc>
          <w:tcPr>
            <w:tcW w:w="5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8,929</w:t>
            </w:r>
          </w:p>
        </w:tc>
        <w:tc>
          <w:tcPr>
            <w:tcW w:w="4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5,396</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12,924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deferred tax assets and deferred tax liabilities are presented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Seven Months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w w:val="97"/>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5"/>
        </w:trPr>
        <w:tc>
          <w:tcPr>
            <w:tcW w:w="58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w:t>
            </w:r>
          </w:p>
        </w:tc>
        <w:tc>
          <w:tcPr>
            <w:tcW w:w="29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1,914</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1,659</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Goodwill and related assets</w:t>
            </w: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1,575</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1,865</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2,742</w:t>
            </w:r>
          </w:p>
        </w:tc>
      </w:tr>
      <w:tr>
        <w:trPr>
          <w:trHeight w:val="243"/>
        </w:trPr>
        <w:tc>
          <w:tcPr>
            <w:tcW w:w="5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Accruals to cash method adjustment</w:t>
            </w:r>
          </w:p>
        </w:tc>
        <w:tc>
          <w:tcPr>
            <w:tcW w:w="29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r>
      <w:tr>
        <w:trPr>
          <w:trHeight w:val="243"/>
        </w:trPr>
        <w:tc>
          <w:tcPr>
            <w:tcW w:w="58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r>
      <w:tr>
        <w:trPr>
          <w:trHeight w:val="237"/>
        </w:trPr>
        <w:tc>
          <w:tcPr>
            <w:tcW w:w="58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liabilities</w:t>
            </w:r>
          </w:p>
        </w:tc>
        <w:tc>
          <w:tcPr>
            <w:tcW w:w="29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4,013</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4,570</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4,655</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Deferred tax assets:</w:t>
            </w:r>
          </w:p>
        </w:tc>
        <w:tc>
          <w:tcPr>
            <w:tcW w:w="2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Net operating loss carry forwards</w:t>
            </w:r>
          </w:p>
        </w:tc>
        <w:tc>
          <w:tcPr>
            <w:tcW w:w="29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5,891</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7,330</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5,971</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853</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768</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486</w:t>
            </w:r>
          </w:p>
        </w:tc>
      </w:tr>
      <w:tr>
        <w:trPr>
          <w:trHeight w:val="243"/>
        </w:trPr>
        <w:tc>
          <w:tcPr>
            <w:tcW w:w="5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 and payments on account</w:t>
            </w:r>
          </w:p>
        </w:tc>
        <w:tc>
          <w:tcPr>
            <w:tcW w:w="29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4,354</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4,680</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4,520</w:t>
            </w:r>
          </w:p>
        </w:tc>
      </w:tr>
      <w:tr>
        <w:trPr>
          <w:trHeight w:val="243"/>
        </w:trPr>
        <w:tc>
          <w:tcPr>
            <w:tcW w:w="580" w:type="dxa"/>
            <w:vAlign w:val="bottom"/>
          </w:tcPr>
          <w:p>
            <w:pPr>
              <w:spacing w:after="0"/>
              <w:rPr>
                <w:sz w:val="21"/>
                <w:szCs w:val="21"/>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Stock options exercised</w:t>
            </w:r>
          </w:p>
        </w:tc>
        <w:tc>
          <w:tcPr>
            <w:tcW w:w="294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467</w:t>
            </w:r>
          </w:p>
        </w:tc>
      </w:tr>
      <w:tr>
        <w:trPr>
          <w:trHeight w:val="243"/>
        </w:trPr>
        <w:tc>
          <w:tcPr>
            <w:tcW w:w="5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Deferred compensation expense</w:t>
            </w:r>
          </w:p>
        </w:tc>
        <w:tc>
          <w:tcPr>
            <w:tcW w:w="29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321</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r>
      <w:tr>
        <w:trPr>
          <w:trHeight w:val="243"/>
        </w:trPr>
        <w:tc>
          <w:tcPr>
            <w:tcW w:w="58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451</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r>
      <w:tr>
        <w:trPr>
          <w:trHeight w:val="237"/>
        </w:trPr>
        <w:tc>
          <w:tcPr>
            <w:tcW w:w="58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29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11,870</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13,347</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11,929</w:t>
            </w:r>
          </w:p>
        </w:tc>
      </w:tr>
      <w:tr>
        <w:trPr>
          <w:trHeight w:val="243"/>
        </w:trPr>
        <w:tc>
          <w:tcPr>
            <w:tcW w:w="580" w:type="dxa"/>
            <w:vAlign w:val="bottom"/>
          </w:tcPr>
          <w:p>
            <w:pPr>
              <w:spacing w:after="0"/>
              <w:rPr>
                <w:sz w:val="21"/>
                <w:szCs w:val="21"/>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Valuation allowance for deferred tax assets</w:t>
            </w:r>
          </w:p>
        </w:tc>
        <w:tc>
          <w:tcPr>
            <w:tcW w:w="29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(8,277)</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(9,952)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(3,839)</w:t>
            </w:r>
          </w:p>
        </w:tc>
      </w:tr>
      <w:tr>
        <w:trPr>
          <w:trHeight w:val="277"/>
        </w:trPr>
        <w:tc>
          <w:tcPr>
            <w:tcW w:w="580" w:type="dxa"/>
            <w:vAlign w:val="bottom"/>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Deferred tax assets recognized</w:t>
            </w:r>
          </w:p>
        </w:tc>
        <w:tc>
          <w:tcPr>
            <w:tcW w:w="2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3,593</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3,395</w:t>
            </w:r>
          </w:p>
        </w:tc>
        <w:tc>
          <w:tcPr>
            <w:tcW w:w="3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8,090</w:t>
            </w:r>
          </w:p>
        </w:tc>
      </w:tr>
      <w:tr>
        <w:trPr>
          <w:trHeight w:val="224"/>
        </w:trPr>
        <w:tc>
          <w:tcPr>
            <w:tcW w:w="58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deferred tax asset / (liability)</w:t>
            </w:r>
          </w:p>
        </w:tc>
        <w:tc>
          <w:tcPr>
            <w:tcW w:w="2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(1,175)</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3,435</w:t>
            </w:r>
          </w:p>
        </w:tc>
      </w:tr>
      <w:tr>
        <w:trPr>
          <w:trHeight w:val="20"/>
        </w:trPr>
        <w:tc>
          <w:tcPr>
            <w:tcW w:w="58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8"/>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40" w:type="dxa"/>
            <w:vAlign w:val="bottom"/>
          </w:tcPr>
          <w:p>
            <w:pPr>
              <w:jc w:val="right"/>
              <w:ind w:right="1468"/>
              <w:spacing w:after="0"/>
              <w:rPr>
                <w:sz w:val="20"/>
                <w:szCs w:val="20"/>
                <w:color w:val="auto"/>
              </w:rPr>
            </w:pPr>
            <w:r>
              <w:rPr>
                <w:rFonts w:ascii="Arial" w:cs="Arial" w:eastAsia="Arial" w:hAnsi="Arial"/>
                <w:sz w:val="14"/>
                <w:szCs w:val="14"/>
                <w:color w:val="auto"/>
              </w:rPr>
              <w:t>80</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58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U.S.$0.531 million of the deferred tax asset of U.S.$8.090 million above is non-current. U.S.$2.586 million of the deferred tax liability of U.S.$4.655 million is non-current.</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At December 31, 2006, non-US subsidiaries had operating loss carry forwards for income tax purposes that may be carried forward indefinitely, available to offset against future taxable income, if any, of approximately U.S.$5.170 million.</w:t>
      </w:r>
    </w:p>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At December 31, 2006, ICON Laboratory Inc., a U.S. subsidiary had net operating loss carry forwards for U.S. Federal and State income tax purposes, available to offset against future taxable income if any of approximately U.S.$9.979 million for U.S. Federal and U.S.$11.859 million for State income tax, which expire between 2021 and 2026.</w:t>
      </w:r>
    </w:p>
    <w:p>
      <w:pPr>
        <w:spacing w:after="0" w:line="22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Of the U.S.$9.979 million U.S. Federal and U.S.$11.859 million State net operating losses, approximately U.S.$9.301 million and U.S.$11.181 million respectively will be available for offset against future taxable income, if any, of future accounting periods. The subsidiary’s ability to use the remaining net operating loss carryforward of U.S.$1.322 million for Federal and State taxes is limited to U.S.$113,000 per year due to the subsidiary experiencing a change of ownership in 2000, as defined by Section 382 of the Internal Revenue Code of 1986, as amended.</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 valuation allowance is provided when it is more likely than not that some portion or all of the deferred tax assets will not be realized. The Company has provided a valuation allowance at December 31, 2006, of U.S.$3,839,000 and U.S.$9,952,000, U.S.$8,277,000 and U.S.$3,361,000 at December 31, 2005, May 31, 2005 and 2004, respectively. This valuation allowance is based on management’s belief that it is more likely than not that the European, US and other entities’ losses and other deferred tax assets will not be utilized given their history of operating losses. The valuation allowance was U.S.$1.9 million as of June 1, 2003 and increased by U.S.$1.4 million, U.S.$4.9 million, and U.S.$1.7 million for the years ended May 31, 2004 and 2005 and the seven month period ended December 31, 2005, respectively. The valuation allowance decreased by U.S.$6.1 in the year ended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Other charges</w:t>
      </w:r>
    </w:p>
    <w:p>
      <w:pPr>
        <w:spacing w:after="0" w:line="289" w:lineRule="exact"/>
        <w:rPr>
          <w:sz w:val="20"/>
          <w:szCs w:val="20"/>
          <w:color w:val="auto"/>
        </w:rPr>
      </w:pPr>
    </w:p>
    <w:p>
      <w:pPr>
        <w:ind w:right="560"/>
        <w:spacing w:after="0" w:line="293" w:lineRule="auto"/>
        <w:rPr>
          <w:sz w:val="20"/>
          <w:szCs w:val="20"/>
          <w:color w:val="auto"/>
        </w:rPr>
      </w:pPr>
      <w:r>
        <w:rPr>
          <w:rFonts w:ascii="Arial" w:cs="Arial" w:eastAsia="Arial" w:hAnsi="Arial"/>
          <w:sz w:val="14"/>
          <w:szCs w:val="14"/>
          <w:color w:val="auto"/>
        </w:rPr>
        <w:t>The principal items classified as other charges include asset impairments, computer software write-off and lease termination and exit costs. These charges were expensed to the statement of operations during the year ended May 31, 2005.</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20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176"/>
        </w:trPr>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(A)</w:t>
            </w:r>
          </w:p>
        </w:tc>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 impairment charge</w:t>
            </w:r>
          </w:p>
        </w:tc>
        <w:tc>
          <w:tcPr>
            <w:tcW w:w="4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w:t>
            </w:r>
          </w:p>
        </w:tc>
      </w:tr>
      <w:tr>
        <w:trPr>
          <w:trHeight w:val="176"/>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240" w:type="dxa"/>
            <w:vAlign w:val="bottom"/>
          </w:tcPr>
          <w:p>
            <w:pPr>
              <w:ind w:left="40"/>
              <w:spacing w:after="0"/>
              <w:rPr>
                <w:sz w:val="20"/>
                <w:szCs w:val="20"/>
                <w:color w:val="auto"/>
              </w:rPr>
            </w:pPr>
            <w:r>
              <w:rPr>
                <w:rFonts w:ascii="Arial" w:cs="Arial" w:eastAsia="Arial" w:hAnsi="Arial"/>
                <w:sz w:val="14"/>
                <w:szCs w:val="14"/>
                <w:color w:val="auto"/>
              </w:rPr>
              <w:t>Computer software write-off</w:t>
            </w:r>
          </w:p>
        </w:tc>
        <w:tc>
          <w:tcPr>
            <w:tcW w:w="4200" w:type="dxa"/>
            <w:vAlign w:val="bottom"/>
          </w:tcPr>
          <w:p>
            <w:pPr>
              <w:jc w:val="right"/>
              <w:spacing w:after="0"/>
              <w:rPr>
                <w:sz w:val="20"/>
                <w:szCs w:val="20"/>
                <w:color w:val="auto"/>
              </w:rPr>
            </w:pPr>
            <w:r>
              <w:rPr>
                <w:rFonts w:ascii="Arial" w:cs="Arial" w:eastAsia="Arial" w:hAnsi="Arial"/>
                <w:sz w:val="14"/>
                <w:szCs w:val="14"/>
                <w:color w:val="auto"/>
              </w:rPr>
              <w:t>1,031</w:t>
            </w:r>
          </w:p>
        </w:tc>
      </w:tr>
      <w:tr>
        <w:trPr>
          <w:trHeight w:val="176"/>
        </w:trPr>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w:t>
            </w:r>
          </w:p>
        </w:tc>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Lease termination and exit costs</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r>
      <w:tr>
        <w:trPr>
          <w:trHeight w:val="238"/>
        </w:trPr>
        <w:tc>
          <w:tcPr>
            <w:tcW w:w="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200" w:type="dxa"/>
            <w:vAlign w:val="bottom"/>
          </w:tcPr>
          <w:p>
            <w:pPr>
              <w:jc w:val="right"/>
              <w:spacing w:after="0"/>
              <w:rPr>
                <w:sz w:val="20"/>
                <w:szCs w:val="20"/>
                <w:color w:val="auto"/>
              </w:rPr>
            </w:pPr>
            <w:r>
              <w:rPr>
                <w:rFonts w:ascii="Arial" w:cs="Arial" w:eastAsia="Arial" w:hAnsi="Arial"/>
                <w:sz w:val="14"/>
                <w:szCs w:val="14"/>
                <w:color w:val="auto"/>
              </w:rPr>
              <w:t>$11,275</w:t>
            </w:r>
          </w:p>
        </w:tc>
      </w:tr>
    </w:tbl>
    <w:p>
      <w:pPr>
        <w:spacing w:after="0" w:line="200" w:lineRule="exact"/>
        <w:rPr>
          <w:sz w:val="20"/>
          <w:szCs w:val="20"/>
          <w:color w:val="auto"/>
        </w:rPr>
      </w:pPr>
    </w:p>
    <w:p>
      <w:pPr>
        <w:spacing w:after="0" w:line="33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Goodwill impairment charge</w:t>
      </w:r>
    </w:p>
    <w:p>
      <w:pPr>
        <w:spacing w:after="0" w:line="285" w:lineRule="exact"/>
        <w:rPr>
          <w:sz w:val="20"/>
          <w:szCs w:val="20"/>
          <w:color w:val="auto"/>
        </w:rPr>
      </w:pPr>
    </w:p>
    <w:p>
      <w:pPr>
        <w:ind w:right="80"/>
        <w:spacing w:after="0" w:line="295" w:lineRule="auto"/>
        <w:rPr>
          <w:sz w:val="20"/>
          <w:szCs w:val="20"/>
          <w:color w:val="auto"/>
        </w:rPr>
      </w:pPr>
      <w:r>
        <w:rPr>
          <w:rFonts w:ascii="Arial" w:cs="Arial" w:eastAsia="Arial" w:hAnsi="Arial"/>
          <w:sz w:val="13"/>
          <w:szCs w:val="13"/>
          <w:color w:val="auto"/>
        </w:rPr>
        <w:t>Under SFAS No.142, goodwill and intangible assets with indefinite lives are no longer amortized, but instead are tested for impairment at least annually. Given the pattern of operating losses in recent years, slowdown in growth and future outlook in our central laboratory reporting unit, management determined that the carrying value of the reporting unit exceeded its fair value at February 28, 2005. After allocating the fair value of the reporting unit to all of the assets and liabilities of that unit, management determined that the carrying value of the central laboratory goodwill was impaired. The fair value of the central laboratory segment was determined using discounted cash flows and net realizable values. The central laboratory segment was formed by the combination of our existing central laboratory operation in Dublin, Ireland and by the acquisition in June 2000 of UCT (U.S.) Inc. (“UCT”), a central laboratory company based in New York, USA.</w:t>
      </w:r>
    </w:p>
    <w:p>
      <w:pPr>
        <w:spacing w:after="0" w:line="229"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Computer software write-off</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This charge represents the write off of the carrying value of computer software costs, which did not provide a reasonable economic return.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4" w:name="page85"/>
    <w:bookmarkEnd w:id="84"/>
    <w:p>
      <w:pPr>
        <w:ind w:left="660" w:hanging="652"/>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Lease termination and exit costs</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This charge represents the lease termination and exit costs associated with the close of a facility in Irvine, California and the termination of two redundant leases in New York following the relocation of the central laboratory. Total costs expected to be incurred in association with these lease termination and exit costs have been accrued. Of the total $1.2 million relates to the central laboratory segment and $2.1 million to the clinical research segment. During the period ended December 31, 2005, $2.4 million of this was used and the excess balance of $0.9 million was released to the income statement.</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Significant Concentrations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The Company does business with most major international pharmaceutical companies. As at December 31, 2006 the balance for doubtful debts was $0.24 million (December 31, 2005: $0.67</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million; May 31, 2005: $0.48 million). During the year ended December 31, 2006, an additional reserve for doubtful debts of $0.68 million was created and $1.12 million was used.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Commitments and Contingencies</w:t>
      </w:r>
    </w:p>
    <w:p>
      <w:pPr>
        <w:spacing w:after="0" w:line="289"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recognized U.S.$22,179,000, U.S.$26,158,000 and U.S.$14,462,000 in rental expense for the fiscal years ended May 31, 2004, and 2005, and the seven month period ended December 31, 2005, respectively and U.S.$28,449,839 for the year ended December 31, 2006. Future minimum rental commitments for operating leases with non-cancelable terms in excess of one year are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w w:val="96"/>
              </w:rPr>
              <w:t>Minimum rental</w:t>
            </w:r>
          </w:p>
        </w:tc>
      </w:tr>
      <w:tr>
        <w:trPr>
          <w:trHeight w:val="186"/>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payments</w:t>
            </w:r>
          </w:p>
        </w:tc>
      </w:tr>
      <w:tr>
        <w:trPr>
          <w:trHeight w:val="242"/>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520" w:type="dxa"/>
            <w:vAlign w:val="bottom"/>
          </w:tcPr>
          <w:p>
            <w:pPr>
              <w:jc w:val="center"/>
              <w:ind w:right="208"/>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jc w:val="right"/>
              <w:ind w:right="3648"/>
              <w:spacing w:after="0"/>
              <w:rPr>
                <w:sz w:val="20"/>
                <w:szCs w:val="20"/>
                <w:color w:val="auto"/>
              </w:rPr>
            </w:pPr>
            <w:r>
              <w:rPr>
                <w:rFonts w:ascii="Arial" w:cs="Arial" w:eastAsia="Arial" w:hAnsi="Arial"/>
                <w:sz w:val="14"/>
                <w:szCs w:val="14"/>
                <w:color w:val="auto"/>
                <w:w w:val="83"/>
              </w:rPr>
              <w:t>2007</w:t>
            </w:r>
          </w:p>
        </w:tc>
        <w:tc>
          <w:tcPr>
            <w:tcW w:w="3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26,137</w:t>
            </w:r>
          </w:p>
        </w:tc>
      </w:tr>
      <w:tr>
        <w:trPr>
          <w:trHeight w:val="243"/>
        </w:trPr>
        <w:tc>
          <w:tcPr>
            <w:tcW w:w="4020" w:type="dxa"/>
            <w:vAlign w:val="bottom"/>
            <w:gridSpan w:val="2"/>
          </w:tcPr>
          <w:p>
            <w:pPr>
              <w:jc w:val="right"/>
              <w:ind w:right="3648"/>
              <w:spacing w:after="0"/>
              <w:rPr>
                <w:sz w:val="20"/>
                <w:szCs w:val="20"/>
                <w:color w:val="auto"/>
              </w:rPr>
            </w:pPr>
            <w:r>
              <w:rPr>
                <w:rFonts w:ascii="Arial" w:cs="Arial" w:eastAsia="Arial" w:hAnsi="Arial"/>
                <w:sz w:val="14"/>
                <w:szCs w:val="14"/>
                <w:color w:val="auto"/>
                <w:w w:val="89"/>
              </w:rPr>
              <w:t>2008</w:t>
            </w:r>
          </w:p>
        </w:tc>
        <w:tc>
          <w:tcPr>
            <w:tcW w:w="3600" w:type="dxa"/>
            <w:vAlign w:val="bottom"/>
          </w:tcPr>
          <w:p>
            <w:pPr>
              <w:spacing w:after="0"/>
              <w:rPr>
                <w:sz w:val="21"/>
                <w:szCs w:val="21"/>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22,534</w:t>
            </w: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jc w:val="right"/>
              <w:ind w:right="3648"/>
              <w:spacing w:after="0"/>
              <w:rPr>
                <w:sz w:val="20"/>
                <w:szCs w:val="20"/>
                <w:color w:val="auto"/>
              </w:rPr>
            </w:pPr>
            <w:r>
              <w:rPr>
                <w:rFonts w:ascii="Arial" w:cs="Arial" w:eastAsia="Arial" w:hAnsi="Arial"/>
                <w:sz w:val="14"/>
                <w:szCs w:val="14"/>
                <w:color w:val="auto"/>
                <w:w w:val="83"/>
              </w:rPr>
              <w:t>2009</w:t>
            </w:r>
          </w:p>
        </w:tc>
        <w:tc>
          <w:tcPr>
            <w:tcW w:w="36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21,180</w:t>
            </w:r>
          </w:p>
        </w:tc>
      </w:tr>
      <w:tr>
        <w:trPr>
          <w:trHeight w:val="243"/>
        </w:trPr>
        <w:tc>
          <w:tcPr>
            <w:tcW w:w="4020" w:type="dxa"/>
            <w:vAlign w:val="bottom"/>
            <w:gridSpan w:val="2"/>
          </w:tcPr>
          <w:p>
            <w:pPr>
              <w:jc w:val="right"/>
              <w:ind w:right="3648"/>
              <w:spacing w:after="0"/>
              <w:rPr>
                <w:sz w:val="20"/>
                <w:szCs w:val="20"/>
                <w:color w:val="auto"/>
              </w:rPr>
            </w:pPr>
            <w:r>
              <w:rPr>
                <w:rFonts w:ascii="Arial" w:cs="Arial" w:eastAsia="Arial" w:hAnsi="Arial"/>
                <w:sz w:val="14"/>
                <w:szCs w:val="14"/>
                <w:color w:val="auto"/>
                <w:w w:val="89"/>
              </w:rPr>
              <w:t>2010</w:t>
            </w:r>
          </w:p>
        </w:tc>
        <w:tc>
          <w:tcPr>
            <w:tcW w:w="3600" w:type="dxa"/>
            <w:vAlign w:val="bottom"/>
          </w:tcPr>
          <w:p>
            <w:pPr>
              <w:spacing w:after="0"/>
              <w:rPr>
                <w:sz w:val="21"/>
                <w:szCs w:val="21"/>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19,073</w:t>
            </w: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jc w:val="right"/>
              <w:ind w:right="3648"/>
              <w:spacing w:after="0"/>
              <w:rPr>
                <w:sz w:val="20"/>
                <w:szCs w:val="20"/>
                <w:color w:val="auto"/>
              </w:rPr>
            </w:pPr>
            <w:r>
              <w:rPr>
                <w:rFonts w:ascii="Arial" w:cs="Arial" w:eastAsia="Arial" w:hAnsi="Arial"/>
                <w:sz w:val="14"/>
                <w:szCs w:val="14"/>
                <w:color w:val="auto"/>
                <w:w w:val="83"/>
              </w:rPr>
              <w:t>2011</w:t>
            </w:r>
          </w:p>
        </w:tc>
        <w:tc>
          <w:tcPr>
            <w:tcW w:w="36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15,689</w:t>
            </w:r>
          </w:p>
        </w:tc>
      </w:tr>
      <w:tr>
        <w:trPr>
          <w:trHeight w:val="243"/>
        </w:trPr>
        <w:tc>
          <w:tcPr>
            <w:tcW w:w="402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3600" w:type="dxa"/>
            <w:vAlign w:val="bottom"/>
          </w:tcPr>
          <w:p>
            <w:pPr>
              <w:spacing w:after="0"/>
              <w:rPr>
                <w:sz w:val="21"/>
                <w:szCs w:val="21"/>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56,099</w:t>
            </w:r>
          </w:p>
        </w:tc>
      </w:tr>
      <w:tr>
        <w:trPr>
          <w:trHeight w:val="237"/>
        </w:trPr>
        <w:tc>
          <w:tcPr>
            <w:tcW w:w="20" w:type="dxa"/>
            <w:vAlign w:val="bottom"/>
          </w:tcPr>
          <w:p>
            <w:pPr>
              <w:spacing w:after="0"/>
              <w:rPr>
                <w:sz w:val="20"/>
                <w:szCs w:val="20"/>
                <w:color w:val="auto"/>
              </w:rPr>
            </w:pPr>
          </w:p>
        </w:tc>
        <w:tc>
          <w:tcPr>
            <w:tcW w:w="4000" w:type="dxa"/>
            <w:vAlign w:val="bottom"/>
            <w:tcBorders>
              <w:top w:val="single" w:sz="8" w:color="auto"/>
            </w:tcBorders>
            <w:shd w:val="clear" w:color="auto" w:fill="CCEEFF"/>
          </w:tcPr>
          <w:p>
            <w:pPr>
              <w:spacing w:after="0"/>
              <w:rPr>
                <w:sz w:val="20"/>
                <w:szCs w:val="20"/>
                <w:color w:val="auto"/>
              </w:rPr>
            </w:pPr>
          </w:p>
        </w:tc>
        <w:tc>
          <w:tcPr>
            <w:tcW w:w="360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43"/>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3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160,712</w:t>
            </w: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 number of finance leases, primarily over furniture and equipment, which expire over the next five years. Future commitments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520" w:type="dxa"/>
            <w:vAlign w:val="bottom"/>
          </w:tcPr>
          <w:p>
            <w:pPr>
              <w:jc w:val="right"/>
              <w:ind w:right="328"/>
              <w:spacing w:after="0"/>
              <w:rPr>
                <w:sz w:val="20"/>
                <w:szCs w:val="20"/>
                <w:color w:val="auto"/>
              </w:rPr>
            </w:pPr>
            <w:r>
              <w:rPr>
                <w:rFonts w:ascii="Arial" w:cs="Arial" w:eastAsia="Arial" w:hAnsi="Arial"/>
                <w:sz w:val="14"/>
                <w:szCs w:val="14"/>
                <w:b w:val="1"/>
                <w:bCs w:val="1"/>
                <w:color w:val="auto"/>
              </w:rPr>
              <w:t>Lease payments</w:t>
            </w:r>
          </w:p>
        </w:tc>
        <w:tc>
          <w:tcPr>
            <w:tcW w:w="1140" w:type="dxa"/>
            <w:vAlign w:val="bottom"/>
          </w:tcPr>
          <w:p>
            <w:pPr>
              <w:spacing w:after="0"/>
              <w:rPr>
                <w:sz w:val="16"/>
                <w:szCs w:val="16"/>
                <w:color w:val="auto"/>
              </w:rPr>
            </w:pPr>
          </w:p>
        </w:tc>
      </w:tr>
      <w:tr>
        <w:trPr>
          <w:trHeight w:val="242"/>
        </w:trPr>
        <w:tc>
          <w:tcPr>
            <w:tcW w:w="11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20" w:type="dxa"/>
            <w:vAlign w:val="bottom"/>
            <w:shd w:val="clear" w:color="auto" w:fill="CCEEFF"/>
          </w:tcPr>
          <w:p>
            <w:pPr>
              <w:jc w:val="right"/>
              <w:ind w:right="2668"/>
              <w:spacing w:after="0"/>
              <w:rPr>
                <w:sz w:val="20"/>
                <w:szCs w:val="20"/>
                <w:color w:val="auto"/>
              </w:rPr>
            </w:pPr>
            <w:r>
              <w:rPr>
                <w:rFonts w:ascii="Arial" w:cs="Arial" w:eastAsia="Arial" w:hAnsi="Arial"/>
                <w:sz w:val="14"/>
                <w:szCs w:val="14"/>
                <w:color w:val="auto"/>
                <w:w w:val="83"/>
              </w:rPr>
              <w:t>2007</w:t>
            </w:r>
          </w:p>
        </w:tc>
        <w:tc>
          <w:tcPr>
            <w:tcW w:w="4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w:t>
            </w:r>
          </w:p>
        </w:tc>
        <w:tc>
          <w:tcPr>
            <w:tcW w:w="1140" w:type="dxa"/>
            <w:vAlign w:val="bottom"/>
          </w:tcPr>
          <w:p>
            <w:pPr>
              <w:spacing w:after="0"/>
              <w:rPr>
                <w:sz w:val="21"/>
                <w:szCs w:val="21"/>
                <w:color w:val="auto"/>
              </w:rPr>
            </w:pPr>
          </w:p>
        </w:tc>
      </w:tr>
      <w:tr>
        <w:trPr>
          <w:trHeight w:val="243"/>
        </w:trPr>
        <w:tc>
          <w:tcPr>
            <w:tcW w:w="4180" w:type="dxa"/>
            <w:vAlign w:val="bottom"/>
            <w:gridSpan w:val="2"/>
          </w:tcPr>
          <w:p>
            <w:pPr>
              <w:jc w:val="right"/>
              <w:ind w:right="2668"/>
              <w:spacing w:after="0"/>
              <w:rPr>
                <w:sz w:val="20"/>
                <w:szCs w:val="20"/>
                <w:color w:val="auto"/>
              </w:rPr>
            </w:pPr>
            <w:r>
              <w:rPr>
                <w:rFonts w:ascii="Arial" w:cs="Arial" w:eastAsia="Arial" w:hAnsi="Arial"/>
                <w:sz w:val="14"/>
                <w:szCs w:val="14"/>
                <w:color w:val="auto"/>
              </w:rPr>
              <w:t>2008</w:t>
            </w:r>
          </w:p>
        </w:tc>
        <w:tc>
          <w:tcPr>
            <w:tcW w:w="4580" w:type="dxa"/>
            <w:vAlign w:val="bottom"/>
          </w:tcPr>
          <w:p>
            <w:pPr>
              <w:spacing w:after="0"/>
              <w:rPr>
                <w:sz w:val="21"/>
                <w:szCs w:val="21"/>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20" w:type="dxa"/>
            <w:vAlign w:val="bottom"/>
            <w:shd w:val="clear" w:color="auto" w:fill="CCEEFF"/>
          </w:tcPr>
          <w:p>
            <w:pPr>
              <w:jc w:val="right"/>
              <w:ind w:right="2668"/>
              <w:spacing w:after="0"/>
              <w:rPr>
                <w:sz w:val="20"/>
                <w:szCs w:val="20"/>
                <w:color w:val="auto"/>
              </w:rPr>
            </w:pPr>
            <w:r>
              <w:rPr>
                <w:rFonts w:ascii="Arial" w:cs="Arial" w:eastAsia="Arial" w:hAnsi="Arial"/>
                <w:sz w:val="14"/>
                <w:szCs w:val="14"/>
                <w:color w:val="auto"/>
                <w:w w:val="83"/>
              </w:rPr>
              <w:t>2009</w:t>
            </w:r>
          </w:p>
        </w:tc>
        <w:tc>
          <w:tcPr>
            <w:tcW w:w="4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140" w:type="dxa"/>
            <w:vAlign w:val="bottom"/>
          </w:tcPr>
          <w:p>
            <w:pPr>
              <w:spacing w:after="0"/>
              <w:rPr>
                <w:sz w:val="21"/>
                <w:szCs w:val="21"/>
                <w:color w:val="auto"/>
              </w:rPr>
            </w:pPr>
          </w:p>
        </w:tc>
      </w:tr>
      <w:tr>
        <w:trPr>
          <w:trHeight w:val="243"/>
        </w:trPr>
        <w:tc>
          <w:tcPr>
            <w:tcW w:w="4180" w:type="dxa"/>
            <w:vAlign w:val="bottom"/>
            <w:gridSpan w:val="2"/>
          </w:tcPr>
          <w:p>
            <w:pPr>
              <w:jc w:val="right"/>
              <w:ind w:right="2668"/>
              <w:spacing w:after="0"/>
              <w:rPr>
                <w:sz w:val="20"/>
                <w:szCs w:val="20"/>
                <w:color w:val="auto"/>
              </w:rPr>
            </w:pPr>
            <w:r>
              <w:rPr>
                <w:rFonts w:ascii="Arial" w:cs="Arial" w:eastAsia="Arial" w:hAnsi="Arial"/>
                <w:sz w:val="14"/>
                <w:szCs w:val="14"/>
                <w:color w:val="auto"/>
              </w:rPr>
              <w:t>2010</w:t>
            </w:r>
          </w:p>
        </w:tc>
        <w:tc>
          <w:tcPr>
            <w:tcW w:w="4580" w:type="dxa"/>
            <w:vAlign w:val="bottom"/>
          </w:tcPr>
          <w:p>
            <w:pPr>
              <w:spacing w:after="0"/>
              <w:rPr>
                <w:sz w:val="21"/>
                <w:szCs w:val="21"/>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4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140" w:type="dxa"/>
            <w:vAlign w:val="bottom"/>
          </w:tcPr>
          <w:p>
            <w:pPr>
              <w:spacing w:after="0"/>
              <w:rPr>
                <w:sz w:val="21"/>
                <w:szCs w:val="21"/>
                <w:color w:val="auto"/>
              </w:rPr>
            </w:pPr>
          </w:p>
        </w:tc>
      </w:tr>
      <w:tr>
        <w:trPr>
          <w:trHeight w:val="243"/>
        </w:trPr>
        <w:tc>
          <w:tcPr>
            <w:tcW w:w="4180" w:type="dxa"/>
            <w:vAlign w:val="bottom"/>
            <w:gridSpan w:val="2"/>
          </w:tcPr>
          <w:p>
            <w:pPr>
              <w:ind w:left="1140"/>
              <w:spacing w:after="0"/>
              <w:rPr>
                <w:sz w:val="20"/>
                <w:szCs w:val="20"/>
                <w:color w:val="auto"/>
              </w:rPr>
            </w:pPr>
            <w:r>
              <w:rPr>
                <w:rFonts w:ascii="Arial" w:cs="Arial" w:eastAsia="Arial" w:hAnsi="Arial"/>
                <w:sz w:val="14"/>
                <w:szCs w:val="14"/>
                <w:color w:val="auto"/>
              </w:rPr>
              <w:t>Less future finance charges</w:t>
            </w:r>
          </w:p>
        </w:tc>
        <w:tc>
          <w:tcPr>
            <w:tcW w:w="45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(53)</w:t>
            </w:r>
          </w:p>
        </w:tc>
        <w:tc>
          <w:tcPr>
            <w:tcW w:w="1140" w:type="dxa"/>
            <w:vAlign w:val="bottom"/>
          </w:tcPr>
          <w:p>
            <w:pPr>
              <w:spacing w:after="0"/>
              <w:rPr>
                <w:sz w:val="21"/>
                <w:szCs w:val="21"/>
                <w:color w:val="auto"/>
              </w:rPr>
            </w:pPr>
          </w:p>
        </w:tc>
      </w:tr>
      <w:tr>
        <w:trPr>
          <w:trHeight w:val="277"/>
        </w:trPr>
        <w:tc>
          <w:tcPr>
            <w:tcW w:w="1160" w:type="dxa"/>
            <w:vAlign w:val="bottom"/>
          </w:tcPr>
          <w:p>
            <w:pPr>
              <w:spacing w:after="0"/>
              <w:rPr>
                <w:sz w:val="24"/>
                <w:szCs w:val="24"/>
                <w:color w:val="auto"/>
              </w:rPr>
            </w:pPr>
          </w:p>
        </w:tc>
        <w:tc>
          <w:tcPr>
            <w:tcW w:w="3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4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c>
          <w:tcPr>
            <w:tcW w:w="1140" w:type="dxa"/>
            <w:vAlign w:val="bottom"/>
          </w:tcPr>
          <w:p>
            <w:pPr>
              <w:spacing w:after="0"/>
              <w:rPr>
                <w:sz w:val="24"/>
                <w:szCs w:val="24"/>
                <w:color w:val="auto"/>
              </w:rPr>
            </w:pPr>
          </w:p>
        </w:tc>
      </w:tr>
      <w:tr>
        <w:trPr>
          <w:trHeight w:val="428"/>
        </w:trPr>
        <w:tc>
          <w:tcPr>
            <w:tcW w:w="1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80" w:type="dxa"/>
            <w:vAlign w:val="bottom"/>
          </w:tcPr>
          <w:p>
            <w:pPr>
              <w:jc w:val="right"/>
              <w:ind w:right="2908"/>
              <w:spacing w:after="0"/>
              <w:rPr>
                <w:sz w:val="20"/>
                <w:szCs w:val="20"/>
                <w:color w:val="auto"/>
              </w:rPr>
            </w:pPr>
            <w:r>
              <w:rPr>
                <w:rFonts w:ascii="Arial" w:cs="Arial" w:eastAsia="Arial" w:hAnsi="Arial"/>
                <w:sz w:val="14"/>
                <w:szCs w:val="14"/>
                <w:color w:val="auto"/>
              </w:rPr>
              <w:t>82</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85" w:name="page86"/>
    <w:bookmarkEnd w:id="85"/>
    <w:p>
      <w:pPr>
        <w:jc w:val="both"/>
        <w:ind w:right="20"/>
        <w:spacing w:after="0" w:line="266" w:lineRule="auto"/>
        <w:rPr>
          <w:sz w:val="20"/>
          <w:szCs w:val="20"/>
          <w:color w:val="auto"/>
        </w:rPr>
      </w:pPr>
      <w:r>
        <w:rPr>
          <w:rFonts w:ascii="Arial" w:cs="Arial" w:eastAsia="Arial" w:hAnsi="Arial"/>
          <w:sz w:val="14"/>
          <w:szCs w:val="14"/>
          <w:color w:val="auto"/>
        </w:rPr>
        <w:t>The Company made a number of acquisitions in recent years with earn-out provisions built into the purchase contracts, however no payments are expected to be made during the year ended December 31, 2007.</w:t>
      </w:r>
      <w:r>
        <w:rPr>
          <w:sz w:val="1"/>
          <w:szCs w:val="1"/>
          <w:color w:val="auto"/>
        </w:rPr>
        <w:drawing>
          <wp:inline distT="0" distB="0" distL="0" distR="0">
            <wp:extent cx="26035" cy="9461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35" cy="94615"/>
                    </a:xfrm>
                    <a:prstGeom prst="rect">
                      <a:avLst/>
                    </a:prstGeom>
                    <a:noFill/>
                    <a:ln>
                      <a:noFill/>
                    </a:ln>
                  </pic:spPr>
                </pic:pic>
              </a:graphicData>
            </a:graphic>
          </wp:inline>
        </w:drawing>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Business Segment Information</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The Company also has a central laboratory segment primarily based in New York, USA. This, together with laboratory services based in Dublin, form the central laboratory segment information disclosed below.</w:t>
      </w:r>
    </w:p>
    <w:p>
      <w:pPr>
        <w:spacing w:after="0" w:line="239" w:lineRule="exact"/>
        <w:rPr>
          <w:sz w:val="20"/>
          <w:szCs w:val="20"/>
          <w:color w:val="auto"/>
        </w:rPr>
      </w:pPr>
    </w:p>
    <w:p>
      <w:pPr>
        <w:jc w:val="both"/>
        <w:ind w:right="60"/>
        <w:spacing w:after="0" w:line="308" w:lineRule="auto"/>
        <w:rPr>
          <w:sz w:val="20"/>
          <w:szCs w:val="20"/>
          <w:color w:val="auto"/>
        </w:rPr>
      </w:pPr>
      <w:r>
        <w:rPr>
          <w:rFonts w:ascii="Arial" w:cs="Arial" w:eastAsia="Arial" w:hAnsi="Arial"/>
          <w:sz w:val="13"/>
          <w:szCs w:val="13"/>
          <w:color w:val="auto"/>
        </w:rPr>
        <w:t>The Company's areas of operation outside of Ireland principally include the United Kingdom, United States, Germany, Australia, Argentina, France, Italy, Japan, Israel, Singapore, Canada, Sweden, The Netherlands, Latvia, Russia, Lithuania, Poland, South Africa, India, Hong Kong, Taiwan, Mexico, Brazil, Hungary, Spain, Thailand, South Korea, China and Chile. Segment information for the fiscal years ended May 31, 2004, and 2005, the seven month period ended December 31, 2005 and the year ended December 31, 2006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4"/>
                <w:szCs w:val="14"/>
                <w:color w:val="auto"/>
                <w:w w:val="97"/>
              </w:rPr>
              <w:t>a) The distribution of net revenue by geographical area was as follows:</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86"/>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gridSpan w:val="2"/>
          </w:tcPr>
          <w:p>
            <w:pPr>
              <w:jc w:val="center"/>
              <w:ind w:left="525"/>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Arial" w:cs="Arial" w:eastAsia="Arial" w:hAnsi="Arial"/>
                <w:sz w:val="14"/>
                <w:szCs w:val="14"/>
                <w:b w:val="1"/>
                <w:bCs w:val="1"/>
                <w:color w:val="auto"/>
                <w:w w:val="97"/>
              </w:rPr>
              <w:t>Period Ended</w:t>
            </w:r>
          </w:p>
        </w:tc>
        <w:tc>
          <w:tcPr>
            <w:tcW w:w="280" w:type="dxa"/>
            <w:vAlign w:val="bottom"/>
          </w:tcPr>
          <w:p>
            <w:pPr>
              <w:spacing w:after="0"/>
              <w:rPr>
                <w:sz w:val="24"/>
                <w:szCs w:val="24"/>
                <w:color w:val="auto"/>
              </w:rPr>
            </w:pPr>
          </w:p>
        </w:tc>
        <w:tc>
          <w:tcPr>
            <w:tcW w:w="1140" w:type="dxa"/>
            <w:vAlign w:val="bottom"/>
          </w:tcPr>
          <w:p>
            <w:pPr>
              <w:jc w:val="center"/>
              <w:ind w:right="185"/>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20" w:type="dxa"/>
            <w:vAlign w:val="bottom"/>
            <w:gridSpan w:val="2"/>
          </w:tcPr>
          <w:p>
            <w:pPr>
              <w:jc w:val="center"/>
              <w:ind w:left="525"/>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50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1"/>
                <w:szCs w:val="21"/>
                <w:color w:val="auto"/>
              </w:rPr>
            </w:pPr>
          </w:p>
        </w:tc>
        <w:tc>
          <w:tcPr>
            <w:tcW w:w="980" w:type="dxa"/>
            <w:vAlign w:val="bottom"/>
          </w:tcPr>
          <w:p>
            <w:pPr>
              <w:jc w:val="right"/>
              <w:ind w:right="48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180" w:type="dxa"/>
            <w:vAlign w:val="bottom"/>
          </w:tcPr>
          <w:p>
            <w:pPr>
              <w:jc w:val="right"/>
              <w:ind w:right="48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1"/>
                <w:szCs w:val="21"/>
                <w:color w:val="auto"/>
              </w:rPr>
            </w:pPr>
          </w:p>
        </w:tc>
        <w:tc>
          <w:tcPr>
            <w:tcW w:w="1140" w:type="dxa"/>
            <w:vAlign w:val="bottom"/>
          </w:tcPr>
          <w:p>
            <w:pPr>
              <w:jc w:val="center"/>
              <w:ind w:right="185"/>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11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35,109</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37,242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19,838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66,028</w:t>
            </w:r>
          </w:p>
        </w:tc>
      </w:tr>
      <w:tr>
        <w:trPr>
          <w:trHeight w:val="243"/>
        </w:trPr>
        <w:tc>
          <w:tcPr>
            <w:tcW w:w="116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4"/>
                <w:szCs w:val="14"/>
                <w:color w:val="auto"/>
              </w:rPr>
              <w:t>Rest of Europe</w:t>
            </w:r>
          </w:p>
        </w:tc>
        <w:tc>
          <w:tcPr>
            <w:tcW w:w="640" w:type="dxa"/>
            <w:vAlign w:val="bottom"/>
          </w:tcPr>
          <w:p>
            <w:pPr>
              <w:spacing w:after="0"/>
              <w:rPr>
                <w:sz w:val="21"/>
                <w:szCs w:val="21"/>
                <w:color w:val="auto"/>
              </w:rPr>
            </w:pPr>
          </w:p>
        </w:tc>
        <w:tc>
          <w:tcPr>
            <w:tcW w:w="1060" w:type="dxa"/>
            <w:vAlign w:val="bottom"/>
          </w:tcPr>
          <w:p>
            <w:pPr>
              <w:jc w:val="right"/>
              <w:ind w:right="25"/>
              <w:spacing w:after="0"/>
              <w:rPr>
                <w:sz w:val="20"/>
                <w:szCs w:val="20"/>
                <w:color w:val="auto"/>
              </w:rPr>
            </w:pPr>
            <w:r>
              <w:rPr>
                <w:rFonts w:ascii="Arial" w:cs="Arial" w:eastAsia="Arial" w:hAnsi="Arial"/>
                <w:sz w:val="14"/>
                <w:szCs w:val="14"/>
                <w:color w:val="auto"/>
              </w:rPr>
              <w:t>65,930</w:t>
            </w:r>
          </w:p>
        </w:tc>
        <w:tc>
          <w:tcPr>
            <w:tcW w:w="460" w:type="dxa"/>
            <w:vAlign w:val="bottom"/>
          </w:tcPr>
          <w:p>
            <w:pPr>
              <w:spacing w:after="0"/>
              <w:rPr>
                <w:sz w:val="21"/>
                <w:szCs w:val="21"/>
                <w:color w:val="auto"/>
              </w:rPr>
            </w:pPr>
          </w:p>
        </w:tc>
        <w:tc>
          <w:tcPr>
            <w:tcW w:w="980" w:type="dxa"/>
            <w:vAlign w:val="bottom"/>
          </w:tcPr>
          <w:p>
            <w:pPr>
              <w:jc w:val="right"/>
              <w:ind w:right="25"/>
              <w:spacing w:after="0"/>
              <w:rPr>
                <w:sz w:val="20"/>
                <w:szCs w:val="20"/>
                <w:color w:val="auto"/>
              </w:rPr>
            </w:pPr>
            <w:r>
              <w:rPr>
                <w:rFonts w:ascii="Arial" w:cs="Arial" w:eastAsia="Arial" w:hAnsi="Arial"/>
                <w:sz w:val="14"/>
                <w:szCs w:val="14"/>
                <w:color w:val="auto"/>
              </w:rPr>
              <w:t>84,140</w:t>
            </w:r>
          </w:p>
        </w:tc>
        <w:tc>
          <w:tcPr>
            <w:tcW w:w="240" w:type="dxa"/>
            <w:vAlign w:val="bottom"/>
          </w:tcPr>
          <w:p>
            <w:pPr>
              <w:spacing w:after="0"/>
              <w:rPr>
                <w:sz w:val="21"/>
                <w:szCs w:val="21"/>
                <w:color w:val="auto"/>
              </w:rPr>
            </w:pPr>
          </w:p>
        </w:tc>
        <w:tc>
          <w:tcPr>
            <w:tcW w:w="1180" w:type="dxa"/>
            <w:vAlign w:val="bottom"/>
          </w:tcPr>
          <w:p>
            <w:pPr>
              <w:jc w:val="right"/>
              <w:ind w:right="25"/>
              <w:spacing w:after="0"/>
              <w:rPr>
                <w:sz w:val="20"/>
                <w:szCs w:val="20"/>
                <w:color w:val="auto"/>
              </w:rPr>
            </w:pPr>
            <w:r>
              <w:rPr>
                <w:rFonts w:ascii="Arial" w:cs="Arial" w:eastAsia="Arial" w:hAnsi="Arial"/>
                <w:sz w:val="14"/>
                <w:szCs w:val="14"/>
                <w:color w:val="auto"/>
              </w:rPr>
              <w:t>48,206</w:t>
            </w:r>
          </w:p>
        </w:tc>
        <w:tc>
          <w:tcPr>
            <w:tcW w:w="280" w:type="dxa"/>
            <w:vAlign w:val="bottom"/>
          </w:tcPr>
          <w:p>
            <w:pPr>
              <w:spacing w:after="0"/>
              <w:rPr>
                <w:sz w:val="21"/>
                <w:szCs w:val="21"/>
                <w:color w:val="auto"/>
              </w:rPr>
            </w:pPr>
          </w:p>
        </w:tc>
        <w:tc>
          <w:tcPr>
            <w:tcW w:w="1140" w:type="dxa"/>
            <w:vAlign w:val="bottom"/>
          </w:tcPr>
          <w:p>
            <w:pPr>
              <w:jc w:val="right"/>
              <w:ind w:right="25"/>
              <w:spacing w:after="0"/>
              <w:rPr>
                <w:sz w:val="20"/>
                <w:szCs w:val="20"/>
                <w:color w:val="auto"/>
              </w:rPr>
            </w:pPr>
            <w:r>
              <w:rPr>
                <w:rFonts w:ascii="Arial" w:cs="Arial" w:eastAsia="Arial" w:hAnsi="Arial"/>
                <w:sz w:val="14"/>
                <w:szCs w:val="14"/>
                <w:color w:val="auto"/>
              </w:rPr>
              <w:t>96,868</w:t>
            </w:r>
          </w:p>
        </w:tc>
      </w:tr>
      <w:tr>
        <w:trPr>
          <w:trHeight w:val="243"/>
        </w:trPr>
        <w:tc>
          <w:tcPr>
            <w:tcW w:w="116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185,301</w:t>
            </w: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186,919</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118,292</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266,175</w:t>
            </w:r>
          </w:p>
        </w:tc>
      </w:tr>
      <w:tr>
        <w:trPr>
          <w:trHeight w:val="243"/>
        </w:trPr>
        <w:tc>
          <w:tcPr>
            <w:tcW w:w="1160" w:type="dxa"/>
            <w:vAlign w:val="bottom"/>
          </w:tcPr>
          <w:p>
            <w:pPr>
              <w:spacing w:after="0"/>
              <w:rPr>
                <w:sz w:val="21"/>
                <w:szCs w:val="21"/>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10,583</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18,357</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15,614</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26,526</w:t>
            </w:r>
          </w:p>
        </w:tc>
      </w:tr>
      <w:tr>
        <w:trPr>
          <w:trHeight w:val="237"/>
        </w:trPr>
        <w:tc>
          <w:tcPr>
            <w:tcW w:w="116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296,923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326,658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201,950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455,597</w:t>
            </w:r>
          </w:p>
        </w:tc>
      </w:tr>
      <w:tr>
        <w:trPr>
          <w:trHeight w:val="20"/>
        </w:trPr>
        <w:tc>
          <w:tcPr>
            <w:tcW w:w="116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All sales shown for Ireland are export sales.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84"/>
        </w:trPr>
        <w:tc>
          <w:tcPr>
            <w:tcW w:w="11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4"/>
                <w:szCs w:val="14"/>
                <w:color w:val="auto"/>
                <w:w w:val="97"/>
              </w:rPr>
              <w:t>b) The distribution of net revenue by business segment was as follows:</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gridSpan w:val="2"/>
          </w:tcPr>
          <w:p>
            <w:pPr>
              <w:jc w:val="center"/>
              <w:ind w:left="485"/>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225"/>
              <w:spacing w:after="0"/>
              <w:rPr>
                <w:sz w:val="20"/>
                <w:szCs w:val="20"/>
                <w:color w:val="auto"/>
              </w:rPr>
            </w:pPr>
            <w:r>
              <w:rPr>
                <w:rFonts w:ascii="Arial" w:cs="Arial" w:eastAsia="Arial" w:hAnsi="Arial"/>
                <w:sz w:val="14"/>
                <w:szCs w:val="14"/>
                <w:b w:val="1"/>
                <w:bCs w:val="1"/>
                <w:color w:val="auto"/>
                <w:w w:val="95"/>
              </w:rPr>
              <w:t>Period Ended</w:t>
            </w:r>
          </w:p>
        </w:tc>
        <w:tc>
          <w:tcPr>
            <w:tcW w:w="280" w:type="dxa"/>
            <w:vAlign w:val="bottom"/>
          </w:tcPr>
          <w:p>
            <w:pPr>
              <w:spacing w:after="0"/>
              <w:rPr>
                <w:sz w:val="24"/>
                <w:szCs w:val="24"/>
                <w:color w:val="auto"/>
              </w:rPr>
            </w:pPr>
          </w:p>
        </w:tc>
        <w:tc>
          <w:tcPr>
            <w:tcW w:w="1140" w:type="dxa"/>
            <w:vAlign w:val="bottom"/>
          </w:tcPr>
          <w:p>
            <w:pPr>
              <w:jc w:val="center"/>
              <w:ind w:right="205"/>
              <w:spacing w:after="0"/>
              <w:rPr>
                <w:sz w:val="20"/>
                <w:szCs w:val="20"/>
                <w:color w:val="auto"/>
              </w:rPr>
            </w:pPr>
            <w:r>
              <w:rPr>
                <w:rFonts w:ascii="Arial" w:cs="Arial" w:eastAsia="Arial" w:hAnsi="Arial"/>
                <w:sz w:val="14"/>
                <w:szCs w:val="14"/>
                <w:b w:val="1"/>
                <w:bCs w:val="1"/>
                <w:color w:val="auto"/>
                <w:w w:val="96"/>
              </w:rPr>
              <w:t>Year Ended</w:t>
            </w:r>
          </w:p>
        </w:tc>
      </w:tr>
      <w:tr>
        <w:trPr>
          <w:trHeight w:val="176"/>
        </w:trPr>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2"/>
          </w:tcPr>
          <w:p>
            <w:pPr>
              <w:jc w:val="center"/>
              <w:ind w:left="505"/>
              <w:spacing w:after="0"/>
              <w:rPr>
                <w:sz w:val="20"/>
                <w:szCs w:val="20"/>
                <w:color w:val="auto"/>
              </w:rPr>
            </w:pPr>
            <w:r>
              <w:rPr>
                <w:rFonts w:ascii="Arial" w:cs="Arial" w:eastAsia="Arial" w:hAnsi="Arial"/>
                <w:sz w:val="14"/>
                <w:szCs w:val="14"/>
                <w:b w:val="1"/>
                <w:bCs w:val="1"/>
                <w:color w:val="auto"/>
                <w:w w:val="98"/>
              </w:rPr>
              <w:t>May 31,</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ind w:right="50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5"/>
                <w:szCs w:val="15"/>
                <w:color w:val="auto"/>
              </w:rPr>
            </w:pPr>
          </w:p>
        </w:tc>
        <w:tc>
          <w:tcPr>
            <w:tcW w:w="980" w:type="dxa"/>
            <w:vAlign w:val="bottom"/>
          </w:tcPr>
          <w:p>
            <w:pPr>
              <w:jc w:val="right"/>
              <w:ind w:right="50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180" w:type="dxa"/>
            <w:vAlign w:val="bottom"/>
          </w:tcPr>
          <w:p>
            <w:pPr>
              <w:jc w:val="right"/>
              <w:ind w:right="50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1140" w:type="dxa"/>
            <w:vAlign w:val="bottom"/>
          </w:tcPr>
          <w:p>
            <w:pPr>
              <w:jc w:val="center"/>
              <w:ind w:right="205"/>
              <w:spacing w:after="0"/>
              <w:rPr>
                <w:sz w:val="20"/>
                <w:szCs w:val="20"/>
                <w:color w:val="auto"/>
              </w:rPr>
            </w:pPr>
            <w:r>
              <w:rPr>
                <w:rFonts w:ascii="Arial" w:cs="Arial" w:eastAsia="Arial" w:hAnsi="Arial"/>
                <w:sz w:val="14"/>
                <w:szCs w:val="14"/>
                <w:b w:val="1"/>
                <w:bCs w:val="1"/>
                <w:color w:val="auto"/>
                <w:w w:val="96"/>
              </w:rPr>
              <w:t>2006</w:t>
            </w:r>
          </w:p>
        </w:tc>
      </w:tr>
      <w:tr>
        <w:trPr>
          <w:trHeight w:val="185"/>
        </w:trPr>
        <w:tc>
          <w:tcPr>
            <w:tcW w:w="1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6"/>
        </w:trPr>
        <w:tc>
          <w:tcPr>
            <w:tcW w:w="116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26,905</w:t>
            </w:r>
          </w:p>
        </w:tc>
        <w:tc>
          <w:tcPr>
            <w:tcW w:w="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rPr>
              <w:t>25,499</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18,190</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47,230</w:t>
            </w:r>
          </w:p>
        </w:tc>
      </w:tr>
      <w:tr>
        <w:trPr>
          <w:trHeight w:val="176"/>
        </w:trPr>
        <w:tc>
          <w:tcPr>
            <w:tcW w:w="1160" w:type="dxa"/>
            <w:vAlign w:val="bottom"/>
          </w:tcPr>
          <w:p>
            <w:pPr>
              <w:spacing w:after="0"/>
              <w:rPr>
                <w:sz w:val="15"/>
                <w:szCs w:val="15"/>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270,018</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301,159</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183,760</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408,367</w:t>
            </w:r>
          </w:p>
        </w:tc>
      </w:tr>
      <w:tr>
        <w:trPr>
          <w:trHeight w:val="142"/>
        </w:trPr>
        <w:tc>
          <w:tcPr>
            <w:tcW w:w="1160" w:type="dxa"/>
            <w:vAlign w:val="bottom"/>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70"/>
        </w:trPr>
        <w:tc>
          <w:tcPr>
            <w:tcW w:w="1160" w:type="dxa"/>
            <w:vAlign w:val="bottom"/>
          </w:tcPr>
          <w:p>
            <w:pPr>
              <w:spacing w:after="0"/>
              <w:rPr>
                <w:sz w:val="23"/>
                <w:szCs w:val="23"/>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25"/>
              <w:spacing w:after="0"/>
              <w:rPr>
                <w:sz w:val="20"/>
                <w:szCs w:val="20"/>
                <w:color w:val="auto"/>
              </w:rPr>
            </w:pPr>
            <w:r>
              <w:rPr>
                <w:rFonts w:ascii="Arial" w:cs="Arial" w:eastAsia="Arial" w:hAnsi="Arial"/>
                <w:sz w:val="22"/>
                <w:szCs w:val="22"/>
                <w:color w:val="auto"/>
              </w:rPr>
              <w:t>296,923</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22"/>
                <w:szCs w:val="22"/>
                <w:color w:val="auto"/>
              </w:rPr>
              <w:t>326,658</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2"/>
                <w:szCs w:val="22"/>
                <w:color w:val="auto"/>
              </w:rPr>
              <w:t>201,950</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22"/>
                <w:szCs w:val="22"/>
                <w:color w:val="auto"/>
              </w:rPr>
              <w:t>455,597</w:t>
            </w:r>
          </w:p>
        </w:tc>
      </w:tr>
      <w:tr>
        <w:trPr>
          <w:trHeight w:val="20"/>
        </w:trPr>
        <w:tc>
          <w:tcPr>
            <w:tcW w:w="116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8"/>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auto"/>
              </w:rPr>
              <w:t>83</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sectPr>
      </w:pPr>
    </w:p>
    <w:bookmarkStart w:id="86" w:name="page87"/>
    <w:bookmarkEnd w:id="86"/>
    <w:p>
      <w:pPr>
        <w:ind w:left="1160"/>
        <w:spacing w:after="0"/>
        <w:rPr>
          <w:sz w:val="20"/>
          <w:szCs w:val="20"/>
          <w:color w:val="auto"/>
        </w:rPr>
      </w:pPr>
      <w:r>
        <w:rPr>
          <w:rFonts w:ascii="Arial" w:cs="Arial" w:eastAsia="Arial" w:hAnsi="Arial"/>
          <w:sz w:val="14"/>
          <w:szCs w:val="14"/>
          <w:color w:val="auto"/>
        </w:rPr>
        <w:t>c) The distribution of income from operations by geographical area was as follows:</w:t>
      </w:r>
    </w:p>
    <w:p>
      <w:pPr>
        <w:spacing w:after="0" w:line="321"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w w:val="97"/>
              </w:rPr>
              <w:t>Period Ended</w:t>
            </w:r>
          </w:p>
        </w:tc>
        <w:tc>
          <w:tcPr>
            <w:tcW w:w="22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May 31,</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1000" w:type="dxa"/>
            <w:vAlign w:val="bottom"/>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1"/>
                <w:szCs w:val="21"/>
                <w:color w:val="auto"/>
              </w:rPr>
            </w:pPr>
          </w:p>
        </w:tc>
        <w:tc>
          <w:tcPr>
            <w:tcW w:w="1220" w:type="dxa"/>
            <w:vAlign w:val="bottom"/>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2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9,363</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6,223</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28,375</w:t>
            </w:r>
          </w:p>
        </w:tc>
      </w:tr>
      <w:tr>
        <w:trPr>
          <w:trHeight w:val="243"/>
        </w:trPr>
        <w:tc>
          <w:tcPr>
            <w:tcW w:w="2740" w:type="dxa"/>
            <w:vAlign w:val="bottom"/>
          </w:tcPr>
          <w:p>
            <w:pPr>
              <w:spacing w:after="0"/>
              <w:rPr>
                <w:sz w:val="20"/>
                <w:szCs w:val="20"/>
                <w:color w:val="auto"/>
              </w:rPr>
            </w:pPr>
            <w:r>
              <w:rPr>
                <w:rFonts w:ascii="Arial" w:cs="Arial" w:eastAsia="Arial" w:hAnsi="Arial"/>
                <w:sz w:val="14"/>
                <w:szCs w:val="14"/>
                <w:color w:val="auto"/>
              </w:rPr>
              <w:t>Rest of Europe</w:t>
            </w:r>
          </w:p>
        </w:tc>
        <w:tc>
          <w:tcPr>
            <w:tcW w:w="2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10,209</w:t>
            </w:r>
          </w:p>
        </w:tc>
        <w:tc>
          <w:tcPr>
            <w:tcW w:w="48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14,033</w:t>
            </w:r>
          </w:p>
        </w:tc>
        <w:tc>
          <w:tcPr>
            <w:tcW w:w="20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10,437</w:t>
            </w:r>
          </w:p>
        </w:tc>
        <w:tc>
          <w:tcPr>
            <w:tcW w:w="2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2,681</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2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13,023</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(4,130)</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5,152</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15,216</w:t>
            </w: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1,788</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2,481</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4,301</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w:t>
            </w:r>
          </w:p>
        </w:tc>
      </w:tr>
      <w:tr>
        <w:trPr>
          <w:trHeight w:val="237"/>
        </w:trPr>
        <w:tc>
          <w:tcPr>
            <w:tcW w:w="27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34,383</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11,552</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47,816</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160" w:right="5980" w:hanging="4"/>
        <w:spacing w:after="0" w:line="293" w:lineRule="auto"/>
        <w:tabs>
          <w:tab w:leader="none" w:pos="13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distribution of income from operations by business segment was as follows:</w:t>
      </w: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Period Ended</w:t>
            </w:r>
          </w:p>
        </w:tc>
        <w:tc>
          <w:tcPr>
            <w:tcW w:w="200" w:type="dxa"/>
            <w:vAlign w:val="bottom"/>
          </w:tcPr>
          <w:p>
            <w:pPr>
              <w:spacing w:after="0"/>
              <w:rPr>
                <w:sz w:val="16"/>
                <w:szCs w:val="16"/>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2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May 31,</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28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1"/>
                <w:szCs w:val="21"/>
                <w:color w:val="auto"/>
              </w:rPr>
            </w:pPr>
          </w:p>
        </w:tc>
        <w:tc>
          <w:tcPr>
            <w:tcW w:w="12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2006</w:t>
            </w:r>
          </w:p>
        </w:tc>
      </w:tr>
      <w:tr>
        <w:trPr>
          <w:trHeight w:val="242"/>
        </w:trPr>
        <w:tc>
          <w:tcPr>
            <w:tcW w:w="2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8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25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1"/>
              </w:rPr>
              <w:t>($3,274)</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($15,284)</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2,297</w:t>
            </w: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2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37,657</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33,891</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14,587</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45,519</w:t>
            </w:r>
          </w:p>
        </w:tc>
      </w:tr>
      <w:tr>
        <w:trPr>
          <w:trHeight w:val="237"/>
        </w:trPr>
        <w:tc>
          <w:tcPr>
            <w:tcW w:w="28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34,383</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47,816</w:t>
            </w:r>
          </w:p>
        </w:tc>
      </w:tr>
      <w:tr>
        <w:trPr>
          <w:trHeight w:val="20"/>
        </w:trPr>
        <w:tc>
          <w:tcPr>
            <w:tcW w:w="54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65"/>
        </w:trPr>
        <w:tc>
          <w:tcPr>
            <w:tcW w:w="5420" w:type="dxa"/>
            <w:vAlign w:val="bottom"/>
            <w:gridSpan w:val="2"/>
          </w:tcPr>
          <w:p>
            <w:pPr>
              <w:spacing w:after="0"/>
              <w:rPr>
                <w:sz w:val="20"/>
                <w:szCs w:val="20"/>
                <w:color w:val="auto"/>
              </w:rPr>
            </w:pPr>
            <w:r>
              <w:rPr>
                <w:rFonts w:ascii="Arial" w:cs="Arial" w:eastAsia="Arial" w:hAnsi="Arial"/>
                <w:sz w:val="14"/>
                <w:szCs w:val="14"/>
                <w:color w:val="auto"/>
                <w:w w:val="92"/>
              </w:rPr>
              <w:t>e) The distribution of property, plant and equipment, net, by geographical area was as follows:</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86"/>
        </w:trPr>
        <w:tc>
          <w:tcPr>
            <w:tcW w:w="2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24"/>
                <w:szCs w:val="24"/>
                <w:color w:val="auto"/>
              </w:rPr>
            </w:pPr>
          </w:p>
        </w:tc>
        <w:tc>
          <w:tcPr>
            <w:tcW w:w="124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December 31</w:t>
            </w:r>
          </w:p>
        </w:tc>
      </w:tr>
      <w:tr>
        <w:trPr>
          <w:trHeight w:val="243"/>
        </w:trPr>
        <w:tc>
          <w:tcPr>
            <w:tcW w:w="2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1"/>
                <w:szCs w:val="21"/>
                <w:color w:val="auto"/>
              </w:rPr>
            </w:pPr>
          </w:p>
        </w:tc>
        <w:tc>
          <w:tcPr>
            <w:tcW w:w="12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28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25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20,471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22,538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33,999</w:t>
            </w:r>
          </w:p>
        </w:tc>
      </w:tr>
      <w:tr>
        <w:trPr>
          <w:trHeight w:val="243"/>
        </w:trPr>
        <w:tc>
          <w:tcPr>
            <w:tcW w:w="2840" w:type="dxa"/>
            <w:vAlign w:val="bottom"/>
          </w:tcPr>
          <w:p>
            <w:pPr>
              <w:spacing w:after="0"/>
              <w:rPr>
                <w:sz w:val="20"/>
                <w:szCs w:val="20"/>
                <w:color w:val="auto"/>
              </w:rPr>
            </w:pPr>
            <w:r>
              <w:rPr>
                <w:rFonts w:ascii="Arial" w:cs="Arial" w:eastAsia="Arial" w:hAnsi="Arial"/>
                <w:sz w:val="14"/>
                <w:szCs w:val="14"/>
                <w:color w:val="auto"/>
              </w:rPr>
              <w:t>Rest of Europe</w:t>
            </w: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7,273</w:t>
            </w:r>
          </w:p>
        </w:tc>
        <w:tc>
          <w:tcPr>
            <w:tcW w:w="180" w:type="dxa"/>
            <w:vAlign w:val="bottom"/>
          </w:tcPr>
          <w:p>
            <w:pPr>
              <w:spacing w:after="0"/>
              <w:rPr>
                <w:sz w:val="21"/>
                <w:szCs w:val="21"/>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6,669</w:t>
            </w:r>
          </w:p>
        </w:tc>
        <w:tc>
          <w:tcPr>
            <w:tcW w:w="20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9,213</w:t>
            </w:r>
          </w:p>
        </w:tc>
      </w:tr>
      <w:tr>
        <w:trPr>
          <w:trHeight w:val="243"/>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25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15,927</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16,720</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21,421</w:t>
            </w: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1,615</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1,725</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3,575</w:t>
            </w:r>
          </w:p>
        </w:tc>
      </w:tr>
      <w:tr>
        <w:trPr>
          <w:trHeight w:val="237"/>
        </w:trPr>
        <w:tc>
          <w:tcPr>
            <w:tcW w:w="284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47,652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68,208</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f) The distribution of property, plant and equipment, net, by business segment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6"/>
                <w:szCs w:val="16"/>
                <w:color w:val="auto"/>
              </w:rPr>
            </w:pPr>
          </w:p>
        </w:tc>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w:t>
            </w:r>
          </w:p>
        </w:tc>
      </w:tr>
      <w:tr>
        <w:trPr>
          <w:trHeight w:val="243"/>
        </w:trPr>
        <w:tc>
          <w:tcPr>
            <w:tcW w:w="1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200" w:type="dxa"/>
            <w:vAlign w:val="bottom"/>
          </w:tcPr>
          <w:p>
            <w:pPr>
              <w:jc w:val="right"/>
              <w:ind w:right="48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1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1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3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5,050</w:t>
            </w:r>
          </w:p>
        </w:tc>
      </w:tr>
      <w:tr>
        <w:trPr>
          <w:trHeight w:val="243"/>
        </w:trPr>
        <w:tc>
          <w:tcPr>
            <w:tcW w:w="1160" w:type="dxa"/>
            <w:vAlign w:val="bottom"/>
          </w:tcPr>
          <w:p>
            <w:pPr>
              <w:spacing w:after="0"/>
              <w:rPr>
                <w:sz w:val="21"/>
                <w:szCs w:val="21"/>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3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42,346</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44,272</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63,158</w:t>
            </w:r>
          </w:p>
        </w:tc>
      </w:tr>
      <w:tr>
        <w:trPr>
          <w:trHeight w:val="237"/>
        </w:trPr>
        <w:tc>
          <w:tcPr>
            <w:tcW w:w="1160" w:type="dxa"/>
            <w:vAlign w:val="bottom"/>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3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68,208</w:t>
            </w:r>
          </w:p>
        </w:tc>
      </w:tr>
      <w:tr>
        <w:trPr>
          <w:trHeight w:val="20"/>
        </w:trPr>
        <w:tc>
          <w:tcPr>
            <w:tcW w:w="116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28"/>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540" w:type="dxa"/>
            <w:vAlign w:val="bottom"/>
          </w:tcPr>
          <w:p>
            <w:pPr>
              <w:jc w:val="right"/>
              <w:ind w:right="1608"/>
              <w:spacing w:after="0"/>
              <w:rPr>
                <w:sz w:val="20"/>
                <w:szCs w:val="20"/>
                <w:color w:val="auto"/>
              </w:rPr>
            </w:pPr>
            <w:r>
              <w:rPr>
                <w:rFonts w:ascii="Arial" w:cs="Arial" w:eastAsia="Arial" w:hAnsi="Arial"/>
                <w:sz w:val="14"/>
                <w:szCs w:val="14"/>
                <w:color w:val="auto"/>
              </w:rPr>
              <w:t>84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7"/>
        </w:trPr>
        <w:tc>
          <w:tcPr>
            <w:tcW w:w="116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7" w:name="page88"/>
    <w:bookmarkEnd w:id="87"/>
    <w:p>
      <w:pPr>
        <w:ind w:left="1160"/>
        <w:spacing w:after="0"/>
        <w:rPr>
          <w:sz w:val="20"/>
          <w:szCs w:val="20"/>
          <w:color w:val="auto"/>
        </w:rPr>
      </w:pPr>
      <w:r>
        <w:rPr>
          <w:rFonts w:ascii="Arial" w:cs="Arial" w:eastAsia="Arial" w:hAnsi="Arial"/>
          <w:sz w:val="14"/>
          <w:szCs w:val="14"/>
          <w:color w:val="auto"/>
        </w:rPr>
        <w:t>g) The distribution of depreciation and amortization by geographical area was as follows:</w:t>
      </w:r>
    </w:p>
    <w:p>
      <w:pPr>
        <w:spacing w:after="0" w:line="78"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Period Ended</w:t>
            </w:r>
          </w:p>
        </w:tc>
        <w:tc>
          <w:tcPr>
            <w:tcW w:w="26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2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3,710</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5,099</w:t>
            </w:r>
          </w:p>
        </w:tc>
      </w:tr>
      <w:tr>
        <w:trPr>
          <w:trHeight w:val="243"/>
        </w:trPr>
        <w:tc>
          <w:tcPr>
            <w:tcW w:w="2740" w:type="dxa"/>
            <w:vAlign w:val="bottom"/>
          </w:tcPr>
          <w:p>
            <w:pPr>
              <w:spacing w:after="0"/>
              <w:rPr>
                <w:sz w:val="20"/>
                <w:szCs w:val="20"/>
                <w:color w:val="auto"/>
              </w:rPr>
            </w:pPr>
            <w:r>
              <w:rPr>
                <w:rFonts w:ascii="Arial" w:cs="Arial" w:eastAsia="Arial" w:hAnsi="Arial"/>
                <w:sz w:val="14"/>
                <w:szCs w:val="14"/>
                <w:color w:val="auto"/>
              </w:rPr>
              <w:t>Rest of Europe</w:t>
            </w:r>
          </w:p>
        </w:tc>
        <w:tc>
          <w:tcPr>
            <w:tcW w:w="2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1,842</w:t>
            </w: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2,157</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1,210</w:t>
            </w:r>
          </w:p>
        </w:tc>
        <w:tc>
          <w:tcPr>
            <w:tcW w:w="26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2,489</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2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5,271</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3,415</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6,521</w:t>
            </w: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w:t>
            </w:r>
          </w:p>
        </w:tc>
      </w:tr>
      <w:tr>
        <w:trPr>
          <w:trHeight w:val="237"/>
        </w:trPr>
        <w:tc>
          <w:tcPr>
            <w:tcW w:w="27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11,171</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14,949</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160" w:right="6060" w:hanging="4"/>
        <w:spacing w:after="0" w:line="293" w:lineRule="auto"/>
        <w:tabs>
          <w:tab w:leader="none" w:pos="13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distribution of depreciation and amortization by business segment was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Period Ended</w:t>
            </w:r>
          </w:p>
        </w:tc>
        <w:tc>
          <w:tcPr>
            <w:tcW w:w="240" w:type="dxa"/>
            <w:vAlign w:val="bottom"/>
          </w:tcPr>
          <w:p>
            <w:pPr>
              <w:spacing w:after="0"/>
              <w:rPr>
                <w:sz w:val="16"/>
                <w:szCs w:val="16"/>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May 31,</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2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center"/>
              <w:ind w:right="348"/>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Pr>
          <w:p>
            <w:pPr>
              <w:spacing w:after="0"/>
              <w:rPr>
                <w:sz w:val="21"/>
                <w:szCs w:val="21"/>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4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118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w:t>
            </w: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1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10,157</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12,336</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7,407</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13,609</w:t>
            </w:r>
          </w:p>
        </w:tc>
      </w:tr>
      <w:tr>
        <w:trPr>
          <w:trHeight w:val="237"/>
        </w:trPr>
        <w:tc>
          <w:tcPr>
            <w:tcW w:w="116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11,171</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14,949</w:t>
            </w:r>
          </w:p>
        </w:tc>
      </w:tr>
      <w:tr>
        <w:trPr>
          <w:trHeight w:val="20"/>
        </w:trPr>
        <w:tc>
          <w:tcPr>
            <w:tcW w:w="11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1"/>
        </w:trPr>
        <w:tc>
          <w:tcPr>
            <w:tcW w:w="11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4"/>
                <w:szCs w:val="14"/>
                <w:color w:val="auto"/>
                <w:w w:val="98"/>
              </w:rPr>
              <w:t>i) The distribution of total assets by geographical area was as follows:</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86"/>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center"/>
              <w:ind w:right="388"/>
              <w:spacing w:after="0"/>
              <w:rPr>
                <w:sz w:val="20"/>
                <w:szCs w:val="20"/>
                <w:color w:val="auto"/>
              </w:rPr>
            </w:pPr>
            <w:r>
              <w:rPr>
                <w:rFonts w:ascii="Arial" w:cs="Arial" w:eastAsia="Arial" w:hAnsi="Arial"/>
                <w:sz w:val="14"/>
                <w:szCs w:val="14"/>
                <w:b w:val="1"/>
                <w:bCs w:val="1"/>
                <w:color w:val="auto"/>
                <w:w w:val="98"/>
              </w:rPr>
              <w:t>May 31,</w:t>
            </w:r>
          </w:p>
        </w:tc>
        <w:tc>
          <w:tcPr>
            <w:tcW w:w="200" w:type="dxa"/>
            <w:vAlign w:val="bottom"/>
          </w:tcPr>
          <w:p>
            <w:pPr>
              <w:spacing w:after="0"/>
              <w:rPr>
                <w:sz w:val="24"/>
                <w:szCs w:val="2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24"/>
                <w:szCs w:val="24"/>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December 31</w:t>
            </w: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center"/>
              <w:ind w:right="368"/>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1"/>
                <w:szCs w:val="21"/>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1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109,596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91,826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115,802</w:t>
            </w: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Rest of Europe</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79,878</w:t>
            </w:r>
          </w:p>
        </w:tc>
        <w:tc>
          <w:tcPr>
            <w:tcW w:w="20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81,268</w:t>
            </w:r>
          </w:p>
        </w:tc>
        <w:tc>
          <w:tcPr>
            <w:tcW w:w="24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100,212</w:t>
            </w:r>
          </w:p>
        </w:tc>
      </w:tr>
      <w:tr>
        <w:trPr>
          <w:trHeight w:val="243"/>
        </w:trPr>
        <w:tc>
          <w:tcPr>
            <w:tcW w:w="116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1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153,577</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169,231</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245,381</w:t>
            </w: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4,502</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6,742</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14,946</w:t>
            </w:r>
          </w:p>
        </w:tc>
      </w:tr>
      <w:tr>
        <w:trPr>
          <w:trHeight w:val="237"/>
        </w:trPr>
        <w:tc>
          <w:tcPr>
            <w:tcW w:w="116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347,553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476,341</w:t>
            </w:r>
          </w:p>
        </w:tc>
      </w:tr>
      <w:tr>
        <w:trPr>
          <w:trHeight w:val="20"/>
        </w:trPr>
        <w:tc>
          <w:tcPr>
            <w:tcW w:w="11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11"/>
        </w:trPr>
        <w:tc>
          <w:tcPr>
            <w:tcW w:w="11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4"/>
                <w:szCs w:val="14"/>
                <w:color w:val="auto"/>
                <w:w w:val="98"/>
              </w:rPr>
              <w:t>j) The distribution of total assets by business segment was as follows:</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center"/>
              <w:ind w:right="388"/>
              <w:spacing w:after="0"/>
              <w:rPr>
                <w:sz w:val="20"/>
                <w:szCs w:val="20"/>
                <w:color w:val="auto"/>
              </w:rPr>
            </w:pPr>
            <w:r>
              <w:rPr>
                <w:rFonts w:ascii="Arial" w:cs="Arial" w:eastAsia="Arial" w:hAnsi="Arial"/>
                <w:sz w:val="14"/>
                <w:szCs w:val="14"/>
                <w:b w:val="1"/>
                <w:bCs w:val="1"/>
                <w:color w:val="auto"/>
                <w:w w:val="98"/>
              </w:rPr>
              <w:t>May 31,</w:t>
            </w:r>
          </w:p>
        </w:tc>
        <w:tc>
          <w:tcPr>
            <w:tcW w:w="200" w:type="dxa"/>
            <w:vAlign w:val="bottom"/>
          </w:tcPr>
          <w:p>
            <w:pPr>
              <w:spacing w:after="0"/>
              <w:rPr>
                <w:sz w:val="21"/>
                <w:szCs w:val="21"/>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December 31</w:t>
            </w:r>
          </w:p>
        </w:tc>
      </w:tr>
      <w:tr>
        <w:trPr>
          <w:trHeight w:val="243"/>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center"/>
              <w:ind w:right="368"/>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21"/>
                <w:szCs w:val="21"/>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2006</w:t>
            </w:r>
          </w:p>
        </w:tc>
      </w:tr>
      <w:tr>
        <w:trPr>
          <w:trHeight w:val="242"/>
        </w:trPr>
        <w:tc>
          <w:tcPr>
            <w:tcW w:w="1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1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18,083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17,150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28,272</w:t>
            </w: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1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329,470</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331,917</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448,069</w:t>
            </w:r>
          </w:p>
        </w:tc>
      </w:tr>
      <w:tr>
        <w:trPr>
          <w:trHeight w:val="237"/>
        </w:trPr>
        <w:tc>
          <w:tcPr>
            <w:tcW w:w="116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347,553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476,341</w:t>
            </w:r>
          </w:p>
        </w:tc>
      </w:tr>
      <w:tr>
        <w:trPr>
          <w:trHeight w:val="20"/>
        </w:trPr>
        <w:tc>
          <w:tcPr>
            <w:tcW w:w="116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87"/>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jc w:val="right"/>
              <w:ind w:right="748"/>
              <w:spacing w:after="0"/>
              <w:rPr>
                <w:sz w:val="20"/>
                <w:szCs w:val="20"/>
                <w:color w:val="auto"/>
              </w:rPr>
            </w:pPr>
            <w:r>
              <w:rPr>
                <w:rFonts w:ascii="Arial" w:cs="Arial" w:eastAsia="Arial" w:hAnsi="Arial"/>
                <w:sz w:val="14"/>
                <w:szCs w:val="14"/>
                <w:color w:val="auto"/>
              </w:rPr>
              <w:t>85</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k) The distribution of capital expenditures by geographical area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Period Ended</w:t>
            </w:r>
          </w:p>
        </w:tc>
        <w:tc>
          <w:tcPr>
            <w:tcW w:w="26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27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21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4,812</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13,854</w:t>
            </w:r>
          </w:p>
        </w:tc>
      </w:tr>
      <w:tr>
        <w:trPr>
          <w:trHeight w:val="243"/>
        </w:trPr>
        <w:tc>
          <w:tcPr>
            <w:tcW w:w="2740" w:type="dxa"/>
            <w:vAlign w:val="bottom"/>
          </w:tcPr>
          <w:p>
            <w:pPr>
              <w:spacing w:after="0"/>
              <w:rPr>
                <w:sz w:val="20"/>
                <w:szCs w:val="20"/>
                <w:color w:val="auto"/>
              </w:rPr>
            </w:pPr>
            <w:r>
              <w:rPr>
                <w:rFonts w:ascii="Arial" w:cs="Arial" w:eastAsia="Arial" w:hAnsi="Arial"/>
                <w:sz w:val="14"/>
                <w:szCs w:val="14"/>
                <w:color w:val="auto"/>
              </w:rPr>
              <w:t>Rest of Europe</w:t>
            </w:r>
          </w:p>
        </w:tc>
        <w:tc>
          <w:tcPr>
            <w:tcW w:w="2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2,167</w:t>
            </w: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2,168</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600</w:t>
            </w:r>
          </w:p>
        </w:tc>
        <w:tc>
          <w:tcPr>
            <w:tcW w:w="26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4,073</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2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5,826</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5,873</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4,197</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10,905</w:t>
            </w: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1,053</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2,881</w:t>
            </w:r>
          </w:p>
        </w:tc>
      </w:tr>
      <w:tr>
        <w:trPr>
          <w:trHeight w:val="237"/>
        </w:trPr>
        <w:tc>
          <w:tcPr>
            <w:tcW w:w="27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12,965</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31,713</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l) The distribution of capital expenditures by business segment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7"/>
              </w:rPr>
              <w:t>Period Ended</w:t>
            </w:r>
          </w:p>
        </w:tc>
        <w:tc>
          <w:tcPr>
            <w:tcW w:w="26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 Ended</w:t>
            </w:r>
          </w:p>
        </w:tc>
      </w:tr>
      <w:tr>
        <w:trPr>
          <w:trHeight w:val="243"/>
        </w:trPr>
        <w:tc>
          <w:tcPr>
            <w:tcW w:w="2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5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2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1"/>
                <w:szCs w:val="21"/>
                <w:color w:val="auto"/>
              </w:rPr>
            </w:pP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2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2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w:t>
            </w: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20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11,413</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14,712</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10,712</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29,175</w:t>
            </w:r>
          </w:p>
        </w:tc>
      </w:tr>
      <w:tr>
        <w:trPr>
          <w:trHeight w:val="237"/>
        </w:trPr>
        <w:tc>
          <w:tcPr>
            <w:tcW w:w="28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12,965</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31,713</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 The following table sets forth the clients which represented 10% or more of the Company's net revenue in each of the periods set out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Pr>
          <w:p>
            <w:pPr>
              <w:spacing w:after="0"/>
              <w:rPr>
                <w:sz w:val="16"/>
                <w:szCs w:val="16"/>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Period Ended</w:t>
            </w:r>
          </w:p>
        </w:tc>
        <w:tc>
          <w:tcPr>
            <w:tcW w:w="128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550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May 31,</w:t>
            </w:r>
          </w:p>
        </w:tc>
        <w:tc>
          <w:tcPr>
            <w:tcW w:w="1120" w:type="dxa"/>
            <w:vAlign w:val="bottom"/>
          </w:tcPr>
          <w:p>
            <w:pPr>
              <w:spacing w:after="0"/>
              <w:rPr>
                <w:sz w:val="21"/>
                <w:szCs w:val="21"/>
                <w:color w:val="auto"/>
              </w:rPr>
            </w:pPr>
          </w:p>
        </w:tc>
        <w:tc>
          <w:tcPr>
            <w:tcW w:w="2680" w:type="dxa"/>
            <w:vAlign w:val="bottom"/>
            <w:gridSpan w:val="2"/>
          </w:tcPr>
          <w:p>
            <w:pPr>
              <w:jc w:val="right"/>
              <w:ind w:right="928"/>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500" w:type="dxa"/>
            <w:vAlign w:val="bottom"/>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spacing w:after="0"/>
              <w:rPr>
                <w:sz w:val="21"/>
                <w:szCs w:val="21"/>
                <w:color w:val="auto"/>
              </w:rPr>
            </w:pP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2005</w:t>
            </w:r>
          </w:p>
        </w:tc>
        <w:tc>
          <w:tcPr>
            <w:tcW w:w="1400" w:type="dxa"/>
            <w:vAlign w:val="bottom"/>
          </w:tcPr>
          <w:p>
            <w:pPr>
              <w:jc w:val="right"/>
              <w:ind w:right="628"/>
              <w:spacing w:after="0"/>
              <w:rPr>
                <w:sz w:val="20"/>
                <w:szCs w:val="20"/>
                <w:color w:val="auto"/>
              </w:rPr>
            </w:pPr>
            <w:r>
              <w:rPr>
                <w:rFonts w:ascii="Arial" w:cs="Arial" w:eastAsia="Arial" w:hAnsi="Arial"/>
                <w:sz w:val="14"/>
                <w:szCs w:val="14"/>
                <w:b w:val="1"/>
                <w:bCs w:val="1"/>
                <w:color w:val="auto"/>
              </w:rPr>
              <w:t>2005</w:t>
            </w:r>
          </w:p>
        </w:tc>
        <w:tc>
          <w:tcPr>
            <w:tcW w:w="12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42"/>
        </w:trPr>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5500" w:type="dxa"/>
            <w:vAlign w:val="bottom"/>
            <w:shd w:val="clear" w:color="auto" w:fill="CCEEFF"/>
          </w:tcPr>
          <w:p>
            <w:pPr>
              <w:jc w:val="right"/>
              <w:ind w:right="4948"/>
              <w:spacing w:after="0"/>
              <w:rPr>
                <w:sz w:val="20"/>
                <w:szCs w:val="20"/>
                <w:color w:val="auto"/>
              </w:rPr>
            </w:pPr>
            <w:r>
              <w:rPr>
                <w:rFonts w:ascii="Arial" w:cs="Arial" w:eastAsia="Arial" w:hAnsi="Arial"/>
                <w:sz w:val="14"/>
                <w:szCs w:val="14"/>
                <w:color w:val="auto"/>
                <w:w w:val="93"/>
              </w:rPr>
              <w:t>Client A</w:t>
            </w:r>
          </w:p>
        </w:tc>
        <w:tc>
          <w:tcPr>
            <w:tcW w:w="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38" w:lineRule="exact"/>
        <w:rPr>
          <w:sz w:val="20"/>
          <w:szCs w:val="20"/>
          <w:color w:val="auto"/>
        </w:rPr>
      </w:pPr>
    </w:p>
    <w:p>
      <w:pPr>
        <w:ind w:left="460" w:hanging="315"/>
        <w:spacing w:after="0"/>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Revenue did not exceed 10%</w:t>
      </w: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70485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400" w:top="445"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color w:val="auto"/>
                <w:w w:val="95"/>
              </w:rPr>
              <w:t>n) The distribution of interest income by geographical area was as follows: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1"/>
                <w:szCs w:val="21"/>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Rest of Europe</w:t>
            </w: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2,737</w:t>
            </w:r>
          </w:p>
        </w:tc>
      </w:tr>
      <w:tr>
        <w:trPr>
          <w:trHeight w:val="243"/>
        </w:trPr>
        <w:tc>
          <w:tcPr>
            <w:tcW w:w="11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auto"/>
            </w:tcBorders>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3,765</w:t>
            </w:r>
          </w:p>
        </w:tc>
      </w:tr>
      <w:tr>
        <w:trPr>
          <w:trHeight w:val="20"/>
        </w:trPr>
        <w:tc>
          <w:tcPr>
            <w:tcW w:w="116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711"/>
        </w:trPr>
        <w:tc>
          <w:tcPr>
            <w:tcW w:w="116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4"/>
                <w:szCs w:val="14"/>
                <w:color w:val="auto"/>
                <w:w w:val="95"/>
              </w:rPr>
              <w:t>o) The distribution of interest income by business segment was as follows: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1"/>
                <w:szCs w:val="21"/>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1,196</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3,668</w:t>
            </w:r>
          </w:p>
        </w:tc>
      </w:tr>
      <w:tr>
        <w:trPr>
          <w:trHeight w:val="237"/>
        </w:trPr>
        <w:tc>
          <w:tcPr>
            <w:tcW w:w="116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Total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3,765</w:t>
            </w:r>
          </w:p>
        </w:tc>
      </w:tr>
      <w:tr>
        <w:trPr>
          <w:trHeight w:val="20"/>
        </w:trPr>
        <w:tc>
          <w:tcPr>
            <w:tcW w:w="1160" w:type="dxa"/>
            <w:vAlign w:val="bottom"/>
          </w:tcPr>
          <w:p>
            <w:pPr>
              <w:spacing w:after="0" w:line="20" w:lineRule="exact"/>
              <w:rPr>
                <w:sz w:val="1"/>
                <w:szCs w:val="1"/>
                <w:color w:val="auto"/>
              </w:rPr>
            </w:pPr>
          </w:p>
        </w:tc>
        <w:tc>
          <w:tcPr>
            <w:tcW w:w="4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116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 The distribution of tax charge by geographical area was as follows: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93"/>
              </w:rPr>
              <w:t>Period Ended</w:t>
            </w:r>
          </w:p>
        </w:tc>
        <w:tc>
          <w:tcPr>
            <w:tcW w:w="2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1"/>
                <w:szCs w:val="21"/>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1"/>
                <w:szCs w:val="21"/>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8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Ireland</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1,365</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3,961</w:t>
            </w:r>
          </w:p>
        </w:tc>
      </w:tr>
      <w:tr>
        <w:trPr>
          <w:trHeight w:val="243"/>
        </w:trPr>
        <w:tc>
          <w:tcPr>
            <w:tcW w:w="116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Rest of Europe</w:t>
            </w: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2,388</w:t>
            </w:r>
          </w:p>
        </w:tc>
        <w:tc>
          <w:tcPr>
            <w:tcW w:w="4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1,004</w:t>
            </w:r>
          </w:p>
        </w:tc>
        <w:tc>
          <w:tcPr>
            <w:tcW w:w="22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1,460</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2,034</w:t>
            </w:r>
          </w:p>
        </w:tc>
      </w:tr>
      <w:tr>
        <w:trPr>
          <w:trHeight w:val="243"/>
        </w:trPr>
        <w:tc>
          <w:tcPr>
            <w:tcW w:w="116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U.S.</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4,355</w:t>
            </w: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1,888</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1,671</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4,411</w:t>
            </w: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1,267</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1,858</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2,518</w:t>
            </w:r>
          </w:p>
        </w:tc>
      </w:tr>
      <w:tr>
        <w:trPr>
          <w:trHeight w:val="237"/>
        </w:trPr>
        <w:tc>
          <w:tcPr>
            <w:tcW w:w="116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8,929</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12,924</w:t>
            </w:r>
          </w:p>
        </w:tc>
      </w:tr>
      <w:tr>
        <w:trPr>
          <w:trHeight w:val="20"/>
        </w:trPr>
        <w:tc>
          <w:tcPr>
            <w:tcW w:w="116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87"/>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00" w:type="dxa"/>
            <w:vAlign w:val="bottom"/>
          </w:tcPr>
          <w:p>
            <w:pPr>
              <w:jc w:val="right"/>
              <w:ind w:right="208"/>
              <w:spacing w:after="0"/>
              <w:rPr>
                <w:sz w:val="20"/>
                <w:szCs w:val="20"/>
                <w:color w:val="auto"/>
              </w:rPr>
            </w:pPr>
            <w:r>
              <w:rPr>
                <w:rFonts w:ascii="Arial" w:cs="Arial" w:eastAsia="Arial" w:hAnsi="Arial"/>
                <w:sz w:val="14"/>
                <w:szCs w:val="14"/>
                <w:color w:val="auto"/>
              </w:rPr>
              <w:t>87</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w w:val="96"/>
              </w:rPr>
              <w:t>q) The distribution of the tax charge by business segment was as follows:</w:t>
            </w: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243"/>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8"/>
              </w:rPr>
              <w:t>May 31,</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1"/>
                <w:szCs w:val="21"/>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200" w:type="dxa"/>
            <w:vAlign w:val="bottom"/>
          </w:tcPr>
          <w:p>
            <w:pPr>
              <w:jc w:val="center"/>
              <w:ind w:right="188"/>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21"/>
                <w:szCs w:val="21"/>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20" w:type="dxa"/>
            <w:vAlign w:val="bottom"/>
            <w:gridSpan w:val="3"/>
          </w:tcPr>
          <w:p>
            <w:pPr>
              <w:jc w:val="right"/>
              <w:ind w:right="96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Central laboratory</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(2,877)</w:t>
            </w:r>
          </w:p>
        </w:tc>
      </w:tr>
      <w:tr>
        <w:trPr>
          <w:trHeight w:val="243"/>
        </w:trPr>
        <w:tc>
          <w:tcPr>
            <w:tcW w:w="116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Clinical research</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8,929</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5,799</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5,480</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15,801</w:t>
            </w:r>
          </w:p>
        </w:tc>
      </w:tr>
      <w:tr>
        <w:trPr>
          <w:trHeight w:val="237"/>
        </w:trPr>
        <w:tc>
          <w:tcPr>
            <w:tcW w:w="116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8,929</w:t>
            </w:r>
          </w:p>
        </w:tc>
        <w:tc>
          <w:tcPr>
            <w:tcW w:w="4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12,924</w:t>
            </w:r>
          </w:p>
        </w:tc>
        <w:tc>
          <w:tcPr>
            <w:tcW w:w="10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4"/>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18. Supplemental Disclosure of Cash Flow Information</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r>
      <w:tr>
        <w:trPr>
          <w:trHeight w:val="186"/>
        </w:trPr>
        <w:tc>
          <w:tcPr>
            <w:tcW w:w="1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Period Ended</w:t>
            </w:r>
          </w:p>
        </w:tc>
        <w:tc>
          <w:tcPr>
            <w:tcW w:w="2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243"/>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243"/>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1"/>
                <w:szCs w:val="21"/>
                <w:color w:val="auto"/>
              </w:rPr>
            </w:pPr>
          </w:p>
        </w:tc>
        <w:tc>
          <w:tcPr>
            <w:tcW w:w="980" w:type="dxa"/>
            <w:vAlign w:val="bottom"/>
          </w:tcPr>
          <w:p>
            <w:pPr>
              <w:jc w:val="right"/>
              <w:ind w:right="48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1"/>
                <w:szCs w:val="21"/>
                <w:color w:val="auto"/>
              </w:rPr>
            </w:pP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1"/>
                <w:szCs w:val="21"/>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21"/>
                <w:szCs w:val="21"/>
                <w:color w:val="auto"/>
              </w:rPr>
            </w:pPr>
          </w:p>
        </w:tc>
      </w:tr>
      <w:tr>
        <w:trPr>
          <w:trHeight w:val="242"/>
        </w:trPr>
        <w:tc>
          <w:tcPr>
            <w:tcW w:w="11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20" w:type="dxa"/>
            <w:vAlign w:val="bottom"/>
            <w:gridSpan w:val="3"/>
          </w:tcPr>
          <w:p>
            <w:pPr>
              <w:jc w:val="right"/>
              <w:ind w:right="94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1160" w:type="dxa"/>
            <w:vAlign w:val="bottom"/>
          </w:tcPr>
          <w:p>
            <w:pPr>
              <w:spacing w:after="0"/>
              <w:rPr>
                <w:sz w:val="24"/>
                <w:szCs w:val="24"/>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paid for interest</w:t>
            </w:r>
          </w:p>
        </w:tc>
        <w:tc>
          <w:tcPr>
            <w:tcW w:w="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w:t>
            </w:r>
          </w:p>
        </w:tc>
      </w:tr>
      <w:tr>
        <w:trPr>
          <w:trHeight w:val="224"/>
        </w:trPr>
        <w:tc>
          <w:tcPr>
            <w:tcW w:w="1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r>
      <w:tr>
        <w:trPr>
          <w:trHeight w:val="283"/>
        </w:trPr>
        <w:tc>
          <w:tcPr>
            <w:tcW w:w="1160" w:type="dxa"/>
            <w:vAlign w:val="bottom"/>
          </w:tcPr>
          <w:p>
            <w:pPr>
              <w:spacing w:after="0"/>
              <w:rPr>
                <w:sz w:val="24"/>
                <w:szCs w:val="24"/>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paid for income taxes</w:t>
            </w:r>
          </w:p>
        </w:tc>
        <w:tc>
          <w:tcPr>
            <w:tcW w:w="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5,731</w:t>
            </w:r>
          </w:p>
        </w:tc>
        <w:tc>
          <w:tcPr>
            <w:tcW w:w="4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11,632</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New Accounting Pronouncements</w:t>
      </w:r>
    </w:p>
    <w:p>
      <w:pPr>
        <w:spacing w:after="0" w:line="289"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In May 2005, the FASB issued SFAS No. 154, Accounting Changes and Error Correction (SFAS No. 154). SFAS No.154 is a replacement of APB Opinion No. 20, Accounting Changes (APB Opinion No. 20), and SFAS No. 3, Reporting Accounting Changes in Interim Financial Statements. The statement applies to all voluntary changes in accounting principle, and changes the accounting for, and reporting of, a change in accounting principle. SFAS No. 154 requires retrospective application to prior period financial statements of a voluntary change in accounting principle unless it is impracticable to do so. APB Opinion No. 20 previously required that most voluntary changes in accounting principle be recognized by including in net income of the period of the change the cumulative effect of changing to the new accounting principle. SFAS No. 154 carries forward many provisions of APB Opinion No. 20 without change, including the provisions related to the reporting of a change in accounting estimate, and the correction of an error. SFAS No. 154 does not change the provisions of any existing accounting pronouncements, including those that are in a transition phase at the effective date of the statement. The Company adopted the provisions of SFAS No. 154 on January 1, 2006, and the adoption of the new standard did not have a material impact on the Company’s consolidated financial position or results of operations.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In June 2006, the FASB issued FASB Interpretation No. 48, Accounting for Uncertainty in Income Taxes - an interpretation of SFAS 109. This interpretation clarifies the accounting for uncertainty in income taxes recognized in a company’s financial statements in accordance with FASB Statement No.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This interpretation prescribes a recognition threshold and measurement attribute for the financial statement recognition and measurement of tax position taken in a tax return. It also provides guidance on de-recognition classification, interest and penalties, accounting in interim periods, disclosure and transition. Interpretation No. 48 is effective for fiscal years beginning after December 15, 2006. Earlier application is encouraged if the company has not yet issued financial statements, including interim financial statements, in the period Interpretation No. 48 is adopted. The Company does not expect the adoption of Interpretation No. 48 to have a material impact on the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1" w:name="page92"/>
    <w:bookmarkEnd w:id="91"/>
    <w:p>
      <w:pPr>
        <w:ind w:right="80"/>
        <w:spacing w:after="0" w:line="299" w:lineRule="auto"/>
        <w:rPr>
          <w:sz w:val="20"/>
          <w:szCs w:val="20"/>
          <w:color w:val="auto"/>
        </w:rPr>
      </w:pPr>
      <w:r>
        <w:rPr>
          <w:rFonts w:ascii="Arial" w:cs="Arial" w:eastAsia="Arial" w:hAnsi="Arial"/>
          <w:sz w:val="13"/>
          <w:szCs w:val="13"/>
          <w:color w:val="auto"/>
        </w:rPr>
        <w:t>In September 2006, the SEC issued SAB No. 108, Considering the Effects of Prior Year Misstatements when Quantifying Misstatements in Current Year Financial Statements. SAB No. 108 provides guidance on how prior year financial statement misstatements should be considered when quantifying misstatements in current year financial statements for purposes of determining whether the current year’s financial statements are materially misstated. SAB No. 108 is effective for fiscal years ending after November 15, 2006, and as such, the Company adopted SAB No. 108 in the year ended December 31, 2006. The adoption of SAB No. 108 did not have a material impact on the Company’s consolidated results of operations or financial position.</w:t>
      </w:r>
    </w:p>
    <w:p>
      <w:pPr>
        <w:spacing w:after="0" w:line="227"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 March 2005, the Financial Accounting Standards Board (FASB) issued FASB Interpretation No. 47. In accordance with FASB Interpretation 47 companies must recognize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adoption of FASB Interpretation No 47 has not had a material impact on our financial position or results of operations.</w:t>
      </w:r>
    </w:p>
    <w:p>
      <w:pPr>
        <w:spacing w:after="0" w:line="246" w:lineRule="exact"/>
        <w:rPr>
          <w:sz w:val="20"/>
          <w:szCs w:val="20"/>
          <w:color w:val="auto"/>
        </w:rPr>
      </w:pPr>
    </w:p>
    <w:p>
      <w:pPr>
        <w:ind w:right="60"/>
        <w:spacing w:after="0" w:line="292" w:lineRule="auto"/>
        <w:rPr>
          <w:sz w:val="20"/>
          <w:szCs w:val="20"/>
          <w:color w:val="auto"/>
        </w:rPr>
      </w:pPr>
      <w:r>
        <w:rPr>
          <w:rFonts w:ascii="Arial" w:cs="Arial" w:eastAsia="Arial" w:hAnsi="Arial"/>
          <w:sz w:val="13"/>
          <w:szCs w:val="13"/>
          <w:color w:val="auto"/>
        </w:rPr>
        <w:t>In December 2004, the FASB issued Statement No. 123R, "Share-Based Payment” - An Amendment of FASB Statements No. 123 and 95 (“SFAS No.123R”), which is effective for public companies in periods beginning after June 15, 2005. We implemented the standard on January 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requires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adopted the Black-Scholes model to derive fair values.</w:t>
      </w:r>
    </w:p>
    <w:p>
      <w:pPr>
        <w:spacing w:after="0" w:line="232" w:lineRule="exact"/>
        <w:rPr>
          <w:sz w:val="20"/>
          <w:szCs w:val="20"/>
          <w:color w:val="auto"/>
        </w:rPr>
      </w:pPr>
    </w:p>
    <w:p>
      <w:pPr>
        <w:ind w:right="80"/>
        <w:spacing w:after="0" w:line="299" w:lineRule="auto"/>
        <w:rPr>
          <w:sz w:val="20"/>
          <w:szCs w:val="20"/>
          <w:color w:val="auto"/>
        </w:rPr>
      </w:pPr>
      <w:r>
        <w:rPr>
          <w:rFonts w:ascii="Arial" w:cs="Arial" w:eastAsia="Arial" w:hAnsi="Arial"/>
          <w:sz w:val="13"/>
          <w:szCs w:val="13"/>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The adoption of SFAS No. 151 has not had a material impact on our financial position or results of operations.</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adoption of SFAS No. 153 has not had a material impact on our financial position or results of operations.</w:t>
      </w:r>
    </w:p>
    <w:p>
      <w:pPr>
        <w:spacing w:after="0" w:line="245"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unrealized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7" w:right="25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20. Related Parties</w:t>
      </w:r>
    </w:p>
    <w:p>
      <w:pPr>
        <w:spacing w:after="0" w:line="289"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On December 6, 2005, Dr. Ronan Lambe and Dr. John Climax gifted 64,000 and 80,000 ADSs, respectively, to Mr. Peter Gray, the Company’s Chief Executive Officer. ICON has accounted for these transfers of equity instruments from shareholders to Mr. Gray as share based payment transactions, and recorded a compensation expense of $6,023,520 in its Consolidated Statement of Operations, measured by reference to the fair value of the ADSs on the grant date. As this transaction is a transfer of already issued stock between officers and directors of the Company, the expense recorded had no cash flow impact on the Company and created no dilution of ordinary shares outstanding. The fair value of the ADSs on the date of gift was determined by reference to market price.</w:t>
      </w:r>
    </w:p>
    <w:p>
      <w:pPr>
        <w:spacing w:after="0" w:line="246" w:lineRule="exact"/>
        <w:rPr>
          <w:sz w:val="20"/>
          <w:szCs w:val="20"/>
          <w:color w:val="auto"/>
        </w:rPr>
      </w:pPr>
    </w:p>
    <w:p>
      <w:pPr>
        <w:ind w:right="260"/>
        <w:spacing w:after="0" w:line="272" w:lineRule="auto"/>
        <w:rPr>
          <w:sz w:val="20"/>
          <w:szCs w:val="20"/>
          <w:color w:val="auto"/>
        </w:rPr>
      </w:pPr>
      <w:r>
        <w:rPr>
          <w:rFonts w:ascii="Arial" w:cs="Arial" w:eastAsia="Arial" w:hAnsi="Arial"/>
          <w:sz w:val="14"/>
          <w:szCs w:val="14"/>
          <w:color w:val="auto"/>
        </w:rPr>
        <w:t>NuPathe Inc. (“NuPathe”) is a specialty pharmaceutical company specializing in the acquisition and development of therapeutic products in the area of neuroscience. During the year ending December 31, 2006, NuPathe engaged ICON Clinical Research Limited (a wholly owned subsidiary of ICON), in consulting and clinical trial related activities. ICON recognized a total of $0.16 million of revenue in relation to these activities. As of December 31, 2006, Dr. John Climax’s and Dr. Ronan Lambe’s respective holdings in NuPathe were 6.8% and 6.5% of the issued share capital. Dr. Climax also serves as a non-executive director and chairman of the compensation committee on the Board of NuPathe.</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AGI Therapeutics Limited (“AGI”) is a specialty pharmaceutical company focused on developing drug therapies for gastrointestinal diseases and disorders. ICON is engaged in conducting a series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of clinical trials on behalf of AGI. In January 2006, Dr. Ronan Lambe was appointed a non-executive director of AGI and took up the position of non-executive Chairman from February 2006.</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During September 2004, AGI contracted ICON Clinical Research Limited (a wholly owned subsidiary of ICON), to conduct a clinical trial on its behalf. The total potential value of this study is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$2.8m. During the year ended December 31, 2006 the Company recognized $0.5m revenue relating to the AGI contract. At December 31, 2006, $0.4m was outstanding to be received from AGI on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this trial. As of December 31, 2006, Dr. Ronan Lambe and Sunninghill Limited (a company controlled by Dr. John Climax) held 0.9 million and 0.3 million shares, respectively, in AGI. This holding</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equates to approximately 0.1% and 0.05%, respectively of AGI's issued share capital.</w:t>
      </w:r>
    </w:p>
    <w:p>
      <w:pPr>
        <w:spacing w:after="0" w:line="278" w:lineRule="exact"/>
        <w:rPr>
          <w:sz w:val="20"/>
          <w:szCs w:val="20"/>
          <w:color w:val="auto"/>
        </w:rPr>
      </w:pPr>
    </w:p>
    <w:p>
      <w:pPr>
        <w:ind w:right="100"/>
        <w:spacing w:after="0" w:line="292" w:lineRule="auto"/>
        <w:rPr>
          <w:sz w:val="20"/>
          <w:szCs w:val="20"/>
          <w:color w:val="auto"/>
        </w:rPr>
      </w:pPr>
      <w:r>
        <w:rPr>
          <w:rFonts w:ascii="Arial" w:cs="Arial" w:eastAsia="Arial" w:hAnsi="Arial"/>
          <w:sz w:val="13"/>
          <w:szCs w:val="13"/>
          <w:color w:val="auto"/>
        </w:rPr>
        <w:t>Amarin Corporation plc ("Amarin") is a neuroscience company focused on the research, development and commercialization of drugs for the treatment of central nervous system disorders. During the fiscal year ending May 31, 2005, Amarin contracted ICON Clinical Research Limited (a wholly owned subsidiary of ICON), to conduct a clinical trial on its behalf. The total potential value of this study is $8m. As at December 31, 2006, Amarin Investment Holding Company Limited (a company controlled by Mr. Thomas Lynch), Sunninghill Limited (a company controlled by Dr. John Climax) and Dr. Ronan Lambe held 10 million, 6.4 million and 1.6 million shares, respectively, in Amarin. These respective holdings equate to approximately 11%, 7.8% and 1.4%, respectively, of Amarin's issued share capital. Thomas Lynch also serves as chairman and non-executive director on the Board of Amarin. During the year ended December 31, 2006, the Company recognized $2.4m revenue relating to the Amarin contract. At December 31, 2006, $1.4m was outstanding to be received from Amarin on this trial.</w:t>
      </w:r>
    </w:p>
    <w:p>
      <w:pPr>
        <w:spacing w:after="0" w:line="23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On February 6, 1998, ICON entered into an Option Agreement (“The Put Option”) with Rosa Investment Limited ("Rosa"). Rosa's sole activity was to hold an investment in Clear Investments Limited ("Clear"), the sole activity of which was to hold Mr. Gray's 54,000 ordinary share options. Mr. Gray is a director of Rosa and Clear. Rosa is owned by a trust of which Mr. Gray is a beneficiary. On April 21, 2004, Mr. Gray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ordinary shares in ICON, to Mr. Gray, such a sale being the economic equivalent of Mr. Gray exercising his stock options.</w:t>
      </w:r>
    </w:p>
    <w:p>
      <w:pPr>
        <w:spacing w:after="0" w:line="246" w:lineRule="exact"/>
        <w:rPr>
          <w:sz w:val="20"/>
          <w:szCs w:val="20"/>
          <w:color w:val="auto"/>
        </w:rPr>
      </w:pPr>
    </w:p>
    <w:p>
      <w:pPr>
        <w:ind w:right="160"/>
        <w:spacing w:after="0" w:line="272" w:lineRule="auto"/>
        <w:rPr>
          <w:sz w:val="20"/>
          <w:szCs w:val="20"/>
          <w:color w:val="auto"/>
        </w:rPr>
      </w:pPr>
      <w:r>
        <w:rPr>
          <w:rFonts w:ascii="Arial" w:cs="Arial" w:eastAsia="Arial" w:hAnsi="Arial"/>
          <w:sz w:val="14"/>
          <w:szCs w:val="14"/>
          <w:color w:val="auto"/>
        </w:rPr>
        <w:t>Encysive Pharmaceuticals Inc. (“Encysive”) is a biopharmaceutical company specializing in the development and commercialization of synthetic, small molecule compounds. During the year ending December 31, 2006, Encysive engaged ICON Clinical Research Limited (a wholly owned subsidiary of ICON), in consulting and clinical trial related activities. ICON recognized a total of $0.3 million of revenue in relation to these activities. As of December 31, 2006, Dr. Bruce Given’s holdings in Encysive were 0.4% of the issued share capital. Dr. Bruce Given also serves as the President and Chief Executive Officer of Encysive.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certifies that it meets all of the US requirements for filing on Form 20-F and has duly caused and authorized this annual report to be signed on its behalf.</w:t>
      </w:r>
    </w:p>
    <w:p>
      <w:pPr>
        <w:spacing w:after="0" w:line="200" w:lineRule="exact"/>
        <w:rPr>
          <w:sz w:val="20"/>
          <w:szCs w:val="20"/>
          <w:color w:val="auto"/>
        </w:rPr>
      </w:pPr>
    </w:p>
    <w:p>
      <w:pPr>
        <w:spacing w:after="0" w:line="351" w:lineRule="exact"/>
        <w:rPr>
          <w:sz w:val="20"/>
          <w:szCs w:val="20"/>
          <w:color w:val="auto"/>
        </w:rPr>
      </w:pPr>
    </w:p>
    <w:p>
      <w:pPr>
        <w:ind w:left="5900"/>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20"/>
                <w:szCs w:val="20"/>
                <w:color w:val="auto"/>
              </w:rPr>
            </w:pPr>
            <w:r>
              <w:rPr>
                <w:rFonts w:ascii="Arial" w:cs="Arial" w:eastAsia="Arial" w:hAnsi="Arial"/>
                <w:sz w:val="14"/>
                <w:szCs w:val="14"/>
                <w:color w:val="auto"/>
              </w:rPr>
              <w:t>____________________________</w:t>
            </w:r>
          </w:p>
        </w:tc>
        <w:tc>
          <w:tcPr>
            <w:tcW w:w="206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/s/ Ciaran Murray</w:t>
            </w:r>
          </w:p>
        </w:tc>
        <w:tc>
          <w:tcPr>
            <w:tcW w:w="4480" w:type="dxa"/>
            <w:vAlign w:val="bottom"/>
          </w:tcPr>
          <w:p>
            <w:pPr>
              <w:spacing w:after="0"/>
              <w:rPr>
                <w:sz w:val="14"/>
                <w:szCs w:val="14"/>
                <w:color w:val="auto"/>
              </w:rPr>
            </w:pPr>
          </w:p>
        </w:tc>
      </w:tr>
      <w:tr>
        <w:trPr>
          <w:trHeight w:val="252"/>
        </w:trPr>
        <w:tc>
          <w:tcPr>
            <w:tcW w:w="3840" w:type="dxa"/>
            <w:vAlign w:val="bottom"/>
          </w:tcPr>
          <w:p>
            <w:pPr>
              <w:spacing w:after="0"/>
              <w:rPr>
                <w:sz w:val="20"/>
                <w:szCs w:val="20"/>
                <w:color w:val="auto"/>
              </w:rPr>
            </w:pPr>
            <w:r>
              <w:rPr>
                <w:rFonts w:ascii="Arial" w:cs="Arial" w:eastAsia="Arial" w:hAnsi="Arial"/>
                <w:sz w:val="14"/>
                <w:szCs w:val="14"/>
                <w:color w:val="auto"/>
              </w:rPr>
              <w:t>Date February 12, 2007</w:t>
            </w:r>
          </w:p>
        </w:tc>
        <w:tc>
          <w:tcPr>
            <w:tcW w:w="206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Ciaran Murray</w:t>
            </w:r>
          </w:p>
        </w:tc>
      </w:tr>
      <w:tr>
        <w:trPr>
          <w:trHeight w:val="243"/>
        </w:trPr>
        <w:tc>
          <w:tcPr>
            <w:tcW w:w="38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52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r>
      <w:tr>
        <w:trPr>
          <w:trHeight w:val="473"/>
        </w:trPr>
        <w:tc>
          <w:tcPr>
            <w:tcW w:w="3840" w:type="dxa"/>
            <w:vAlign w:val="bottom"/>
          </w:tcPr>
          <w:p>
            <w:pPr>
              <w:spacing w:after="0"/>
              <w:rPr>
                <w:sz w:val="24"/>
                <w:szCs w:val="24"/>
                <w:color w:val="auto"/>
              </w:rPr>
            </w:pPr>
          </w:p>
        </w:tc>
        <w:tc>
          <w:tcPr>
            <w:tcW w:w="206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03"/>
        </w:trPr>
        <w:tc>
          <w:tcPr>
            <w:tcW w:w="38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Pursuant to Section 302 of</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the Sarbanes-Oxley Act of 2002</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 Peter Gray, certify that:</w:t>
      </w:r>
    </w:p>
    <w:p>
      <w:pPr>
        <w:spacing w:after="0" w:line="28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ICON plc (“the registrant”).</w:t>
      </w:r>
    </w:p>
    <w:p>
      <w:pPr>
        <w:spacing w:after="0" w:line="284" w:lineRule="exact"/>
        <w:rPr>
          <w:rFonts w:ascii="Arial" w:cs="Arial" w:eastAsia="Arial" w:hAnsi="Arial"/>
          <w:sz w:val="14"/>
          <w:szCs w:val="14"/>
          <w:color w:val="auto"/>
        </w:rPr>
      </w:pPr>
    </w:p>
    <w:p>
      <w:pPr>
        <w:ind w:right="120" w:firstLine="8"/>
        <w:spacing w:after="0" w:line="293" w:lineRule="auto"/>
        <w:tabs>
          <w:tab w:leader="none" w:pos="144"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4"/>
          <w:szCs w:val="14"/>
          <w:color w:val="auto"/>
        </w:rPr>
      </w:pPr>
    </w:p>
    <w:p>
      <w:pPr>
        <w:ind w:right="180" w:firstLine="8"/>
        <w:spacing w:after="0" w:line="293" w:lineRule="auto"/>
        <w:tabs>
          <w:tab w:leader="none" w:pos="144"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4"/>
          <w:szCs w:val="14"/>
          <w:color w:val="auto"/>
        </w:rPr>
      </w:pPr>
    </w:p>
    <w:p>
      <w:pPr>
        <w:ind w:right="40" w:firstLine="8"/>
        <w:spacing w:after="0" w:line="293" w:lineRule="auto"/>
        <w:tabs>
          <w:tab w:leader="none" w:pos="14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4"/>
          <w:szCs w:val="14"/>
          <w:color w:val="auto"/>
        </w:rPr>
      </w:pPr>
    </w:p>
    <w:p>
      <w:pPr>
        <w:ind w:left="660" w:hanging="4"/>
        <w:spacing w:after="0" w:line="334" w:lineRule="auto"/>
        <w:tabs>
          <w:tab w:leader="none" w:pos="808" w:val="left"/>
        </w:tabs>
        <w:numPr>
          <w:ilvl w:val="1"/>
          <w:numId w:val="5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13"/>
          <w:szCs w:val="13"/>
          <w:color w:val="auto"/>
        </w:rPr>
      </w:pPr>
    </w:p>
    <w:p>
      <w:pPr>
        <w:ind w:left="660" w:right="80" w:hanging="4"/>
        <w:spacing w:after="0" w:line="334" w:lineRule="auto"/>
        <w:tabs>
          <w:tab w:leader="none" w:pos="816" w:val="left"/>
        </w:tabs>
        <w:numPr>
          <w:ilvl w:val="1"/>
          <w:numId w:val="5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3"/>
          <w:szCs w:val="13"/>
          <w:color w:val="auto"/>
        </w:rPr>
      </w:pPr>
    </w:p>
    <w:p>
      <w:pPr>
        <w:ind w:left="660" w:right="280" w:hanging="4"/>
        <w:spacing w:after="0" w:line="293" w:lineRule="auto"/>
        <w:tabs>
          <w:tab w:leader="none" w:pos="808" w:val="left"/>
        </w:tabs>
        <w:numPr>
          <w:ilvl w:val="1"/>
          <w:numId w:val="5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4"/>
          <w:szCs w:val="14"/>
          <w:color w:val="auto"/>
        </w:rPr>
      </w:pPr>
    </w:p>
    <w:p>
      <w:pPr>
        <w:ind w:left="660" w:right="140" w:hanging="4"/>
        <w:spacing w:after="0" w:line="293" w:lineRule="auto"/>
        <w:tabs>
          <w:tab w:leader="none" w:pos="816" w:val="left"/>
        </w:tabs>
        <w:numPr>
          <w:ilvl w:val="1"/>
          <w:numId w:val="5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period covered by this report that has materially affected, or is reasonably likely to materially affect, the company’s internal control over financial reporting.</w:t>
      </w:r>
    </w:p>
    <w:p>
      <w:pPr>
        <w:spacing w:after="0" w:line="228" w:lineRule="exact"/>
        <w:rPr>
          <w:rFonts w:ascii="Arial" w:cs="Arial" w:eastAsia="Arial" w:hAnsi="Arial"/>
          <w:sz w:val="14"/>
          <w:szCs w:val="14"/>
          <w:color w:val="auto"/>
        </w:rPr>
      </w:pPr>
    </w:p>
    <w:p>
      <w:pPr>
        <w:ind w:firstLine="8"/>
        <w:spacing w:after="0" w:line="293" w:lineRule="auto"/>
        <w:tabs>
          <w:tab w:leader="none" w:pos="144"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sz w:val="20"/>
          <w:szCs w:val="20"/>
          <w:color w:val="auto"/>
        </w:rPr>
      </w:pPr>
    </w:p>
    <w:p>
      <w:pPr>
        <w:ind w:right="60" w:firstLine="8"/>
        <w:spacing w:after="0" w:line="293" w:lineRule="auto"/>
        <w:tabs>
          <w:tab w:leader="none" w:pos="148" w:val="left"/>
        </w:tabs>
        <w:numPr>
          <w:ilvl w:val="0"/>
          <w:numId w:val="5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4"/>
          <w:szCs w:val="14"/>
          <w:color w:val="auto"/>
        </w:rPr>
      </w:pPr>
    </w:p>
    <w:p>
      <w:pPr>
        <w:ind w:left="160" w:hanging="152"/>
        <w:spacing w:after="0"/>
        <w:tabs>
          <w:tab w:leader="none" w:pos="1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12, 2007</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Peter Gray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17" w:right="31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Pursuant to Section 302 of</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the Sarbanes-Oxley Act of 2002</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 Ciaran Murray, certify that:</w:t>
      </w:r>
    </w:p>
    <w:p>
      <w:pPr>
        <w:spacing w:after="0" w:line="285"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ICON plc (“the registrant”).</w:t>
      </w:r>
    </w:p>
    <w:p>
      <w:pPr>
        <w:spacing w:after="0" w:line="284" w:lineRule="exact"/>
        <w:rPr>
          <w:rFonts w:ascii="Arial" w:cs="Arial" w:eastAsia="Arial" w:hAnsi="Arial"/>
          <w:sz w:val="14"/>
          <w:szCs w:val="14"/>
          <w:color w:val="auto"/>
        </w:rPr>
      </w:pPr>
    </w:p>
    <w:p>
      <w:pPr>
        <w:ind w:right="120" w:firstLine="8"/>
        <w:spacing w:after="0" w:line="293" w:lineRule="auto"/>
        <w:tabs>
          <w:tab w:leader="none" w:pos="1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4"/>
          <w:szCs w:val="14"/>
          <w:color w:val="auto"/>
        </w:rPr>
      </w:pPr>
    </w:p>
    <w:p>
      <w:pPr>
        <w:ind w:right="180" w:firstLine="8"/>
        <w:spacing w:after="0" w:line="293" w:lineRule="auto"/>
        <w:tabs>
          <w:tab w:leader="none" w:pos="1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4"/>
          <w:szCs w:val="14"/>
          <w:color w:val="auto"/>
        </w:rPr>
      </w:pPr>
    </w:p>
    <w:p>
      <w:pPr>
        <w:ind w:right="40" w:firstLine="8"/>
        <w:spacing w:after="0" w:line="293" w:lineRule="auto"/>
        <w:tabs>
          <w:tab w:leader="none" w:pos="1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4"/>
          <w:szCs w:val="14"/>
          <w:color w:val="auto"/>
        </w:rPr>
      </w:pPr>
    </w:p>
    <w:p>
      <w:pPr>
        <w:ind w:left="660" w:hanging="4"/>
        <w:spacing w:after="0" w:line="334" w:lineRule="auto"/>
        <w:tabs>
          <w:tab w:leader="none" w:pos="808"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13"/>
          <w:szCs w:val="13"/>
          <w:color w:val="auto"/>
        </w:rPr>
      </w:pPr>
    </w:p>
    <w:p>
      <w:pPr>
        <w:ind w:left="660" w:right="80" w:hanging="4"/>
        <w:spacing w:after="0" w:line="334" w:lineRule="auto"/>
        <w:tabs>
          <w:tab w:leader="none" w:pos="816"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3"/>
          <w:szCs w:val="13"/>
          <w:color w:val="auto"/>
        </w:rPr>
      </w:pPr>
    </w:p>
    <w:p>
      <w:pPr>
        <w:ind w:left="660" w:right="280" w:hanging="4"/>
        <w:spacing w:after="0" w:line="293" w:lineRule="auto"/>
        <w:tabs>
          <w:tab w:leader="none" w:pos="808"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4"/>
          <w:szCs w:val="14"/>
          <w:color w:val="auto"/>
        </w:rPr>
      </w:pPr>
    </w:p>
    <w:p>
      <w:pPr>
        <w:ind w:left="660" w:right="140" w:hanging="4"/>
        <w:spacing w:after="0" w:line="293" w:lineRule="auto"/>
        <w:tabs>
          <w:tab w:leader="none" w:pos="816" w:val="left"/>
        </w:tabs>
        <w:numPr>
          <w:ilvl w:val="1"/>
          <w:numId w:val="5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period covered by this report that has materially affected, or is reasonably likely to materially affect, the company’s internal control over financial reporting.</w:t>
      </w:r>
    </w:p>
    <w:p>
      <w:pPr>
        <w:spacing w:after="0" w:line="228" w:lineRule="exact"/>
        <w:rPr>
          <w:rFonts w:ascii="Arial" w:cs="Arial" w:eastAsia="Arial" w:hAnsi="Arial"/>
          <w:sz w:val="14"/>
          <w:szCs w:val="14"/>
          <w:color w:val="auto"/>
        </w:rPr>
      </w:pPr>
    </w:p>
    <w:p>
      <w:pPr>
        <w:ind w:firstLine="8"/>
        <w:spacing w:after="0" w:line="293" w:lineRule="auto"/>
        <w:tabs>
          <w:tab w:leader="none" w:pos="14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sz w:val="20"/>
          <w:szCs w:val="20"/>
          <w:color w:val="auto"/>
        </w:rPr>
      </w:pPr>
    </w:p>
    <w:p>
      <w:pPr>
        <w:ind w:right="60" w:firstLine="8"/>
        <w:spacing w:after="0" w:line="293" w:lineRule="auto"/>
        <w:tabs>
          <w:tab w:leader="none" w:pos="148"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4"/>
          <w:szCs w:val="14"/>
          <w:color w:val="auto"/>
        </w:rPr>
      </w:pPr>
    </w:p>
    <w:p>
      <w:pPr>
        <w:ind w:left="160" w:hanging="152"/>
        <w:spacing w:after="0"/>
        <w:tabs>
          <w:tab w:leader="none" w:pos="1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12, 2007</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3" w:right="3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348" w:lineRule="exact"/>
        <w:rPr>
          <w:sz w:val="20"/>
          <w:szCs w:val="20"/>
          <w:color w:val="auto"/>
        </w:rPr>
      </w:pPr>
    </w:p>
    <w:p>
      <w:pPr>
        <w:jc w:val="both"/>
        <w:ind w:right="40"/>
        <w:spacing w:after="0" w:line="334" w:lineRule="auto"/>
        <w:rPr>
          <w:sz w:val="20"/>
          <w:szCs w:val="20"/>
          <w:color w:val="auto"/>
        </w:rPr>
      </w:pPr>
      <w:r>
        <w:rPr>
          <w:rFonts w:ascii="Arial" w:cs="Arial" w:eastAsia="Arial" w:hAnsi="Arial"/>
          <w:sz w:val="13"/>
          <w:szCs w:val="13"/>
          <w:color w:val="auto"/>
        </w:rPr>
        <w:t>In connection with the Annual Report of ICON plc (the “Company”) on Form 20-F for the year ending December 31, 2006, as filed with the Securities and Exchange Commission on the date hereof (the “Report”), I, Peter Gray, Chief Executive Officer of the Company, certify, pursuant to 18 U.S.C. § 1350, as adopted pursuant to § 906 of the Sarbanes-Oxley Act of 2002, that to my knowledge:</w:t>
      </w:r>
    </w:p>
    <w:p>
      <w:pPr>
        <w:spacing w:after="0" w:line="205"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84" w:lineRule="exact"/>
        <w:rPr>
          <w:rFonts w:ascii="Arial" w:cs="Arial" w:eastAsia="Arial" w:hAnsi="Arial"/>
          <w:sz w:val="14"/>
          <w:szCs w:val="14"/>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352"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Peter Gray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In connection with the Annual Report of ICON plc (the “Company”) on Form 20-F for the year ending December 31, 2006, as filed with the Securities and Exchange Commission on the date hereof (the “Report”), I, Ciaran Murray, Chief Financial Officer of the Company, certify, pursuant to 18 U.S.C. § 1350, as adopted pursuant to § 906 of the Sarbanes-Oxley Act of 2002, that to my knowledge:</w:t>
      </w:r>
    </w:p>
    <w:p>
      <w:pPr>
        <w:spacing w:after="0" w:line="239"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284" w:lineRule="exact"/>
        <w:rPr>
          <w:rFonts w:ascii="Arial" w:cs="Arial" w:eastAsia="Arial" w:hAnsi="Arial"/>
          <w:sz w:val="14"/>
          <w:szCs w:val="14"/>
          <w:color w:val="auto"/>
        </w:rPr>
      </w:pPr>
    </w:p>
    <w:p>
      <w:pPr>
        <w:ind w:left="220" w:hanging="212"/>
        <w:spacing w:after="0"/>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352"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12, 2007</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Ciaran Murray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4"/>
          <w:szCs w:val="14"/>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x"/>
      <w:numFmt w:val="bullet"/>
      <w:start w:val="1"/>
    </w:lvl>
  </w:abstractNum>
  <w:abstractNum w:abstractNumId="2">
    <w:nsid w:val="7C3DBD3D"/>
    <w:multiLevelType w:val="hybridMultilevel"/>
    <w:lvl w:ilvl="0">
      <w:lvlJc w:val="left"/>
      <w:lvlText w:val="o"/>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o"/>
      <w:numFmt w:val="bullet"/>
      <w:start w:val="1"/>
    </w:lvl>
  </w:abstractNum>
  <w:abstractNum w:abstractNumId="8">
    <w:nsid w:val="614FD4A1"/>
    <w:multiLevelType w:val="hybridMultilevel"/>
    <w:lvl w:ilvl="0">
      <w:lvlJc w:val="left"/>
      <w:lvlText w:val="o"/>
      <w:numFmt w:val="bullet"/>
      <w:start w:val="1"/>
    </w:lvl>
  </w:abstractNum>
  <w:abstractNum w:abstractNumId="9">
    <w:nsid w:val="419AC241"/>
    <w:multiLevelType w:val="hybridMultilevel"/>
    <w:lvl w:ilvl="0">
      <w:lvlJc w:val="left"/>
      <w:lvlText w:val="o"/>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3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1)"/>
      <w:numFmt w:val="lowerLetter"/>
      <w:start w:val="3"/>
    </w:lvl>
  </w:abstractNum>
  <w:abstractNum w:abstractNumId="29">
    <w:nsid w:val="2CD89A32"/>
    <w:multiLevelType w:val="hybridMultilevel"/>
    <w:lvl w:ilvl="0">
      <w:lvlJc w:val="left"/>
      <w:lvlText w:val="(%1)"/>
      <w:numFmt w:val="lowerLetter"/>
      <w:start w:val="4"/>
    </w:lvl>
  </w:abstractNum>
  <w:abstractNum w:abstractNumId="30">
    <w:nsid w:val="57E4CCAF"/>
    <w:multiLevelType w:val="hybridMultilevel"/>
    <w:lvl w:ilvl="0">
      <w:lvlJc w:val="left"/>
      <w:lvlText w:val="(%1)"/>
      <w:numFmt w:val="lowerLetter"/>
      <w:start w:val="5"/>
    </w:lvl>
  </w:abstractNum>
  <w:abstractNum w:abstractNumId="31">
    <w:nsid w:val="7A6D8D3C"/>
    <w:multiLevelType w:val="hybridMultilevel"/>
    <w:lvl w:ilvl="0">
      <w:lvlJc w:val="left"/>
      <w:lvlText w:val="(%1)"/>
      <w:numFmt w:val="lowerLetter"/>
      <w:start w:val="6"/>
    </w:lvl>
  </w:abstractNum>
  <w:abstractNum w:abstractNumId="32">
    <w:nsid w:val="4B588F54"/>
    <w:multiLevelType w:val="hybridMultilevel"/>
    <w:lvl w:ilvl="0">
      <w:lvlJc w:val="left"/>
      <w:lvlText w:val="(%1)"/>
      <w:numFmt w:val="lowerLetter"/>
      <w:start w:val="7"/>
    </w:lvl>
  </w:abstractNum>
  <w:abstractNum w:abstractNumId="33">
    <w:nsid w:val="542289EC"/>
    <w:multiLevelType w:val="hybridMultilevel"/>
    <w:lvl w:ilvl="0">
      <w:lvlJc w:val="left"/>
      <w:lvlText w:val="(%1)"/>
      <w:numFmt w:val="lowerLetter"/>
      <w:start w:val="8"/>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lowerLetter"/>
      <w:start w:val="10"/>
    </w:lvl>
  </w:abstractNum>
  <w:abstractNum w:abstractNumId="36">
    <w:nsid w:val="7644A45C"/>
    <w:multiLevelType w:val="hybridMultilevel"/>
    <w:lvl w:ilvl="0">
      <w:lvlJc w:val="left"/>
      <w:lvlText w:val="(%1)"/>
      <w:numFmt w:val="lowerLetter"/>
      <w:start w:val="11"/>
    </w:lvl>
  </w:abstractNum>
  <w:abstractNum w:abstractNumId="37">
    <w:nsid w:val="32FFF902"/>
    <w:multiLevelType w:val="hybridMultilevel"/>
    <w:lvl w:ilvl="0">
      <w:lvlJc w:val="left"/>
      <w:lvlText w:val="(%1)"/>
      <w:numFmt w:val="lowerLetter"/>
      <w:start w:val="12"/>
    </w:lvl>
  </w:abstractNum>
  <w:abstractNum w:abstractNumId="38">
    <w:nsid w:val="684A481A"/>
    <w:multiLevelType w:val="hybridMultilevel"/>
    <w:lvl w:ilvl="0">
      <w:lvlJc w:val="left"/>
      <w:lvlText w:val="(%1)"/>
      <w:numFmt w:val="lowerLetter"/>
      <w:start w:val="13"/>
    </w:lvl>
  </w:abstractNum>
  <w:abstractNum w:abstractNumId="39">
    <w:nsid w:val="579478FE"/>
    <w:multiLevelType w:val="hybridMultilevel"/>
    <w:lvl w:ilvl="0">
      <w:lvlJc w:val="left"/>
      <w:lvlText w:val="(%1)"/>
      <w:numFmt w:val="lowerLetter"/>
      <w:start w:val="14"/>
    </w:lvl>
  </w:abstractNum>
  <w:abstractNum w:abstractNumId="40">
    <w:nsid w:val="749ABB43"/>
    <w:multiLevelType w:val="hybridMultilevel"/>
    <w:lvl w:ilvl="0">
      <w:lvlJc w:val="left"/>
      <w:lvlText w:val="(%1)"/>
      <w:numFmt w:val="lowerLetter"/>
      <w:start w:val="15"/>
    </w:lvl>
  </w:abstractNum>
  <w:abstractNum w:abstractNumId="41">
    <w:nsid w:val="3DC240FB"/>
    <w:multiLevelType w:val="hybridMultilevel"/>
    <w:lvl w:ilvl="0">
      <w:lvlJc w:val="left"/>
      <w:lvlText w:val="(%1)"/>
      <w:numFmt w:val="lowerLetter"/>
      <w:start w:val="17"/>
    </w:lvl>
  </w:abstractNum>
  <w:abstractNum w:abstractNumId="42">
    <w:nsid w:val="1BA026FA"/>
    <w:multiLevelType w:val="hybridMultilevel"/>
    <w:lvl w:ilvl="0">
      <w:lvlJc w:val="left"/>
      <w:lvlText w:val="(%1)"/>
      <w:numFmt w:val="lowerLetter"/>
      <w:start w:val="18"/>
    </w:lvl>
  </w:abstractNum>
  <w:abstractNum w:abstractNumId="43">
    <w:nsid w:val="79A1DEAA"/>
    <w:multiLevelType w:val="hybridMultilevel"/>
    <w:lvl w:ilvl="0">
      <w:lvlJc w:val="left"/>
      <w:lvlText w:val="(%1)"/>
      <w:numFmt w:val="lowerLetter"/>
      <w:start w:val="19"/>
    </w:lvl>
  </w:abstractNum>
  <w:abstractNum w:abstractNumId="44">
    <w:nsid w:val="75C6C33A"/>
    <w:multiLevelType w:val="hybridMultilevel"/>
    <w:lvl w:ilvl="0">
      <w:lvlJc w:val="left"/>
      <w:lvlText w:val="(%1)"/>
      <w:numFmt w:val="lowerLetter"/>
      <w:start w:val="20"/>
    </w:lvl>
  </w:abstractNum>
  <w:abstractNum w:abstractNumId="45">
    <w:nsid w:val="12E685FB"/>
    <w:multiLevelType w:val="hybridMultilevel"/>
    <w:lvl w:ilvl="0">
      <w:lvlJc w:val="left"/>
      <w:lvlText w:val="(%1)"/>
      <w:numFmt w:val="lowerLetter"/>
      <w:start w:val="21"/>
    </w:lvl>
  </w:abstractNum>
  <w:abstractNum w:abstractNumId="46">
    <w:nsid w:val="70C6A529"/>
    <w:multiLevelType w:val="hybridMultilevel"/>
    <w:lvl w:ilvl="0">
      <w:lvlJc w:val="left"/>
      <w:lvlText w:val="(%1)"/>
      <w:numFmt w:val="lowerRoman"/>
      <w:start w:val="5"/>
    </w:lvl>
  </w:abstractNum>
  <w:abstractNum w:abstractNumId="47">
    <w:nsid w:val="520EEDD1"/>
    <w:multiLevelType w:val="hybridMultilevel"/>
    <w:lvl w:ilvl="0">
      <w:lvlJc w:val="left"/>
      <w:lvlText w:val="(%1)"/>
      <w:numFmt w:val="upperLetter"/>
      <w:start w:val="1"/>
    </w:lvl>
  </w:abstractNum>
  <w:abstractNum w:abstractNumId="48">
    <w:nsid w:val="374A3FE6"/>
    <w:multiLevelType w:val="hybridMultilevel"/>
    <w:lvl w:ilvl="0">
      <w:lvlJc w:val="left"/>
      <w:lvlText w:val="(%1)"/>
      <w:numFmt w:val="upperLetter"/>
      <w:start w:val="2"/>
    </w:lvl>
  </w:abstractNum>
  <w:abstractNum w:abstractNumId="49">
    <w:nsid w:val="4F4EF005"/>
    <w:multiLevelType w:val="hybridMultilevel"/>
    <w:lvl w:ilvl="0">
      <w:lvlJc w:val="left"/>
      <w:lvlText w:val="(%1)"/>
      <w:numFmt w:val="upperLetter"/>
      <w:start w:val="3"/>
    </w:lvl>
  </w:abstractNum>
  <w:abstractNum w:abstractNumId="50">
    <w:nsid w:val="23F9C13C"/>
    <w:multiLevelType w:val="hybridMultilevel"/>
    <w:lvl w:ilvl="0">
      <w:lvlJc w:val="left"/>
      <w:lvlText w:val="%1)"/>
      <w:numFmt w:val="lowerLetter"/>
      <w:start w:val="4"/>
    </w:lvl>
  </w:abstractNum>
  <w:abstractNum w:abstractNumId="51">
    <w:nsid w:val="649BB77C"/>
    <w:multiLevelType w:val="hybridMultilevel"/>
    <w:lvl w:ilvl="0">
      <w:lvlJc w:val="left"/>
      <w:lvlText w:val="%1)"/>
      <w:numFmt w:val="lowerLetter"/>
      <w:start w:val="8"/>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2019-12-14T19:52:44Z</dcterms:created>
  <dcterms:modified xsi:type="dcterms:W3CDTF">2019-12-14T19:52:44Z</dcterms:modified>
</cp:coreProperties>
</file>