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25"/>
          <w:szCs w:val="25"/>
          <w:b w:val="1"/>
          <w:bCs w:val="1"/>
          <w:color w:val="auto"/>
        </w:rPr>
        <w:t>FORM 6-K</w:t>
      </w:r>
    </w:p>
    <w:p>
      <w:pPr>
        <w:spacing w:after="0" w:line="249" w:lineRule="exact"/>
        <w:rPr>
          <w:sz w:val="24"/>
          <w:szCs w:val="24"/>
          <w:color w:val="auto"/>
        </w:rPr>
      </w:pPr>
    </w:p>
    <w:p>
      <w:pPr>
        <w:jc w:val="center"/>
        <w:ind w:right="-139"/>
        <w:spacing w:after="0"/>
        <w:rPr>
          <w:sz w:val="20"/>
          <w:szCs w:val="20"/>
          <w:color w:val="auto"/>
        </w:rPr>
      </w:pPr>
      <w:r>
        <w:rPr>
          <w:rFonts w:ascii="Arial" w:cs="Arial" w:eastAsia="Arial" w:hAnsi="Arial"/>
          <w:sz w:val="25"/>
          <w:szCs w:val="25"/>
          <w:b w:val="1"/>
          <w:bCs w:val="1"/>
          <w:color w:val="auto"/>
        </w:rPr>
        <w:t>SECURITIES AND EXCHANGE COMMISSION</w:t>
      </w:r>
    </w:p>
    <w:p>
      <w:pPr>
        <w:spacing w:after="0" w:line="251" w:lineRule="exact"/>
        <w:rPr>
          <w:sz w:val="24"/>
          <w:szCs w:val="24"/>
          <w:color w:val="auto"/>
        </w:rPr>
      </w:pPr>
    </w:p>
    <w:p>
      <w:pPr>
        <w:jc w:val="center"/>
        <w:ind w:right="-139"/>
        <w:spacing w:after="0"/>
        <w:rPr>
          <w:sz w:val="20"/>
          <w:szCs w:val="20"/>
          <w:color w:val="auto"/>
        </w:rPr>
      </w:pPr>
      <w:r>
        <w:rPr>
          <w:rFonts w:ascii="Arial" w:cs="Arial" w:eastAsia="Arial" w:hAnsi="Arial"/>
          <w:sz w:val="21"/>
          <w:szCs w:val="21"/>
          <w:color w:val="auto"/>
        </w:rPr>
        <w:t>Washington, D.C. 20549</w:t>
      </w:r>
    </w:p>
    <w:p>
      <w:pPr>
        <w:spacing w:after="0" w:line="235" w:lineRule="exact"/>
        <w:rPr>
          <w:sz w:val="24"/>
          <w:szCs w:val="24"/>
          <w:color w:val="auto"/>
        </w:rPr>
      </w:pPr>
    </w:p>
    <w:p>
      <w:pPr>
        <w:jc w:val="center"/>
        <w:ind w:right="-139"/>
        <w:spacing w:after="0"/>
        <w:rPr>
          <w:sz w:val="20"/>
          <w:szCs w:val="20"/>
          <w:color w:val="auto"/>
        </w:rPr>
      </w:pPr>
      <w:r>
        <w:rPr>
          <w:rFonts w:ascii="Arial" w:cs="Arial" w:eastAsia="Arial" w:hAnsi="Arial"/>
          <w:sz w:val="21"/>
          <w:szCs w:val="21"/>
          <w:b w:val="1"/>
          <w:bCs w:val="1"/>
          <w:color w:val="auto"/>
        </w:rPr>
        <w:t>Report of Foreign Private Issuer</w:t>
      </w:r>
    </w:p>
    <w:p>
      <w:pPr>
        <w:spacing w:after="0" w:line="24" w:lineRule="exact"/>
        <w:rPr>
          <w:sz w:val="24"/>
          <w:szCs w:val="24"/>
          <w:color w:val="auto"/>
        </w:rPr>
      </w:pPr>
    </w:p>
    <w:p>
      <w:pPr>
        <w:jc w:val="center"/>
        <w:ind w:right="-139"/>
        <w:spacing w:after="0"/>
        <w:rPr>
          <w:sz w:val="20"/>
          <w:szCs w:val="20"/>
          <w:color w:val="auto"/>
        </w:rPr>
      </w:pPr>
      <w:r>
        <w:rPr>
          <w:rFonts w:ascii="Arial" w:cs="Arial" w:eastAsia="Arial" w:hAnsi="Arial"/>
          <w:sz w:val="21"/>
          <w:szCs w:val="21"/>
          <w:b w:val="1"/>
          <w:bCs w:val="1"/>
          <w:color w:val="auto"/>
        </w:rPr>
        <w:t>Pursuant to Rule 13a-16 under</w:t>
      </w:r>
    </w:p>
    <w:p>
      <w:pPr>
        <w:jc w:val="center"/>
        <w:ind w:right="-139"/>
        <w:spacing w:after="0"/>
        <w:rPr>
          <w:sz w:val="20"/>
          <w:szCs w:val="20"/>
          <w:color w:val="auto"/>
        </w:rPr>
      </w:pPr>
      <w:r>
        <w:rPr>
          <w:rFonts w:ascii="Arial" w:cs="Arial" w:eastAsia="Arial" w:hAnsi="Arial"/>
          <w:sz w:val="21"/>
          <w:szCs w:val="21"/>
          <w:b w:val="1"/>
          <w:bCs w:val="1"/>
          <w:color w:val="auto"/>
        </w:rPr>
        <w:t>the Securities Exchange Act of 1934</w:t>
      </w:r>
    </w:p>
    <w:p>
      <w:pPr>
        <w:spacing w:after="0" w:line="200" w:lineRule="exact"/>
        <w:rPr>
          <w:sz w:val="24"/>
          <w:szCs w:val="24"/>
          <w:color w:val="auto"/>
        </w:rPr>
      </w:pPr>
    </w:p>
    <w:p>
      <w:pPr>
        <w:spacing w:after="0" w:line="265" w:lineRule="exact"/>
        <w:rPr>
          <w:sz w:val="24"/>
          <w:szCs w:val="24"/>
          <w:color w:val="auto"/>
        </w:rPr>
      </w:pPr>
    </w:p>
    <w:p>
      <w:pPr>
        <w:jc w:val="center"/>
        <w:ind w:right="-139"/>
        <w:spacing w:after="0"/>
        <w:rPr>
          <w:sz w:val="20"/>
          <w:szCs w:val="20"/>
          <w:color w:val="auto"/>
        </w:rPr>
      </w:pPr>
      <w:r>
        <w:rPr>
          <w:rFonts w:ascii="Arial" w:cs="Arial" w:eastAsia="Arial" w:hAnsi="Arial"/>
          <w:sz w:val="21"/>
          <w:szCs w:val="21"/>
          <w:color w:val="auto"/>
        </w:rPr>
        <w:t xml:space="preserve">For the month ended </w:t>
      </w:r>
      <w:r>
        <w:rPr>
          <w:rFonts w:ascii="Arial" w:cs="Arial" w:eastAsia="Arial" w:hAnsi="Arial"/>
          <w:sz w:val="17"/>
          <w:szCs w:val="17"/>
          <w:color w:val="auto"/>
        </w:rPr>
        <w:t>February, 2019</w:t>
      </w:r>
    </w:p>
    <w:p>
      <w:pPr>
        <w:spacing w:after="0" w:line="200" w:lineRule="exact"/>
        <w:rPr>
          <w:sz w:val="24"/>
          <w:szCs w:val="24"/>
          <w:color w:val="auto"/>
        </w:rPr>
      </w:pPr>
    </w:p>
    <w:p>
      <w:pPr>
        <w:spacing w:after="0" w:line="263" w:lineRule="exact"/>
        <w:rPr>
          <w:sz w:val="24"/>
          <w:szCs w:val="24"/>
          <w:color w:val="auto"/>
        </w:rPr>
      </w:pPr>
    </w:p>
    <w:p>
      <w:pPr>
        <w:jc w:val="center"/>
        <w:ind w:right="-139"/>
        <w:spacing w:after="0"/>
        <w:rPr>
          <w:sz w:val="20"/>
          <w:szCs w:val="20"/>
          <w:color w:val="auto"/>
        </w:rPr>
      </w:pPr>
      <w:r>
        <w:rPr>
          <w:rFonts w:ascii="Arial" w:cs="Arial" w:eastAsia="Arial" w:hAnsi="Arial"/>
          <w:sz w:val="32"/>
          <w:szCs w:val="32"/>
          <w:b w:val="1"/>
          <w:bCs w:val="1"/>
          <w:color w:val="auto"/>
        </w:rPr>
        <w:t>ICON plc</w:t>
      </w:r>
    </w:p>
    <w:p>
      <w:pPr>
        <w:spacing w:after="0" w:line="32" w:lineRule="exact"/>
        <w:rPr>
          <w:sz w:val="24"/>
          <w:szCs w:val="24"/>
          <w:color w:val="auto"/>
        </w:rPr>
      </w:pPr>
    </w:p>
    <w:p>
      <w:pPr>
        <w:jc w:val="center"/>
        <w:ind w:right="-139"/>
        <w:spacing w:after="0"/>
        <w:rPr>
          <w:sz w:val="20"/>
          <w:szCs w:val="20"/>
          <w:color w:val="auto"/>
        </w:rPr>
      </w:pPr>
      <w:r>
        <w:rPr>
          <w:rFonts w:ascii="Arial" w:cs="Arial" w:eastAsia="Arial" w:hAnsi="Arial"/>
          <w:sz w:val="21"/>
          <w:szCs w:val="21"/>
          <w:color w:val="auto"/>
        </w:rPr>
        <w:t>(R</w:t>
      </w:r>
      <w:r>
        <w:rPr>
          <w:rFonts w:ascii="Arial" w:cs="Arial" w:eastAsia="Arial" w:hAnsi="Arial"/>
          <w:sz w:val="17"/>
          <w:szCs w:val="17"/>
          <w:color w:val="auto"/>
        </w:rPr>
        <w:t>egistrant's name)</w:t>
      </w:r>
    </w:p>
    <w:p>
      <w:pPr>
        <w:spacing w:after="0" w:line="200" w:lineRule="exact"/>
        <w:rPr>
          <w:sz w:val="24"/>
          <w:szCs w:val="24"/>
          <w:color w:val="auto"/>
        </w:rPr>
      </w:pPr>
    </w:p>
    <w:p>
      <w:pPr>
        <w:spacing w:after="0" w:line="259" w:lineRule="exact"/>
        <w:rPr>
          <w:sz w:val="24"/>
          <w:szCs w:val="24"/>
          <w:color w:val="auto"/>
        </w:rPr>
      </w:pPr>
    </w:p>
    <w:p>
      <w:pPr>
        <w:jc w:val="center"/>
        <w:ind w:right="-139"/>
        <w:spacing w:after="0"/>
        <w:rPr>
          <w:sz w:val="20"/>
          <w:szCs w:val="20"/>
          <w:color w:val="auto"/>
        </w:rPr>
      </w:pPr>
      <w:r>
        <w:rPr>
          <w:rFonts w:ascii="Arial" w:cs="Arial" w:eastAsia="Arial" w:hAnsi="Arial"/>
          <w:sz w:val="21"/>
          <w:szCs w:val="21"/>
          <w:b w:val="1"/>
          <w:bCs w:val="1"/>
          <w:color w:val="auto"/>
        </w:rPr>
        <w:t>333-08704</w:t>
      </w:r>
    </w:p>
    <w:p>
      <w:pPr>
        <w:spacing w:after="0" w:line="24" w:lineRule="exact"/>
        <w:rPr>
          <w:sz w:val="24"/>
          <w:szCs w:val="24"/>
          <w:color w:val="auto"/>
        </w:rPr>
      </w:pPr>
    </w:p>
    <w:p>
      <w:pPr>
        <w:jc w:val="center"/>
        <w:ind w:right="-139"/>
        <w:spacing w:after="0"/>
        <w:rPr>
          <w:sz w:val="20"/>
          <w:szCs w:val="20"/>
          <w:color w:val="auto"/>
        </w:rPr>
      </w:pPr>
      <w:r>
        <w:rPr>
          <w:rFonts w:ascii="Arial" w:cs="Arial" w:eastAsia="Arial" w:hAnsi="Arial"/>
          <w:sz w:val="21"/>
          <w:szCs w:val="21"/>
          <w:color w:val="auto"/>
        </w:rPr>
        <w:t>(Commission file number)</w:t>
      </w:r>
    </w:p>
    <w:p>
      <w:pPr>
        <w:spacing w:after="0" w:line="200" w:lineRule="exact"/>
        <w:rPr>
          <w:sz w:val="24"/>
          <w:szCs w:val="24"/>
          <w:color w:val="auto"/>
        </w:rPr>
      </w:pPr>
    </w:p>
    <w:p>
      <w:pPr>
        <w:spacing w:after="0" w:line="265" w:lineRule="exact"/>
        <w:rPr>
          <w:sz w:val="24"/>
          <w:szCs w:val="24"/>
          <w:color w:val="auto"/>
        </w:rPr>
      </w:pPr>
    </w:p>
    <w:p>
      <w:pPr>
        <w:jc w:val="center"/>
        <w:ind w:right="-139"/>
        <w:spacing w:after="0"/>
        <w:rPr>
          <w:sz w:val="20"/>
          <w:szCs w:val="20"/>
          <w:color w:val="auto"/>
        </w:rPr>
      </w:pPr>
      <w:r>
        <w:rPr>
          <w:rFonts w:ascii="Arial" w:cs="Arial" w:eastAsia="Arial" w:hAnsi="Arial"/>
          <w:sz w:val="21"/>
          <w:szCs w:val="21"/>
          <w:color w:val="auto"/>
        </w:rPr>
        <w:t>South County Business Park, Leopardstown, Dublin 18, Ireland</w:t>
      </w:r>
    </w:p>
    <w:p>
      <w:pPr>
        <w:spacing w:after="0" w:line="18" w:lineRule="exact"/>
        <w:rPr>
          <w:sz w:val="24"/>
          <w:szCs w:val="24"/>
          <w:color w:val="auto"/>
        </w:rPr>
      </w:pPr>
    </w:p>
    <w:p>
      <w:pPr>
        <w:jc w:val="center"/>
        <w:ind w:right="-139"/>
        <w:spacing w:after="0"/>
        <w:rPr>
          <w:sz w:val="20"/>
          <w:szCs w:val="20"/>
          <w:color w:val="auto"/>
        </w:rPr>
      </w:pPr>
      <w:r>
        <w:rPr>
          <w:rFonts w:ascii="Arial" w:cs="Arial" w:eastAsia="Arial" w:hAnsi="Arial"/>
          <w:sz w:val="21"/>
          <w:szCs w:val="21"/>
          <w:color w:val="auto"/>
        </w:rPr>
        <w:t>(Address of principal executive offices)</w:t>
      </w:r>
    </w:p>
    <w:p>
      <w:pPr>
        <w:spacing w:after="0" w:line="223" w:lineRule="exact"/>
        <w:rPr>
          <w:sz w:val="24"/>
          <w:szCs w:val="24"/>
          <w:color w:val="auto"/>
        </w:rPr>
      </w:pPr>
    </w:p>
    <w:p>
      <w:pPr>
        <w:jc w:val="center"/>
        <w:ind w:right="-139"/>
        <w:spacing w:after="0"/>
        <w:rPr>
          <w:sz w:val="20"/>
          <w:szCs w:val="20"/>
          <w:color w:val="auto"/>
        </w:rPr>
      </w:pPr>
      <w:r>
        <w:rPr>
          <w:rFonts w:ascii="Arial" w:cs="Arial" w:eastAsia="Arial" w:hAnsi="Arial"/>
          <w:sz w:val="21"/>
          <w:szCs w:val="21"/>
          <w:color w:val="auto"/>
        </w:rPr>
        <w:t>Brendan Brennan, CFO</w:t>
      </w:r>
    </w:p>
    <w:p>
      <w:pPr>
        <w:spacing w:after="0" w:line="18" w:lineRule="exact"/>
        <w:rPr>
          <w:sz w:val="24"/>
          <w:szCs w:val="24"/>
          <w:color w:val="auto"/>
        </w:rPr>
      </w:pPr>
    </w:p>
    <w:p>
      <w:pPr>
        <w:jc w:val="center"/>
        <w:ind w:right="-139"/>
        <w:spacing w:after="0"/>
        <w:rPr>
          <w:sz w:val="20"/>
          <w:szCs w:val="20"/>
          <w:color w:val="auto"/>
        </w:rPr>
      </w:pPr>
      <w:r>
        <w:rPr>
          <w:rFonts w:ascii="Arial" w:cs="Arial" w:eastAsia="Arial" w:hAnsi="Arial"/>
          <w:sz w:val="21"/>
          <w:szCs w:val="21"/>
          <w:color w:val="auto"/>
        </w:rPr>
        <w:t>South County Business Park, Leopardstown, Dublin 18, Ireland.</w:t>
      </w:r>
    </w:p>
    <w:p>
      <w:pPr>
        <w:jc w:val="center"/>
        <w:ind w:right="-139"/>
        <w:spacing w:after="0"/>
        <w:rPr>
          <w:sz w:val="20"/>
          <w:szCs w:val="20"/>
          <w:color w:val="auto"/>
        </w:rPr>
      </w:pPr>
      <w:r>
        <w:rPr>
          <w:rFonts w:ascii="Arial" w:cs="Arial" w:eastAsia="Arial" w:hAnsi="Arial"/>
          <w:sz w:val="21"/>
          <w:szCs w:val="21"/>
          <w:color w:val="auto"/>
        </w:rPr>
        <w:t>Brendan.Brennan@iconplc.com</w:t>
      </w:r>
    </w:p>
    <w:p>
      <w:pPr>
        <w:jc w:val="center"/>
        <w:ind w:right="-139"/>
        <w:spacing w:after="0"/>
        <w:rPr>
          <w:sz w:val="20"/>
          <w:szCs w:val="20"/>
          <w:color w:val="auto"/>
        </w:rPr>
      </w:pPr>
      <w:r>
        <w:rPr>
          <w:rFonts w:ascii="Arial" w:cs="Arial" w:eastAsia="Arial" w:hAnsi="Arial"/>
          <w:sz w:val="21"/>
          <w:szCs w:val="21"/>
          <w:color w:val="auto"/>
        </w:rPr>
        <w:t>00-353-1-291-2000</w:t>
      </w:r>
    </w:p>
    <w:p>
      <w:pPr>
        <w:jc w:val="center"/>
        <w:ind w:right="-139"/>
        <w:spacing w:after="0"/>
        <w:rPr>
          <w:sz w:val="20"/>
          <w:szCs w:val="20"/>
          <w:color w:val="auto"/>
        </w:rPr>
      </w:pPr>
      <w:r>
        <w:rPr>
          <w:rFonts w:ascii="Arial" w:cs="Arial" w:eastAsia="Arial" w:hAnsi="Arial"/>
          <w:sz w:val="21"/>
          <w:szCs w:val="21"/>
          <w:color w:val="auto"/>
        </w:rPr>
        <w:t>(Name, telephone number, email and/or facsimile number and address of Company contact person)</w:t>
      </w:r>
    </w:p>
    <w:p>
      <w:pPr>
        <w:spacing w:after="0" w:line="200" w:lineRule="exact"/>
        <w:rPr>
          <w:sz w:val="24"/>
          <w:szCs w:val="24"/>
          <w:color w:val="auto"/>
        </w:rPr>
      </w:pPr>
    </w:p>
    <w:p>
      <w:pPr>
        <w:spacing w:after="0" w:line="238" w:lineRule="exact"/>
        <w:rPr>
          <w:sz w:val="24"/>
          <w:szCs w:val="24"/>
          <w:color w:val="auto"/>
        </w:rPr>
      </w:pPr>
    </w:p>
    <w:p>
      <w:pPr>
        <w:spacing w:after="0"/>
        <w:rPr>
          <w:sz w:val="20"/>
          <w:szCs w:val="20"/>
          <w:color w:val="auto"/>
        </w:rPr>
      </w:pPr>
      <w:r>
        <w:rPr>
          <w:rFonts w:ascii="Arial" w:cs="Arial" w:eastAsia="Arial" w:hAnsi="Arial"/>
          <w:sz w:val="21"/>
          <w:szCs w:val="21"/>
          <w:color w:val="auto"/>
        </w:rPr>
        <w:t>Indicate by check mark whether the registrant files or will file annual reports under cover Form 20-F or Form 40-F.</w:t>
      </w:r>
    </w:p>
    <w:p>
      <w:pPr>
        <w:spacing w:after="0" w:line="209" w:lineRule="exact"/>
        <w:rPr>
          <w:sz w:val="24"/>
          <w:szCs w:val="24"/>
          <w:color w:val="auto"/>
        </w:rPr>
      </w:pPr>
    </w:p>
    <w:p>
      <w:pPr>
        <w:ind w:left="3960"/>
        <w:spacing w:after="0"/>
        <w:tabs>
          <w:tab w:leader="none" w:pos="6940" w:val="left"/>
        </w:tabs>
        <w:rPr>
          <w:sz w:val="20"/>
          <w:szCs w:val="20"/>
          <w:color w:val="auto"/>
        </w:rPr>
      </w:pPr>
      <w:r>
        <w:rPr>
          <w:rFonts w:ascii="Arial" w:cs="Arial" w:eastAsia="Arial" w:hAnsi="Arial"/>
          <w:sz w:val="21"/>
          <w:szCs w:val="21"/>
          <w:color w:val="auto"/>
        </w:rPr>
        <w:t>Yes___</w:t>
      </w:r>
      <w:r>
        <w:rPr>
          <w:rFonts w:ascii="Arial" w:cs="Arial" w:eastAsia="Arial" w:hAnsi="Arial"/>
          <w:sz w:val="21"/>
          <w:szCs w:val="21"/>
          <w:b w:val="1"/>
          <w:bCs w:val="1"/>
          <w:u w:val="single" w:color="auto"/>
          <w:color w:val="auto"/>
        </w:rPr>
        <w:t>X</w:t>
      </w:r>
      <w:r>
        <w:rPr>
          <w:rFonts w:ascii="Arial" w:cs="Arial" w:eastAsia="Arial" w:hAnsi="Arial"/>
          <w:sz w:val="21"/>
          <w:szCs w:val="21"/>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color w:val="auto"/>
        </w:rPr>
        <w:t>_</w:t>
      </w:r>
      <w:r>
        <w:rPr>
          <w:rFonts w:ascii="Arial" w:cs="Arial" w:eastAsia="Arial" w:hAnsi="Arial"/>
          <w:sz w:val="19"/>
          <w:szCs w:val="19"/>
          <w:color w:val="auto"/>
        </w:rPr>
        <w:t>___</w:t>
      </w:r>
    </w:p>
    <w:p>
      <w:pPr>
        <w:spacing w:after="0" w:line="200" w:lineRule="exact"/>
        <w:rPr>
          <w:sz w:val="24"/>
          <w:szCs w:val="24"/>
          <w:color w:val="auto"/>
        </w:rPr>
      </w:pPr>
    </w:p>
    <w:p>
      <w:pPr>
        <w:spacing w:after="0" w:line="262"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w:t>
      </w:r>
    </w:p>
    <w:p>
      <w:pPr>
        <w:spacing w:after="0" w:line="41" w:lineRule="exact"/>
        <w:rPr>
          <w:sz w:val="24"/>
          <w:szCs w:val="24"/>
          <w:color w:val="auto"/>
        </w:rPr>
      </w:pPr>
    </w:p>
    <w:p>
      <w:pPr>
        <w:spacing w:after="0"/>
        <w:rPr>
          <w:sz w:val="20"/>
          <w:szCs w:val="20"/>
          <w:color w:val="auto"/>
        </w:rPr>
      </w:pPr>
      <w:r>
        <w:rPr>
          <w:rFonts w:ascii="Arial" w:cs="Arial" w:eastAsia="Arial" w:hAnsi="Arial"/>
          <w:sz w:val="21"/>
          <w:szCs w:val="21"/>
          <w:color w:val="auto"/>
        </w:rPr>
        <w:t>(1):</w:t>
      </w:r>
    </w:p>
    <w:p>
      <w:pPr>
        <w:spacing w:after="0" w:line="191" w:lineRule="exact"/>
        <w:rPr>
          <w:sz w:val="24"/>
          <w:szCs w:val="24"/>
          <w:color w:val="auto"/>
        </w:rPr>
      </w:pPr>
    </w:p>
    <w:p>
      <w:pPr>
        <w:ind w:left="4000"/>
        <w:spacing w:after="0"/>
        <w:tabs>
          <w:tab w:leader="none" w:pos="6860" w:val="left"/>
        </w:tabs>
        <w:rPr>
          <w:sz w:val="20"/>
          <w:szCs w:val="20"/>
          <w:color w:val="auto"/>
        </w:rPr>
      </w:pPr>
      <w:r>
        <w:rPr>
          <w:rFonts w:ascii="Arial" w:cs="Arial" w:eastAsia="Arial" w:hAnsi="Arial"/>
          <w:sz w:val="21"/>
          <w:szCs w:val="21"/>
          <w:color w:val="auto"/>
        </w:rPr>
        <w:t>Yes______</w:t>
      </w:r>
      <w:r>
        <w:rPr>
          <w:sz w:val="20"/>
          <w:szCs w:val="20"/>
          <w:color w:val="auto"/>
        </w:rPr>
        <w:tab/>
      </w:r>
      <w:r>
        <w:rPr>
          <w:rFonts w:ascii="Arial" w:cs="Arial" w:eastAsia="Arial" w:hAnsi="Arial"/>
          <w:sz w:val="20"/>
          <w:szCs w:val="20"/>
          <w:color w:val="auto"/>
        </w:rPr>
        <w:t>No___</w:t>
      </w:r>
      <w:r>
        <w:rPr>
          <w:rFonts w:ascii="Arial" w:cs="Arial" w:eastAsia="Arial" w:hAnsi="Arial"/>
          <w:sz w:val="20"/>
          <w:szCs w:val="20"/>
          <w:b w:val="1"/>
          <w:bCs w:val="1"/>
          <w:u w:val="single" w:color="auto"/>
          <w:color w:val="auto"/>
        </w:rPr>
        <w:t>X</w:t>
      </w:r>
      <w:r>
        <w:rPr>
          <w:rFonts w:ascii="Arial" w:cs="Arial" w:eastAsia="Arial" w:hAnsi="Arial"/>
          <w:sz w:val="20"/>
          <w:szCs w:val="20"/>
          <w:color w:val="auto"/>
        </w:rPr>
        <w:t>___</w:t>
      </w:r>
    </w:p>
    <w:p>
      <w:pPr>
        <w:spacing w:after="0" w:line="200" w:lineRule="exact"/>
        <w:rPr>
          <w:sz w:val="24"/>
          <w:szCs w:val="24"/>
          <w:color w:val="auto"/>
        </w:rPr>
      </w:pPr>
    </w:p>
    <w:p>
      <w:pPr>
        <w:spacing w:after="0" w:line="262"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w:t>
      </w:r>
    </w:p>
    <w:p>
      <w:pPr>
        <w:spacing w:after="0" w:line="41" w:lineRule="exact"/>
        <w:rPr>
          <w:sz w:val="24"/>
          <w:szCs w:val="24"/>
          <w:color w:val="auto"/>
        </w:rPr>
      </w:pPr>
    </w:p>
    <w:p>
      <w:pPr>
        <w:spacing w:after="0"/>
        <w:rPr>
          <w:sz w:val="20"/>
          <w:szCs w:val="20"/>
          <w:color w:val="auto"/>
        </w:rPr>
      </w:pPr>
      <w:r>
        <w:rPr>
          <w:rFonts w:ascii="Arial" w:cs="Arial" w:eastAsia="Arial" w:hAnsi="Arial"/>
          <w:sz w:val="21"/>
          <w:szCs w:val="21"/>
          <w:color w:val="auto"/>
        </w:rPr>
        <w:t>(7):</w:t>
      </w:r>
    </w:p>
    <w:p>
      <w:pPr>
        <w:spacing w:after="0" w:line="191" w:lineRule="exact"/>
        <w:rPr>
          <w:sz w:val="24"/>
          <w:szCs w:val="24"/>
          <w:color w:val="auto"/>
        </w:rPr>
      </w:pPr>
    </w:p>
    <w:p>
      <w:pPr>
        <w:ind w:left="4000"/>
        <w:spacing w:after="0"/>
        <w:tabs>
          <w:tab w:leader="none" w:pos="6860" w:val="left"/>
        </w:tabs>
        <w:rPr>
          <w:sz w:val="20"/>
          <w:szCs w:val="20"/>
          <w:color w:val="auto"/>
        </w:rPr>
      </w:pPr>
      <w:r>
        <w:rPr>
          <w:rFonts w:ascii="Arial" w:cs="Arial" w:eastAsia="Arial" w:hAnsi="Arial"/>
          <w:sz w:val="21"/>
          <w:szCs w:val="21"/>
          <w:color w:val="auto"/>
        </w:rPr>
        <w:t>Yes______</w:t>
      </w:r>
      <w:r>
        <w:rPr>
          <w:sz w:val="20"/>
          <w:szCs w:val="20"/>
          <w:color w:val="auto"/>
        </w:rPr>
        <w:tab/>
      </w:r>
      <w:r>
        <w:rPr>
          <w:rFonts w:ascii="Arial" w:cs="Arial" w:eastAsia="Arial" w:hAnsi="Arial"/>
          <w:sz w:val="20"/>
          <w:szCs w:val="20"/>
          <w:color w:val="auto"/>
        </w:rPr>
        <w:t>No___</w:t>
      </w:r>
      <w:r>
        <w:rPr>
          <w:rFonts w:ascii="Arial" w:cs="Arial" w:eastAsia="Arial" w:hAnsi="Arial"/>
          <w:sz w:val="20"/>
          <w:szCs w:val="20"/>
          <w:b w:val="1"/>
          <w:bCs w:val="1"/>
          <w:u w:val="single" w:color="auto"/>
          <w:color w:val="auto"/>
        </w:rPr>
        <w:t>X</w:t>
      </w:r>
      <w:r>
        <w:rPr>
          <w:rFonts w:ascii="Arial" w:cs="Arial" w:eastAsia="Arial" w:hAnsi="Arial"/>
          <w:sz w:val="20"/>
          <w:szCs w:val="20"/>
          <w:color w:val="auto"/>
        </w:rPr>
        <w:t>___</w:t>
      </w:r>
    </w:p>
    <w:p>
      <w:pPr>
        <w:spacing w:after="0" w:line="200" w:lineRule="exact"/>
        <w:rPr>
          <w:sz w:val="24"/>
          <w:szCs w:val="24"/>
          <w:color w:val="auto"/>
        </w:rPr>
      </w:pPr>
    </w:p>
    <w:p>
      <w:pPr>
        <w:spacing w:after="0" w:line="262" w:lineRule="exact"/>
        <w:rPr>
          <w:sz w:val="24"/>
          <w:szCs w:val="24"/>
          <w:color w:val="auto"/>
        </w:rPr>
      </w:pPr>
    </w:p>
    <w:p>
      <w:pPr>
        <w:spacing w:after="0" w:line="271" w:lineRule="auto"/>
        <w:rPr>
          <w:sz w:val="20"/>
          <w:szCs w:val="20"/>
          <w:color w:val="auto"/>
        </w:rPr>
      </w:pPr>
      <w:r>
        <w:rPr>
          <w:rFonts w:ascii="Arial" w:cs="Arial" w:eastAsia="Arial" w:hAnsi="Arial"/>
          <w:sz w:val="21"/>
          <w:szCs w:val="21"/>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46" w:lineRule="exact"/>
        <w:rPr>
          <w:sz w:val="24"/>
          <w:szCs w:val="24"/>
          <w:color w:val="auto"/>
        </w:rPr>
      </w:pPr>
    </w:p>
    <w:p>
      <w:pPr>
        <w:ind w:left="3960"/>
        <w:spacing w:after="0"/>
        <w:tabs>
          <w:tab w:leader="none" w:pos="6880" w:val="left"/>
        </w:tabs>
        <w:rPr>
          <w:sz w:val="20"/>
          <w:szCs w:val="20"/>
          <w:color w:val="auto"/>
        </w:rPr>
      </w:pPr>
      <w:r>
        <w:rPr>
          <w:rFonts w:ascii="Arial" w:cs="Arial" w:eastAsia="Arial" w:hAnsi="Arial"/>
          <w:sz w:val="21"/>
          <w:szCs w:val="21"/>
          <w:color w:val="auto"/>
        </w:rPr>
        <w:t>Yes___</w:t>
      </w:r>
      <w:r>
        <w:rPr>
          <w:rFonts w:ascii="Arial" w:cs="Arial" w:eastAsia="Arial" w:hAnsi="Arial"/>
          <w:sz w:val="21"/>
          <w:szCs w:val="21"/>
          <w:b w:val="1"/>
          <w:bCs w:val="1"/>
          <w:color w:val="auto"/>
        </w:rPr>
        <w:t>_</w:t>
      </w:r>
      <w:r>
        <w:rPr>
          <w:rFonts w:ascii="Arial" w:cs="Arial" w:eastAsia="Arial" w:hAnsi="Arial"/>
          <w:sz w:val="21"/>
          <w:szCs w:val="21"/>
          <w:color w:val="auto"/>
        </w:rPr>
        <w:t>___</w:t>
      </w:r>
      <w:r>
        <w:rPr>
          <w:sz w:val="20"/>
          <w:szCs w:val="20"/>
          <w:color w:val="auto"/>
        </w:rPr>
        <w:tab/>
      </w:r>
      <w:r>
        <w:rPr>
          <w:rFonts w:ascii="Arial" w:cs="Arial" w:eastAsia="Arial" w:hAnsi="Arial"/>
          <w:sz w:val="20"/>
          <w:szCs w:val="20"/>
          <w:color w:val="auto"/>
        </w:rPr>
        <w:t>No___</w:t>
      </w:r>
      <w:r>
        <w:rPr>
          <w:rFonts w:ascii="Arial" w:cs="Arial" w:eastAsia="Arial" w:hAnsi="Arial"/>
          <w:sz w:val="20"/>
          <w:szCs w:val="20"/>
          <w:b w:val="1"/>
          <w:bCs w:val="1"/>
          <w:u w:val="single" w:color="auto"/>
          <w:color w:val="auto"/>
        </w:rPr>
        <w:t>X</w:t>
      </w:r>
      <w:r>
        <w:rPr>
          <w:rFonts w:ascii="Arial" w:cs="Arial" w:eastAsia="Arial" w:hAnsi="Arial"/>
          <w:sz w:val="20"/>
          <w:szCs w:val="20"/>
          <w:color w:val="auto"/>
        </w:rPr>
        <w:t>___</w:t>
      </w:r>
    </w:p>
    <w:p>
      <w:pPr>
        <w:sectPr>
          <w:pgSz w:w="12240" w:h="15840" w:orient="portrait"/>
          <w:cols w:equalWidth="0" w:num="1">
            <w:col w:w="11060"/>
          </w:cols>
          <w:pgMar w:left="520" w:top="218" w:right="660" w:bottom="1440" w:gutter="0" w:footer="0" w:header="0"/>
        </w:sectPr>
      </w:pPr>
    </w:p>
    <w:p>
      <w:pPr>
        <w:spacing w:after="0" w:line="200" w:lineRule="exact"/>
        <w:rPr>
          <w:sz w:val="24"/>
          <w:szCs w:val="24"/>
          <w:color w:val="auto"/>
        </w:rPr>
      </w:pPr>
    </w:p>
    <w:p>
      <w:pPr>
        <w:spacing w:after="0" w:line="256" w:lineRule="exact"/>
        <w:rPr>
          <w:sz w:val="24"/>
          <w:szCs w:val="24"/>
          <w:color w:val="auto"/>
        </w:rPr>
      </w:pPr>
    </w:p>
    <w:p>
      <w:pPr>
        <w:spacing w:after="0"/>
        <w:tabs>
          <w:tab w:leader="none" w:pos="10100" w:val="left"/>
        </w:tabs>
        <w:rPr>
          <w:sz w:val="20"/>
          <w:szCs w:val="20"/>
          <w:color w:val="auto"/>
        </w:rPr>
      </w:pPr>
      <w:r>
        <w:rPr>
          <w:rFonts w:ascii="Arial" w:cs="Arial" w:eastAsia="Arial" w:hAnsi="Arial"/>
          <w:sz w:val="21"/>
          <w:szCs w:val="21"/>
          <w:color w:val="auto"/>
        </w:rPr>
        <w:t>If "Yes" is marked, indicate below the file number assigned to the registrant in connection with Rule 12g3-2(b):82</w:t>
      </w:r>
      <w:r>
        <w:rPr>
          <w:sz w:val="20"/>
          <w:szCs w:val="20"/>
          <w:color w:val="auto"/>
        </w:rPr>
        <w:tab/>
      </w:r>
      <w:r>
        <w:rPr>
          <w:rFonts w:ascii="Arial" w:cs="Arial" w:eastAsia="Arial" w:hAnsi="Arial"/>
          <w:sz w:val="20"/>
          <w:szCs w:val="20"/>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294640</wp:posOffset>
            </wp:positionV>
            <wp:extent cx="708660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86600" cy="59690"/>
                    </a:xfrm>
                    <a:prstGeom prst="rect">
                      <a:avLst/>
                    </a:prstGeom>
                    <a:noFill/>
                  </pic:spPr>
                </pic:pic>
              </a:graphicData>
            </a:graphic>
          </wp:anchor>
        </w:drawing>
      </w:r>
    </w:p>
    <w:p>
      <w:pPr>
        <w:sectPr>
          <w:pgSz w:w="12240" w:h="15840" w:orient="portrait"/>
          <w:cols w:equalWidth="0" w:num="1">
            <w:col w:w="11060"/>
          </w:cols>
          <w:pgMar w:left="520" w:top="218" w:right="660" w:bottom="1440" w:gutter="0" w:footer="0" w:header="0"/>
          <w:type w:val="continuous"/>
        </w:sectPr>
      </w:pPr>
    </w:p>
    <w:bookmarkStart w:id="1" w:name="page2"/>
    <w:bookmarkEnd w:id="1"/>
    <w:p>
      <w:pPr>
        <w:ind w:left="4980"/>
        <w:spacing w:after="0"/>
        <w:rPr>
          <w:sz w:val="20"/>
          <w:szCs w:val="20"/>
          <w:color w:val="auto"/>
        </w:rPr>
      </w:pPr>
      <w:r>
        <w:rPr>
          <w:rFonts w:ascii="Arial" w:cs="Arial" w:eastAsia="Arial" w:hAnsi="Arial"/>
          <w:sz w:val="18"/>
          <w:szCs w:val="18"/>
          <w:b w:val="1"/>
          <w:bCs w:val="1"/>
          <w:u w:val="single" w:color="auto"/>
          <w:color w:val="auto"/>
        </w:rPr>
        <w:t>EXHIBIT LIST</w:t>
      </w:r>
    </w:p>
    <w:p>
      <w:pPr>
        <w:spacing w:after="0" w:line="240"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76"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u w:val="single" w:color="auto"/>
          <w:color w:val="0000EE"/>
        </w:rPr>
        <w:t>99.1</w:t>
      </w:r>
      <w:r>
        <w:rPr>
          <w:sz w:val="20"/>
          <w:szCs w:val="20"/>
          <w:color w:val="auto"/>
        </w:rPr>
        <w:tab/>
      </w:r>
      <w:r>
        <w:rPr>
          <w:rFonts w:ascii="Arial" w:cs="Arial" w:eastAsia="Arial" w:hAnsi="Arial"/>
          <w:sz w:val="16"/>
          <w:szCs w:val="16"/>
          <w:u w:val="single" w:color="auto"/>
          <w:color w:val="0000EE"/>
        </w:rPr>
        <w:t>ICON plc Press Release issued February 20, 2019 - ICON Reports Fourth Quarter and Full Year 2018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146050</wp:posOffset>
            </wp:positionV>
            <wp:extent cx="7086600" cy="596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86600" cy="59690"/>
                    </a:xfrm>
                    <a:prstGeom prst="rect">
                      <a:avLst/>
                    </a:prstGeom>
                    <a:noFill/>
                  </pic:spPr>
                </pic:pic>
              </a:graphicData>
            </a:graphic>
          </wp:anchor>
        </w:drawing>
      </w:r>
    </w:p>
    <w:p>
      <w:pPr>
        <w:sectPr>
          <w:pgSz w:w="12240" w:h="15840" w:orient="portrait"/>
          <w:cols w:equalWidth="0" w:num="1">
            <w:col w:w="10280"/>
          </w:cols>
          <w:pgMar w:left="520" w:top="223" w:right="1440"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219" w:lineRule="exact"/>
        <w:rPr>
          <w:sz w:val="20"/>
          <w:szCs w:val="20"/>
          <w:color w:val="auto"/>
        </w:rPr>
      </w:pPr>
    </w:p>
    <w:p>
      <w:pPr>
        <w:spacing w:after="0" w:line="271" w:lineRule="auto"/>
        <w:rPr>
          <w:sz w:val="20"/>
          <w:szCs w:val="20"/>
          <w:color w:val="auto"/>
        </w:rPr>
      </w:pPr>
      <w:r>
        <w:rPr>
          <w:rFonts w:ascii="Arial" w:cs="Arial" w:eastAsia="Arial" w:hAnsi="Arial"/>
          <w:sz w:val="21"/>
          <w:szCs w:val="21"/>
          <w:color w:val="auto"/>
        </w:rPr>
        <w:t>Pursuant to the requirements of the Securities Exchange Act of 1934, the Registrant has duly caused this report to be signed on its behalf by the undersigned thereunto duly authorized.</w:t>
      </w:r>
    </w:p>
    <w:p>
      <w:pPr>
        <w:spacing w:after="0" w:line="169" w:lineRule="exact"/>
        <w:rPr>
          <w:sz w:val="20"/>
          <w:szCs w:val="20"/>
          <w:color w:val="auto"/>
        </w:rPr>
      </w:pPr>
    </w:p>
    <w:p>
      <w:pPr>
        <w:ind w:left="672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6720"/>
        <w:spacing w:after="0"/>
        <w:rPr>
          <w:sz w:val="20"/>
          <w:szCs w:val="20"/>
          <w:color w:val="auto"/>
        </w:rPr>
      </w:pPr>
      <w:r>
        <w:rPr>
          <w:rFonts w:ascii="Arial" w:cs="Arial" w:eastAsia="Arial" w:hAnsi="Arial"/>
          <w:sz w:val="18"/>
          <w:szCs w:val="18"/>
          <w:u w:val="single" w:color="auto"/>
          <w:color w:val="auto"/>
        </w:rPr>
        <w:t>/s/ Brendan Brennan</w:t>
      </w:r>
    </w:p>
    <w:p>
      <w:pPr>
        <w:spacing w:after="0" w:line="34" w:lineRule="exact"/>
        <w:rPr>
          <w:sz w:val="20"/>
          <w:szCs w:val="20"/>
          <w:color w:val="auto"/>
        </w:rPr>
      </w:pPr>
    </w:p>
    <w:p>
      <w:pPr>
        <w:ind w:left="560" w:right="2780" w:hanging="6720"/>
        <w:spacing w:after="0" w:line="272" w:lineRule="auto"/>
        <w:tabs>
          <w:tab w:leader="none" w:pos="540" w:val="left"/>
        </w:tabs>
        <w:rPr>
          <w:sz w:val="20"/>
          <w:szCs w:val="20"/>
          <w:color w:val="auto"/>
        </w:rPr>
      </w:pPr>
      <w:r>
        <w:rPr>
          <w:rFonts w:ascii="Arial" w:cs="Arial" w:eastAsia="Arial" w:hAnsi="Arial"/>
          <w:sz w:val="18"/>
          <w:szCs w:val="18"/>
          <w:color w:val="auto"/>
        </w:rPr>
        <w:t>Date:</w:t>
        <w:tab/>
        <w:t>February 20, 2019 Brendan Brennan Chief Financial Officer</w:t>
      </w:r>
    </w:p>
    <w:p>
      <w:pPr>
        <w:sectPr>
          <w:pgSz w:w="12240" w:h="15840" w:orient="portrait"/>
          <w:cols w:equalWidth="0" w:num="1">
            <w:col w:w="11160"/>
          </w:cols>
          <w:pgMar w:left="520" w:top="223" w:right="560" w:bottom="1440" w:gutter="0" w:footer="0" w:header="0"/>
        </w:sectPr>
      </w:pPr>
    </w:p>
    <w:bookmarkStart w:id="3" w:name="page4"/>
    <w:bookmarkEnd w:id="3"/>
    <w:p>
      <w:pPr>
        <w:jc w:val="right"/>
        <w:spacing w:after="0"/>
        <w:rPr>
          <w:sz w:val="20"/>
          <w:szCs w:val="20"/>
          <w:color w:val="auto"/>
        </w:rPr>
      </w:pPr>
      <w:r>
        <w:rPr>
          <w:rFonts w:ascii="Arial" w:cs="Arial" w:eastAsia="Arial" w:hAnsi="Arial"/>
          <w:sz w:val="21"/>
          <w:szCs w:val="21"/>
          <w:b w:val="1"/>
          <w:bCs w:val="1"/>
          <w:color w:val="auto"/>
        </w:rPr>
        <w:t>Exhibit 99.1</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ICON Reports Fourth Quarter and Full Year 2018 Results</w:t>
      </w:r>
    </w:p>
    <w:p>
      <w:pPr>
        <w:spacing w:after="0" w:line="215"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Highlights</w:t>
      </w:r>
    </w:p>
    <w:p>
      <w:pPr>
        <w:spacing w:after="0" w:line="215" w:lineRule="exact"/>
        <w:rPr>
          <w:sz w:val="20"/>
          <w:szCs w:val="20"/>
          <w:color w:val="auto"/>
        </w:rPr>
      </w:pPr>
    </w:p>
    <w:p>
      <w:pPr>
        <w:ind w:left="540" w:right="180"/>
        <w:spacing w:after="0" w:line="277" w:lineRule="auto"/>
        <w:rPr>
          <w:sz w:val="20"/>
          <w:szCs w:val="20"/>
          <w:color w:val="auto"/>
        </w:rPr>
      </w:pPr>
      <w:r>
        <w:rPr>
          <w:rFonts w:ascii="Arial" w:cs="Arial" w:eastAsia="Arial" w:hAnsi="Arial"/>
          <w:sz w:val="21"/>
          <w:szCs w:val="21"/>
          <w:b w:val="1"/>
          <w:bCs w:val="1"/>
          <w:color w:val="auto"/>
        </w:rPr>
        <w:t>Record net business wins* in the quarter of $607 million, a book to bill of 1.25. Full year net business wins* of $2.4 billion, a net book to bill of 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191770</wp:posOffset>
            </wp:positionH>
            <wp:positionV relativeFrom="paragraph">
              <wp:posOffset>-288925</wp:posOffset>
            </wp:positionV>
            <wp:extent cx="67945" cy="679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40" w:lineRule="exact"/>
        <w:rPr>
          <w:sz w:val="20"/>
          <w:szCs w:val="20"/>
          <w:color w:val="auto"/>
        </w:rPr>
      </w:pPr>
    </w:p>
    <w:p>
      <w:pPr>
        <w:ind w:left="540"/>
        <w:spacing w:after="0"/>
        <w:rPr>
          <w:sz w:val="20"/>
          <w:szCs w:val="20"/>
          <w:color w:val="auto"/>
        </w:rPr>
      </w:pPr>
      <w:r>
        <w:rPr>
          <w:rFonts w:ascii="Arial" w:cs="Arial" w:eastAsia="Arial" w:hAnsi="Arial"/>
          <w:sz w:val="21"/>
          <w:szCs w:val="21"/>
          <w:b w:val="1"/>
          <w:bCs w:val="1"/>
          <w:color w:val="auto"/>
        </w:rPr>
        <w:t>Record closing backlog* of $5.4 billion, an increase of 9.7% year on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191770</wp:posOffset>
            </wp:positionH>
            <wp:positionV relativeFrom="paragraph">
              <wp:posOffset>-88265</wp:posOffset>
            </wp:positionV>
            <wp:extent cx="67945" cy="679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114" w:lineRule="exact"/>
        <w:rPr>
          <w:sz w:val="20"/>
          <w:szCs w:val="20"/>
          <w:color w:val="auto"/>
        </w:rPr>
      </w:pPr>
    </w:p>
    <w:p>
      <w:pPr>
        <w:ind w:left="540" w:right="160"/>
        <w:spacing w:after="0" w:line="277" w:lineRule="auto"/>
        <w:rPr>
          <w:sz w:val="20"/>
          <w:szCs w:val="20"/>
          <w:color w:val="auto"/>
        </w:rPr>
      </w:pPr>
      <w:r>
        <w:rPr>
          <w:rFonts w:ascii="Arial" w:cs="Arial" w:eastAsia="Arial" w:hAnsi="Arial"/>
          <w:sz w:val="21"/>
          <w:szCs w:val="21"/>
          <w:b w:val="1"/>
          <w:bCs w:val="1"/>
          <w:color w:val="auto"/>
        </w:rPr>
        <w:t>Quarter 4 reported revenue of $679.0 million. Full year reported revenue of $2,596 million. This represents a 6.5% increase year on year for Quarter 4* and a full year revenue increase of 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191770</wp:posOffset>
            </wp:positionH>
            <wp:positionV relativeFrom="paragraph">
              <wp:posOffset>-288925</wp:posOffset>
            </wp:positionV>
            <wp:extent cx="67945" cy="679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40" w:lineRule="exact"/>
        <w:rPr>
          <w:sz w:val="20"/>
          <w:szCs w:val="20"/>
          <w:color w:val="auto"/>
        </w:rPr>
      </w:pPr>
    </w:p>
    <w:p>
      <w:pPr>
        <w:ind w:left="540" w:right="60"/>
        <w:spacing w:after="0" w:line="258" w:lineRule="auto"/>
        <w:rPr>
          <w:sz w:val="20"/>
          <w:szCs w:val="20"/>
          <w:color w:val="auto"/>
        </w:rPr>
      </w:pPr>
      <w:r>
        <w:rPr>
          <w:rFonts w:ascii="Arial" w:cs="Arial" w:eastAsia="Arial" w:hAnsi="Arial"/>
          <w:sz w:val="21"/>
          <w:szCs w:val="21"/>
          <w:b w:val="1"/>
          <w:bCs w:val="1"/>
          <w:color w:val="auto"/>
        </w:rPr>
        <w:t>Quarter 4 reported income from operations was $101.8 million, or 15.0% of revenue. Full year reported income from operations before non-recurring charges was $385.8 million or 14.9% of revenue. This represents an increase* for the quarter and full year of 14.2% and 12.7%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191770</wp:posOffset>
            </wp:positionH>
            <wp:positionV relativeFrom="paragraph">
              <wp:posOffset>-429260</wp:posOffset>
            </wp:positionV>
            <wp:extent cx="67945" cy="679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60" w:lineRule="exact"/>
        <w:rPr>
          <w:sz w:val="20"/>
          <w:szCs w:val="20"/>
          <w:color w:val="auto"/>
        </w:rPr>
      </w:pPr>
    </w:p>
    <w:p>
      <w:pPr>
        <w:ind w:left="540" w:right="60"/>
        <w:spacing w:after="0" w:line="303" w:lineRule="auto"/>
        <w:rPr>
          <w:sz w:val="20"/>
          <w:szCs w:val="20"/>
          <w:color w:val="auto"/>
        </w:rPr>
      </w:pPr>
      <w:r>
        <w:rPr>
          <w:rFonts w:ascii="Arial" w:cs="Arial" w:eastAsia="Arial" w:hAnsi="Arial"/>
          <w:sz w:val="20"/>
          <w:szCs w:val="20"/>
          <w:b w:val="1"/>
          <w:bCs w:val="1"/>
          <w:color w:val="auto"/>
        </w:rPr>
        <w:t>Quarter 4 reported earnings per share of $1.62. Full year reported earnings per share before non-recurring charges of $6.09. This represents an increase* for the quarter and full year of 13.8% and 14.2%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191770</wp:posOffset>
            </wp:positionH>
            <wp:positionV relativeFrom="paragraph">
              <wp:posOffset>-303530</wp:posOffset>
            </wp:positionV>
            <wp:extent cx="67945" cy="679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16" w:lineRule="exact"/>
        <w:rPr>
          <w:sz w:val="20"/>
          <w:szCs w:val="20"/>
          <w:color w:val="auto"/>
        </w:rPr>
      </w:pPr>
    </w:p>
    <w:p>
      <w:pPr>
        <w:ind w:left="540" w:right="240"/>
        <w:spacing w:after="0" w:line="258" w:lineRule="auto"/>
        <w:rPr>
          <w:sz w:val="20"/>
          <w:szCs w:val="20"/>
          <w:color w:val="auto"/>
        </w:rPr>
      </w:pPr>
      <w:r>
        <w:rPr>
          <w:rFonts w:ascii="Arial" w:cs="Arial" w:eastAsia="Arial" w:hAnsi="Arial"/>
          <w:sz w:val="21"/>
          <w:szCs w:val="21"/>
          <w:b w:val="1"/>
          <w:bCs w:val="1"/>
          <w:color w:val="auto"/>
        </w:rPr>
        <w:t>In January 2019, ICON signed an agreement to acquire MolecularMD, a specialist laboratory, which expands our current lab capabilities into molecular testing, immunohistochemistry and companion diagnostics for precision medicine research.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191770</wp:posOffset>
            </wp:positionH>
            <wp:positionV relativeFrom="paragraph">
              <wp:posOffset>-429260</wp:posOffset>
            </wp:positionV>
            <wp:extent cx="67945" cy="679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60" w:lineRule="exact"/>
        <w:rPr>
          <w:sz w:val="20"/>
          <w:szCs w:val="20"/>
          <w:color w:val="auto"/>
        </w:rPr>
      </w:pPr>
    </w:p>
    <w:p>
      <w:pPr>
        <w:ind w:left="540"/>
        <w:spacing w:after="0"/>
        <w:rPr>
          <w:sz w:val="20"/>
          <w:szCs w:val="20"/>
          <w:color w:val="auto"/>
        </w:rPr>
      </w:pPr>
      <w:r>
        <w:rPr>
          <w:rFonts w:ascii="Arial" w:cs="Arial" w:eastAsia="Arial" w:hAnsi="Arial"/>
          <w:sz w:val="21"/>
          <w:szCs w:val="21"/>
          <w:b w:val="1"/>
          <w:bCs w:val="1"/>
          <w:color w:val="auto"/>
        </w:rPr>
        <w:t>The extension of ICON’s master services agreement with Pfizer Inc. (NYSE:PFE).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191770</wp:posOffset>
            </wp:positionH>
            <wp:positionV relativeFrom="paragraph">
              <wp:posOffset>-88265</wp:posOffset>
            </wp:positionV>
            <wp:extent cx="67945" cy="679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114" w:lineRule="exact"/>
        <w:rPr>
          <w:sz w:val="20"/>
          <w:szCs w:val="20"/>
          <w:color w:val="auto"/>
        </w:rPr>
      </w:pPr>
    </w:p>
    <w:p>
      <w:pPr>
        <w:ind w:left="540" w:right="640"/>
        <w:spacing w:after="0" w:line="277" w:lineRule="auto"/>
        <w:rPr>
          <w:sz w:val="20"/>
          <w:szCs w:val="20"/>
          <w:color w:val="auto"/>
        </w:rPr>
      </w:pPr>
      <w:r>
        <w:rPr>
          <w:rFonts w:ascii="Arial" w:cs="Arial" w:eastAsia="Arial" w:hAnsi="Arial"/>
          <w:sz w:val="21"/>
          <w:szCs w:val="21"/>
          <w:b w:val="1"/>
          <w:bCs w:val="1"/>
          <w:color w:val="auto"/>
        </w:rPr>
        <w:t>2019 outlook reaffirmed with revenue guidance in the range of $2,735 - $2,835 million and earnings per share guidance in the range of $6.69 – $6.89 a year over year increase of 9.9% - 13.1%.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191770</wp:posOffset>
            </wp:positionH>
            <wp:positionV relativeFrom="paragraph">
              <wp:posOffset>-288925</wp:posOffset>
            </wp:positionV>
            <wp:extent cx="67945" cy="679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7945" cy="67945"/>
                    </a:xfrm>
                    <a:prstGeom prst="rect">
                      <a:avLst/>
                    </a:prstGeom>
                    <a:noFill/>
                  </pic:spPr>
                </pic:pic>
              </a:graphicData>
            </a:graphic>
          </wp:anchor>
        </w:drawing>
      </w:r>
    </w:p>
    <w:p>
      <w:pPr>
        <w:spacing w:after="0" w:line="147" w:lineRule="exact"/>
        <w:rPr>
          <w:sz w:val="20"/>
          <w:szCs w:val="20"/>
          <w:color w:val="auto"/>
        </w:rPr>
      </w:pPr>
    </w:p>
    <w:p>
      <w:pPr>
        <w:ind w:left="540"/>
        <w:spacing w:after="0"/>
        <w:rPr>
          <w:sz w:val="20"/>
          <w:szCs w:val="20"/>
          <w:color w:val="auto"/>
        </w:rPr>
      </w:pPr>
      <w:r>
        <w:rPr>
          <w:rFonts w:ascii="Arial" w:cs="Arial" w:eastAsia="Arial" w:hAnsi="Arial"/>
          <w:sz w:val="21"/>
          <w:szCs w:val="21"/>
          <w:b w:val="1"/>
          <w:bCs w:val="1"/>
          <w:color w:val="auto"/>
        </w:rPr>
        <w:t>*Excluding the impact of ASC 606</w:t>
      </w:r>
    </w:p>
    <w:p>
      <w:pPr>
        <w:spacing w:after="0" w:line="215" w:lineRule="exact"/>
        <w:rPr>
          <w:sz w:val="20"/>
          <w:szCs w:val="20"/>
          <w:color w:val="auto"/>
        </w:rPr>
      </w:pPr>
    </w:p>
    <w:p>
      <w:pPr>
        <w:ind w:right="100"/>
        <w:spacing w:after="0" w:line="258" w:lineRule="auto"/>
        <w:rPr>
          <w:sz w:val="20"/>
          <w:szCs w:val="20"/>
          <w:color w:val="auto"/>
        </w:rPr>
      </w:pPr>
      <w:r>
        <w:rPr>
          <w:rFonts w:ascii="Arial" w:cs="Arial" w:eastAsia="Arial" w:hAnsi="Arial"/>
          <w:sz w:val="21"/>
          <w:szCs w:val="21"/>
          <w:color w:val="auto"/>
        </w:rPr>
        <w:t>DUBLIN--(BUSINESS WIRE)--February 20, 2019--</w:t>
      </w:r>
      <w:r>
        <w:rPr>
          <w:rFonts w:ascii="Arial" w:cs="Arial" w:eastAsia="Arial" w:hAnsi="Arial"/>
          <w:sz w:val="21"/>
          <w:szCs w:val="21"/>
          <w:b w:val="1"/>
          <w:bCs w:val="1"/>
          <w:color w:val="auto"/>
        </w:rPr>
        <w:t>ICON plc (NASDAQ: ICLR),</w:t>
      </w:r>
      <w:r>
        <w:rPr>
          <w:rFonts w:ascii="Arial" w:cs="Arial" w:eastAsia="Arial" w:hAnsi="Arial"/>
          <w:sz w:val="21"/>
          <w:szCs w:val="21"/>
          <w:color w:val="auto"/>
        </w:rPr>
        <w:t xml:space="preserve"> a global provider of drug development solutions and services to the pharmaceutical, biotechnology and medical device industries, today reported its financial results for the fourth quarter and full year ended December 31, 2018.</w:t>
      </w:r>
    </w:p>
    <w:p>
      <w:pPr>
        <w:spacing w:after="0" w:line="166" w:lineRule="exact"/>
        <w:rPr>
          <w:sz w:val="20"/>
          <w:szCs w:val="20"/>
          <w:color w:val="auto"/>
        </w:rPr>
      </w:pPr>
    </w:p>
    <w:p>
      <w:pPr>
        <w:ind w:right="20"/>
        <w:spacing w:after="0" w:line="295" w:lineRule="auto"/>
        <w:rPr>
          <w:sz w:val="20"/>
          <w:szCs w:val="20"/>
          <w:color w:val="auto"/>
        </w:rPr>
      </w:pPr>
      <w:r>
        <w:rPr>
          <w:rFonts w:ascii="Arial" w:cs="Arial" w:eastAsia="Arial" w:hAnsi="Arial"/>
          <w:sz w:val="19"/>
          <w:szCs w:val="19"/>
          <w:color w:val="auto"/>
        </w:rPr>
        <w:t>CEO Dr. Steve Cutler commented, “</w:t>
      </w:r>
      <w:r>
        <w:rPr>
          <w:rFonts w:ascii="Arial" w:cs="Arial" w:eastAsia="Arial" w:hAnsi="Arial"/>
          <w:sz w:val="19"/>
          <w:szCs w:val="19"/>
          <w:i w:val="1"/>
          <w:iCs w:val="1"/>
          <w:color w:val="auto"/>
        </w:rPr>
        <w:t>During 2018, ICON’s operational excellence and market leading service offerings resulted in</w:t>
      </w:r>
      <w:r>
        <w:rPr>
          <w:rFonts w:ascii="Arial" w:cs="Arial" w:eastAsia="Arial" w:hAnsi="Arial"/>
          <w:sz w:val="19"/>
          <w:szCs w:val="19"/>
          <w:color w:val="auto"/>
        </w:rPr>
        <w:t xml:space="preserve"> </w:t>
      </w:r>
      <w:r>
        <w:rPr>
          <w:rFonts w:ascii="Arial" w:cs="Arial" w:eastAsia="Arial" w:hAnsi="Arial"/>
          <w:sz w:val="19"/>
          <w:szCs w:val="19"/>
          <w:i w:val="1"/>
          <w:iCs w:val="1"/>
          <w:color w:val="auto"/>
        </w:rPr>
        <w:t>net business bookings of over $2.4 billion and the expansion of our backlog by 10% to $5.4 billion. Our revenues grew by 8% year over year and our continued focus on pro-active cost saving efficiencies enabled us to grow EPS by over 14% to $6.16.</w:t>
      </w:r>
    </w:p>
    <w:p>
      <w:pPr>
        <w:spacing w:after="0" w:line="133" w:lineRule="exact"/>
        <w:rPr>
          <w:sz w:val="20"/>
          <w:szCs w:val="20"/>
          <w:color w:val="auto"/>
        </w:rPr>
      </w:pPr>
    </w:p>
    <w:p>
      <w:pPr>
        <w:ind w:right="40"/>
        <w:spacing w:after="0" w:line="250" w:lineRule="auto"/>
        <w:rPr>
          <w:sz w:val="20"/>
          <w:szCs w:val="20"/>
          <w:color w:val="auto"/>
        </w:rPr>
      </w:pPr>
      <w:r>
        <w:rPr>
          <w:rFonts w:ascii="Arial" w:cs="Arial" w:eastAsia="Arial" w:hAnsi="Arial"/>
          <w:sz w:val="21"/>
          <w:szCs w:val="21"/>
          <w:i w:val="1"/>
          <w:iCs w:val="1"/>
          <w:color w:val="auto"/>
        </w:rPr>
        <w:t>Today we are delighted to announce the acquisition of MolecularMD. MolecularMD enhances our laboratory offering in molecular diagnostic testing, a key area in oncology research, and also brings to ICON expanded testing platforms, including next generation sequencing and immunohistochemistry. MolecularMD’s services also include companion diagnostic development which will further enhance the competitiveness of our overall lab offering.</w:t>
      </w:r>
    </w:p>
    <w:p>
      <w:pPr>
        <w:spacing w:after="0" w:line="174" w:lineRule="exact"/>
        <w:rPr>
          <w:sz w:val="20"/>
          <w:szCs w:val="20"/>
          <w:color w:val="auto"/>
        </w:rPr>
      </w:pPr>
    </w:p>
    <w:p>
      <w:pPr>
        <w:ind w:right="20"/>
        <w:spacing w:after="0" w:line="255" w:lineRule="auto"/>
        <w:rPr>
          <w:sz w:val="20"/>
          <w:szCs w:val="20"/>
          <w:color w:val="auto"/>
        </w:rPr>
      </w:pPr>
      <w:r>
        <w:rPr>
          <w:rFonts w:ascii="Arial" w:cs="Arial" w:eastAsia="Arial" w:hAnsi="Arial"/>
          <w:sz w:val="21"/>
          <w:szCs w:val="21"/>
          <w:i w:val="1"/>
          <w:iCs w:val="1"/>
          <w:color w:val="auto"/>
        </w:rPr>
        <w:t>We are also delighted to announce the extension of ICON’s master services agreement with Pfizer. The extension of the agreement reflects our strong working relationship with Pfizer and we look forward to continuing to help Pfizer advance its development pipeline rapidly and efficiently.</w:t>
      </w:r>
    </w:p>
    <w:p>
      <w:pPr>
        <w:spacing w:after="0" w:line="169" w:lineRule="exact"/>
        <w:rPr>
          <w:sz w:val="20"/>
          <w:szCs w:val="20"/>
          <w:color w:val="auto"/>
        </w:rPr>
      </w:pPr>
    </w:p>
    <w:p>
      <w:pPr>
        <w:jc w:val="both"/>
        <w:ind w:right="160"/>
        <w:spacing w:after="0" w:line="255" w:lineRule="auto"/>
        <w:rPr>
          <w:sz w:val="20"/>
          <w:szCs w:val="20"/>
          <w:color w:val="auto"/>
        </w:rPr>
      </w:pPr>
      <w:r>
        <w:rPr>
          <w:rFonts w:ascii="Arial" w:cs="Arial" w:eastAsia="Arial" w:hAnsi="Arial"/>
          <w:sz w:val="21"/>
          <w:szCs w:val="21"/>
          <w:i w:val="1"/>
          <w:iCs w:val="1"/>
          <w:color w:val="auto"/>
        </w:rPr>
        <w:t>As we look forward, we expect 2019 to be another year of robust revenue and earnings growth and we reaffirm our outlook with revenue guidance in the range of $2,735 - $2,835 million and earnings per share guidance in the range of $6.69 - $6.89, a year over year increase of 10% - 13%.”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108585</wp:posOffset>
            </wp:positionV>
            <wp:extent cx="7086600" cy="596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086600" cy="59690"/>
                    </a:xfrm>
                    <a:prstGeom prst="rect">
                      <a:avLst/>
                    </a:prstGeom>
                    <a:noFill/>
                  </pic:spPr>
                </pic:pic>
              </a:graphicData>
            </a:graphic>
          </wp:anchor>
        </w:drawing>
      </w:r>
    </w:p>
    <w:p>
      <w:pPr>
        <w:sectPr>
          <w:pgSz w:w="12240" w:h="15840" w:orient="portrait"/>
          <w:cols w:equalWidth="0" w:num="1">
            <w:col w:w="11160"/>
          </w:cols>
          <w:pgMar w:left="520" w:top="0" w:right="560" w:bottom="1440" w:gutter="0" w:footer="0" w:header="0"/>
        </w:sectPr>
      </w:pPr>
    </w:p>
    <w:bookmarkStart w:id="4" w:name="page5"/>
    <w:bookmarkEnd w:id="4"/>
    <w:p>
      <w:pPr>
        <w:spacing w:after="0"/>
        <w:rPr>
          <w:sz w:val="20"/>
          <w:szCs w:val="20"/>
          <w:color w:val="auto"/>
        </w:rPr>
      </w:pPr>
      <w:r>
        <w:rPr>
          <w:rFonts w:ascii="Arial" w:cs="Arial" w:eastAsia="Arial" w:hAnsi="Arial"/>
          <w:sz w:val="21"/>
          <w:szCs w:val="21"/>
          <w:b w:val="1"/>
          <w:bCs w:val="1"/>
          <w:color w:val="auto"/>
        </w:rPr>
        <w:t>Fourth Quarter 2018 Results</w:t>
      </w:r>
    </w:p>
    <w:p>
      <w:pPr>
        <w:spacing w:after="0" w:line="193" w:lineRule="exact"/>
        <w:rPr>
          <w:sz w:val="20"/>
          <w:szCs w:val="20"/>
          <w:color w:val="auto"/>
        </w:rPr>
      </w:pPr>
    </w:p>
    <w:p>
      <w:pPr>
        <w:ind w:right="560"/>
        <w:spacing w:after="0" w:line="271" w:lineRule="auto"/>
        <w:rPr>
          <w:sz w:val="20"/>
          <w:szCs w:val="20"/>
          <w:color w:val="auto"/>
        </w:rPr>
      </w:pPr>
      <w:r>
        <w:rPr>
          <w:rFonts w:ascii="Arial" w:cs="Arial" w:eastAsia="Arial" w:hAnsi="Arial"/>
          <w:sz w:val="21"/>
          <w:szCs w:val="21"/>
          <w:color w:val="auto"/>
        </w:rPr>
        <w:t>Excluding the impact of ASC 606, gross business wins in the fourth quarter were $722 million and cancellations were $115 million. This resulted in net business wins of $607 million, a book to bill of 1.25.</w:t>
      </w:r>
    </w:p>
    <w:p>
      <w:pPr>
        <w:spacing w:after="0" w:line="152" w:lineRule="exact"/>
        <w:rPr>
          <w:sz w:val="20"/>
          <w:szCs w:val="20"/>
          <w:color w:val="auto"/>
        </w:rPr>
      </w:pPr>
    </w:p>
    <w:p>
      <w:pPr>
        <w:ind w:right="440"/>
        <w:spacing w:after="0" w:line="271" w:lineRule="auto"/>
        <w:rPr>
          <w:sz w:val="20"/>
          <w:szCs w:val="20"/>
          <w:color w:val="auto"/>
        </w:rPr>
      </w:pPr>
      <w:r>
        <w:rPr>
          <w:rFonts w:ascii="Arial" w:cs="Arial" w:eastAsia="Arial" w:hAnsi="Arial"/>
          <w:sz w:val="21"/>
          <w:szCs w:val="21"/>
          <w:color w:val="auto"/>
        </w:rPr>
        <w:t>Reported revenue for quarter 4 was $679.0 million. Excluding the impact of ASC 606, quarter 4 revenue increased to $484.7 million from $455.1 million in the same quarter last year, an increase of 6.5%.</w:t>
      </w:r>
    </w:p>
    <w:p>
      <w:pPr>
        <w:spacing w:after="0" w:line="152" w:lineRule="exact"/>
        <w:rPr>
          <w:sz w:val="20"/>
          <w:szCs w:val="20"/>
          <w:color w:val="auto"/>
        </w:rPr>
      </w:pPr>
    </w:p>
    <w:p>
      <w:pPr>
        <w:ind w:right="120"/>
        <w:spacing w:after="0" w:line="255" w:lineRule="auto"/>
        <w:rPr>
          <w:sz w:val="20"/>
          <w:szCs w:val="20"/>
          <w:color w:val="auto"/>
        </w:rPr>
      </w:pPr>
      <w:r>
        <w:rPr>
          <w:rFonts w:ascii="Arial" w:cs="Arial" w:eastAsia="Arial" w:hAnsi="Arial"/>
          <w:sz w:val="21"/>
          <w:szCs w:val="21"/>
          <w:color w:val="auto"/>
        </w:rPr>
        <w:t>Reported income from operations in the quarter was $101.8 million or 15.0% of revenue. Excluding the impact of ASC 606, income from operations increased by 14.2% to $102.4 million, or 21.1% of revenue, compared to $89.7 million or 19.7% for the same quarter last year.</w:t>
      </w:r>
    </w:p>
    <w:p>
      <w:pPr>
        <w:spacing w:after="0" w:line="169" w:lineRule="exact"/>
        <w:rPr>
          <w:sz w:val="20"/>
          <w:szCs w:val="20"/>
          <w:color w:val="auto"/>
        </w:rPr>
      </w:pPr>
    </w:p>
    <w:p>
      <w:pPr>
        <w:ind w:right="600"/>
        <w:spacing w:after="0" w:line="271" w:lineRule="auto"/>
        <w:rPr>
          <w:sz w:val="20"/>
          <w:szCs w:val="20"/>
          <w:color w:val="auto"/>
        </w:rPr>
      </w:pPr>
      <w:r>
        <w:rPr>
          <w:rFonts w:ascii="Arial" w:cs="Arial" w:eastAsia="Arial" w:hAnsi="Arial"/>
          <w:sz w:val="21"/>
          <w:szCs w:val="21"/>
          <w:color w:val="auto"/>
        </w:rPr>
        <w:t>Reported net income for the quarter was $88.2 million or 13.0% of revenue. Excluding the impact of ASC 606, net income increased by 13.0% to $88.7 million, compared with $78.5 million in the same quarter last year.</w:t>
      </w:r>
    </w:p>
    <w:p>
      <w:pPr>
        <w:spacing w:after="0" w:line="152" w:lineRule="exact"/>
        <w:rPr>
          <w:sz w:val="20"/>
          <w:szCs w:val="20"/>
          <w:color w:val="auto"/>
        </w:rPr>
      </w:pPr>
    </w:p>
    <w:p>
      <w:pPr>
        <w:ind w:right="80"/>
        <w:spacing w:after="0" w:line="271" w:lineRule="auto"/>
        <w:rPr>
          <w:sz w:val="20"/>
          <w:szCs w:val="20"/>
          <w:color w:val="auto"/>
        </w:rPr>
      </w:pPr>
      <w:r>
        <w:rPr>
          <w:rFonts w:ascii="Arial" w:cs="Arial" w:eastAsia="Arial" w:hAnsi="Arial"/>
          <w:sz w:val="21"/>
          <w:szCs w:val="21"/>
          <w:color w:val="auto"/>
        </w:rPr>
        <w:t>Reported earnings per share on a diluted basis was $1.62. Excluding the impact of ASC 606, diluted earnings per share increased by 13.8% to $1.63, compared to $1.43 per share for the same quarter last year.</w:t>
      </w:r>
    </w:p>
    <w:p>
      <w:pPr>
        <w:spacing w:after="0" w:line="152" w:lineRule="exact"/>
        <w:rPr>
          <w:sz w:val="20"/>
          <w:szCs w:val="20"/>
          <w:color w:val="auto"/>
        </w:rPr>
      </w:pPr>
    </w:p>
    <w:p>
      <w:pPr>
        <w:ind w:right="220"/>
        <w:spacing w:after="0" w:line="271" w:lineRule="auto"/>
        <w:rPr>
          <w:sz w:val="20"/>
          <w:szCs w:val="20"/>
          <w:color w:val="auto"/>
        </w:rPr>
      </w:pPr>
      <w:r>
        <w:rPr>
          <w:rFonts w:ascii="Arial" w:cs="Arial" w:eastAsia="Arial" w:hAnsi="Arial"/>
          <w:sz w:val="21"/>
          <w:szCs w:val="21"/>
          <w:color w:val="auto"/>
        </w:rPr>
        <w:t>Days sales outstanding on a 605 basis, comprising accounts receivable and unbilled revenue less payments on account, were 57 days at December 31, 2018, compared with 49 days at the end of December 2017.</w:t>
      </w:r>
    </w:p>
    <w:p>
      <w:pPr>
        <w:spacing w:after="0" w:line="152" w:lineRule="exact"/>
        <w:rPr>
          <w:sz w:val="20"/>
          <w:szCs w:val="20"/>
          <w:color w:val="auto"/>
        </w:rPr>
      </w:pPr>
    </w:p>
    <w:p>
      <w:pPr>
        <w:ind w:right="300"/>
        <w:spacing w:after="0" w:line="250" w:lineRule="auto"/>
        <w:rPr>
          <w:sz w:val="20"/>
          <w:szCs w:val="20"/>
          <w:color w:val="auto"/>
        </w:rPr>
      </w:pPr>
      <w:r>
        <w:rPr>
          <w:rFonts w:ascii="Arial" w:cs="Arial" w:eastAsia="Arial" w:hAnsi="Arial"/>
          <w:sz w:val="21"/>
          <w:szCs w:val="21"/>
          <w:color w:val="auto"/>
        </w:rPr>
        <w:t>Cash generated from operating activities for the quarter was $60.9 million. During the quarter, capital expenditure was $20.0 million and $72 million worth of stock was repurchased at an average price of $137.66. As a result, at December 31, 2018, the company had net cash of $106.5 million, compared to net cash of $142.3 million at September 30, 2018 and net cash of $11.6 million at the end of December 2017.</w:t>
      </w:r>
    </w:p>
    <w:p>
      <w:pPr>
        <w:spacing w:after="0" w:line="16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Full Year 2018 Results</w:t>
      </w:r>
    </w:p>
    <w:p>
      <w:pPr>
        <w:spacing w:after="0" w:line="221" w:lineRule="exact"/>
        <w:rPr>
          <w:sz w:val="20"/>
          <w:szCs w:val="20"/>
          <w:color w:val="auto"/>
        </w:rPr>
      </w:pPr>
    </w:p>
    <w:p>
      <w:pPr>
        <w:ind w:right="220"/>
        <w:spacing w:after="0" w:line="271" w:lineRule="auto"/>
        <w:rPr>
          <w:sz w:val="20"/>
          <w:szCs w:val="20"/>
          <w:color w:val="auto"/>
        </w:rPr>
      </w:pPr>
      <w:r>
        <w:rPr>
          <w:rFonts w:ascii="Arial" w:cs="Arial" w:eastAsia="Arial" w:hAnsi="Arial"/>
          <w:sz w:val="21"/>
          <w:szCs w:val="21"/>
          <w:color w:val="auto"/>
        </w:rPr>
        <w:t>Excluding the impact of ASC 606, full year gross business wins were $2,860 million and cancellations were $459 million. This resulted in net business wins of $2,401 million, a book to bill of 1.27.</w:t>
      </w:r>
    </w:p>
    <w:p>
      <w:pPr>
        <w:spacing w:after="0" w:line="152" w:lineRule="exact"/>
        <w:rPr>
          <w:sz w:val="20"/>
          <w:szCs w:val="20"/>
          <w:color w:val="auto"/>
        </w:rPr>
      </w:pPr>
    </w:p>
    <w:p>
      <w:pPr>
        <w:ind w:right="540"/>
        <w:spacing w:after="0" w:line="271" w:lineRule="auto"/>
        <w:rPr>
          <w:sz w:val="20"/>
          <w:szCs w:val="20"/>
          <w:color w:val="auto"/>
        </w:rPr>
      </w:pPr>
      <w:r>
        <w:rPr>
          <w:rFonts w:ascii="Arial" w:cs="Arial" w:eastAsia="Arial" w:hAnsi="Arial"/>
          <w:sz w:val="21"/>
          <w:szCs w:val="21"/>
          <w:color w:val="auto"/>
        </w:rPr>
        <w:t>Full year reported revenue was $2,595.8 million. Excluding the impact of ASC 606, full year revenue increased to $1,897.6 million from $1,758.4 million in 2017, an increase of 7.9%.</w:t>
      </w:r>
    </w:p>
    <w:p>
      <w:pPr>
        <w:spacing w:after="0" w:line="152" w:lineRule="exact"/>
        <w:rPr>
          <w:sz w:val="20"/>
          <w:szCs w:val="20"/>
          <w:color w:val="auto"/>
        </w:rPr>
      </w:pPr>
    </w:p>
    <w:p>
      <w:pPr>
        <w:ind w:right="160"/>
        <w:spacing w:after="0" w:line="255" w:lineRule="auto"/>
        <w:rPr>
          <w:sz w:val="20"/>
          <w:szCs w:val="20"/>
          <w:color w:val="auto"/>
        </w:rPr>
      </w:pPr>
      <w:r>
        <w:rPr>
          <w:rFonts w:ascii="Arial" w:cs="Arial" w:eastAsia="Arial" w:hAnsi="Arial"/>
          <w:sz w:val="21"/>
          <w:szCs w:val="21"/>
          <w:color w:val="auto"/>
        </w:rPr>
        <w:t>Full year reported income from operations before non-recurring charges was $385.8 million or 14.9% of revenue. Excluding the impact of ASC 606, income from operations before non-recurring charges increased by 12.7% to $390.0 million, or 20.6% of revenue, compared to $346.1 million or 19.7% of revenue in the previous year.</w:t>
      </w:r>
    </w:p>
    <w:p>
      <w:pPr>
        <w:spacing w:after="0" w:line="169" w:lineRule="exact"/>
        <w:rPr>
          <w:sz w:val="20"/>
          <w:szCs w:val="20"/>
          <w:color w:val="auto"/>
        </w:rPr>
      </w:pPr>
    </w:p>
    <w:p>
      <w:pPr>
        <w:jc w:val="both"/>
        <w:ind w:right="400"/>
        <w:spacing w:after="0" w:line="255" w:lineRule="auto"/>
        <w:rPr>
          <w:sz w:val="20"/>
          <w:szCs w:val="20"/>
          <w:color w:val="auto"/>
        </w:rPr>
      </w:pPr>
      <w:r>
        <w:rPr>
          <w:rFonts w:ascii="Arial" w:cs="Arial" w:eastAsia="Arial" w:hAnsi="Arial"/>
          <w:sz w:val="21"/>
          <w:szCs w:val="21"/>
          <w:color w:val="auto"/>
        </w:rPr>
        <w:t>Full year reported net income before non-recurring charges was $333.7 million or 12.9% of revenue. Excluding the impact of ASC 606, net income before non-recurring charges increased by 14.1% to $337.4 million, compared with $295.7 million last year.</w:t>
      </w:r>
    </w:p>
    <w:p>
      <w:pPr>
        <w:spacing w:after="0" w:line="169" w:lineRule="exact"/>
        <w:rPr>
          <w:sz w:val="20"/>
          <w:szCs w:val="20"/>
          <w:color w:val="auto"/>
        </w:rPr>
      </w:pPr>
    </w:p>
    <w:p>
      <w:pPr>
        <w:ind w:right="120"/>
        <w:spacing w:after="0" w:line="325" w:lineRule="auto"/>
        <w:rPr>
          <w:sz w:val="20"/>
          <w:szCs w:val="20"/>
          <w:color w:val="auto"/>
        </w:rPr>
      </w:pPr>
      <w:r>
        <w:rPr>
          <w:rFonts w:ascii="Arial" w:cs="Arial" w:eastAsia="Arial" w:hAnsi="Arial"/>
          <w:sz w:val="19"/>
          <w:szCs w:val="19"/>
          <w:color w:val="auto"/>
        </w:rPr>
        <w:t>Full year reported earnings per share on a diluted basis before non-recurring charges was $6.09. Excluding the impact of ASC 606, diluted earnings per share before non-recurring charges increased by 14.2% to $6.16, compared to $5.39 per share last year.</w:t>
      </w:r>
    </w:p>
    <w:p>
      <w:pPr>
        <w:spacing w:after="0" w:line="10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Pfizer Master Services Agreement extension</w:t>
      </w:r>
    </w:p>
    <w:p>
      <w:pPr>
        <w:spacing w:after="0" w:line="221" w:lineRule="exact"/>
        <w:rPr>
          <w:sz w:val="20"/>
          <w:szCs w:val="20"/>
          <w:color w:val="auto"/>
        </w:rPr>
      </w:pPr>
    </w:p>
    <w:p>
      <w:pPr>
        <w:spacing w:after="0" w:line="297" w:lineRule="auto"/>
        <w:rPr>
          <w:sz w:val="20"/>
          <w:szCs w:val="20"/>
          <w:color w:val="auto"/>
        </w:rPr>
      </w:pPr>
      <w:r>
        <w:rPr>
          <w:rFonts w:ascii="Arial" w:cs="Arial" w:eastAsia="Arial" w:hAnsi="Arial"/>
          <w:sz w:val="20"/>
          <w:szCs w:val="20"/>
          <w:color w:val="auto"/>
        </w:rPr>
        <w:t>The extension extends the term of the agreement signed in June 2016 from a 3 year term with Pfizer having the right to extend the term by a further 2 years, to a term of 4 years with Pfizer retaining the right to extend the term by a further 2 years.</w:t>
      </w:r>
    </w:p>
    <w:p>
      <w:pPr>
        <w:spacing w:after="0" w:line="12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Other Information</w:t>
      </w:r>
    </w:p>
    <w:p>
      <w:pPr>
        <w:spacing w:after="0" w:line="221" w:lineRule="exact"/>
        <w:rPr>
          <w:sz w:val="20"/>
          <w:szCs w:val="20"/>
          <w:color w:val="auto"/>
        </w:rPr>
      </w:pPr>
    </w:p>
    <w:p>
      <w:pPr>
        <w:ind w:right="20"/>
        <w:spacing w:after="0" w:line="246" w:lineRule="auto"/>
        <w:rPr>
          <w:sz w:val="20"/>
          <w:szCs w:val="20"/>
          <w:color w:val="auto"/>
        </w:rPr>
      </w:pPr>
      <w:r>
        <w:rPr>
          <w:rFonts w:ascii="Arial" w:cs="Arial" w:eastAsia="Arial" w:hAnsi="Arial"/>
          <w:sz w:val="21"/>
          <w:szCs w:val="21"/>
          <w:color w:val="auto"/>
        </w:rPr>
        <w:t>The new revenue recognition standard (ASU No. 2014-09) ‘Revenue from Contracts with Customers’ was effective for ICON plc from January 1, 2018. ICON has elected to adopt the new standard under the cumulative effect transition method. Under this transition method, the new standard is applied from January 1, 2018 without restatement of comparative period amounts. The cumulative effect of initially applying the new standard is reflected as an adjustment to opening equity at the date of application. Results for the three and twelve months ended December 2017 are therefore presented under the previous revenue recognition accounting principles.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114300</wp:posOffset>
            </wp:positionV>
            <wp:extent cx="7086600" cy="59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086600" cy="59690"/>
                    </a:xfrm>
                    <a:prstGeom prst="rect">
                      <a:avLst/>
                    </a:prstGeom>
                    <a:noFill/>
                  </pic:spPr>
                </pic:pic>
              </a:graphicData>
            </a:graphic>
          </wp:anchor>
        </w:drawing>
      </w:r>
    </w:p>
    <w:p>
      <w:pPr>
        <w:sectPr>
          <w:pgSz w:w="12240" w:h="15840" w:orient="portrait"/>
          <w:cols w:equalWidth="0" w:num="1">
            <w:col w:w="11160"/>
          </w:cols>
          <w:pgMar w:left="520" w:top="0" w:right="560" w:bottom="1440" w:gutter="0" w:footer="0" w:header="0"/>
        </w:sectPr>
      </w:pPr>
    </w:p>
    <w:bookmarkStart w:id="5" w:name="page6"/>
    <w:bookmarkEnd w:id="5"/>
    <w:p>
      <w:pPr>
        <w:jc w:val="both"/>
        <w:ind w:right="180"/>
        <w:spacing w:after="0" w:line="277" w:lineRule="auto"/>
        <w:rPr>
          <w:sz w:val="20"/>
          <w:szCs w:val="20"/>
          <w:color w:val="auto"/>
        </w:rPr>
      </w:pPr>
      <w:r>
        <w:rPr>
          <w:rFonts w:ascii="Arial" w:cs="Arial" w:eastAsia="Arial" w:hAnsi="Arial"/>
          <w:sz w:val="19"/>
          <w:szCs w:val="19"/>
          <w:color w:val="auto"/>
        </w:rPr>
        <w:t>In addition to the financial measures prepared in accordance with generally accepted accounting principles (GAAP), this press release contains certain non-GAAP financial measures, including non-GAAP operating and net income and non-GAAP diluted earnings per share. While non-GAAP financial measures are not superior to or a substitute for the comparable GAAP measures, ICON believes certain non-GAAP information is useful to investors for historical comparison purposes.</w:t>
      </w:r>
    </w:p>
    <w:p>
      <w:pPr>
        <w:spacing w:after="0" w:line="157" w:lineRule="exact"/>
        <w:rPr>
          <w:sz w:val="20"/>
          <w:szCs w:val="20"/>
          <w:color w:val="auto"/>
        </w:rPr>
      </w:pPr>
    </w:p>
    <w:p>
      <w:pPr>
        <w:spacing w:after="0" w:line="234" w:lineRule="auto"/>
        <w:rPr>
          <w:sz w:val="20"/>
          <w:szCs w:val="20"/>
          <w:color w:val="auto"/>
        </w:rPr>
      </w:pPr>
      <w:r>
        <w:rPr>
          <w:rFonts w:ascii="Arial" w:cs="Arial" w:eastAsia="Arial" w:hAnsi="Arial"/>
          <w:sz w:val="20"/>
          <w:szCs w:val="20"/>
          <w:color w:val="auto"/>
        </w:rPr>
        <w:t>ICON will hold its fourth quarter conference call tomorrow, February 21</w:t>
      </w:r>
      <w:r>
        <w:rPr>
          <w:rFonts w:ascii="Arial" w:cs="Arial" w:eastAsia="Arial" w:hAnsi="Arial"/>
          <w:sz w:val="33"/>
          <w:szCs w:val="33"/>
          <w:color w:val="auto"/>
          <w:vertAlign w:val="superscript"/>
        </w:rPr>
        <w:t>st</w:t>
      </w:r>
      <w:r>
        <w:rPr>
          <w:rFonts w:ascii="Arial" w:cs="Arial" w:eastAsia="Arial" w:hAnsi="Arial"/>
          <w:sz w:val="20"/>
          <w:szCs w:val="20"/>
          <w:color w:val="auto"/>
        </w:rPr>
        <w:t xml:space="preserve">, 2019 at 09:00 EST [14:00 Ireland &amp; UK]. This call and linked slide presentation can be accessed live from our website at </w:t>
      </w:r>
      <w:r>
        <w:rPr>
          <w:rFonts w:ascii="Arial" w:cs="Arial" w:eastAsia="Arial" w:hAnsi="Arial"/>
          <w:sz w:val="20"/>
          <w:szCs w:val="20"/>
          <w:u w:val="single" w:color="auto"/>
          <w:color w:val="auto"/>
        </w:rPr>
        <w:t>http://investor.iconplc.com</w:t>
      </w:r>
      <w:r>
        <w:rPr>
          <w:rFonts w:ascii="Arial" w:cs="Arial" w:eastAsia="Arial" w:hAnsi="Arial"/>
          <w:sz w:val="20"/>
          <w:szCs w:val="20"/>
          <w:color w:val="auto"/>
        </w:rPr>
        <w:t>. A recording will also be available on the website for 90 days following the call. In addition, a calendar of company events, including upcoming conference presentations, is available on our website, under “Investors”. This calendar will be updated regularly.</w:t>
      </w:r>
    </w:p>
    <w:p>
      <w:pPr>
        <w:spacing w:after="0" w:line="184" w:lineRule="exact"/>
        <w:rPr>
          <w:sz w:val="20"/>
          <w:szCs w:val="20"/>
          <w:color w:val="auto"/>
        </w:rPr>
      </w:pPr>
    </w:p>
    <w:p>
      <w:pPr>
        <w:spacing w:after="0" w:line="269" w:lineRule="auto"/>
        <w:rPr>
          <w:sz w:val="20"/>
          <w:szCs w:val="20"/>
          <w:color w:val="auto"/>
        </w:rPr>
      </w:pPr>
      <w:r>
        <w:rPr>
          <w:rFonts w:ascii="Arial" w:cs="Arial" w:eastAsia="Arial" w:hAnsi="Arial"/>
          <w:sz w:val="19"/>
          <w:szCs w:val="19"/>
          <w:color w:val="auto"/>
        </w:rPr>
        <w:t xml:space="preserve">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w:t>
      </w:r>
      <w:r>
        <w:rPr>
          <w:rFonts w:ascii="Arial" w:cs="Arial" w:eastAsia="Arial" w:hAnsi="Arial"/>
          <w:sz w:val="19"/>
          <w:szCs w:val="19"/>
          <w:u w:val="single" w:color="auto"/>
          <w:color w:val="auto"/>
        </w:rPr>
        <w:t>http://www.sec.gov</w:t>
      </w:r>
      <w:r>
        <w:rPr>
          <w:rFonts w:ascii="Arial" w:cs="Arial" w:eastAsia="Arial" w:hAnsi="Arial"/>
          <w:sz w:val="19"/>
          <w:szCs w:val="19"/>
          <w:color w:val="auto"/>
        </w:rPr>
        <w:t>.</w:t>
      </w:r>
    </w:p>
    <w:p>
      <w:pPr>
        <w:spacing w:after="0" w:line="167" w:lineRule="exact"/>
        <w:rPr>
          <w:sz w:val="20"/>
          <w:szCs w:val="20"/>
          <w:color w:val="auto"/>
        </w:rPr>
      </w:pPr>
    </w:p>
    <w:p>
      <w:pPr>
        <w:jc w:val="both"/>
        <w:ind w:right="480"/>
        <w:spacing w:after="0" w:line="247" w:lineRule="auto"/>
        <w:rPr>
          <w:sz w:val="20"/>
          <w:szCs w:val="20"/>
          <w:color w:val="auto"/>
        </w:rPr>
      </w:pPr>
      <w:r>
        <w:rPr>
          <w:rFonts w:ascii="Arial" w:cs="Arial" w:eastAsia="Arial" w:hAnsi="Arial"/>
          <w:sz w:val="21"/>
          <w:szCs w:val="21"/>
          <w:color w:val="auto"/>
        </w:rPr>
        <w:t xml:space="preserve">ICON plc is a global provider of drug development solutions and services to the pharmaceutical, biotechnology and medical device industries. The company specialises in the strategic development, management and analysis of programs that support clinical development - from compound selection to Phase I-IV clinical studies. With headquarters in Dublin, Ireland, ICON employed approximately 13,670 employees in 89 locations in 37 countries as at December 31, 2018. Further information is available at </w:t>
      </w:r>
      <w:r>
        <w:rPr>
          <w:rFonts w:ascii="Arial" w:cs="Arial" w:eastAsia="Arial" w:hAnsi="Arial"/>
          <w:sz w:val="21"/>
          <w:szCs w:val="21"/>
          <w:u w:val="single" w:color="auto"/>
          <w:color w:val="auto"/>
        </w:rPr>
        <w:t>www.iconplc.com</w:t>
      </w:r>
      <w:r>
        <w:rPr>
          <w:rFonts w:ascii="Arial" w:cs="Arial" w:eastAsia="Arial" w:hAnsi="Arial"/>
          <w:sz w:val="21"/>
          <w:szCs w:val="2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114935</wp:posOffset>
            </wp:positionV>
            <wp:extent cx="7086600" cy="596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086600" cy="59690"/>
                    </a:xfrm>
                    <a:prstGeom prst="rect">
                      <a:avLst/>
                    </a:prstGeom>
                    <a:noFill/>
                  </pic:spPr>
                </pic:pic>
              </a:graphicData>
            </a:graphic>
          </wp:anchor>
        </w:drawing>
      </w:r>
    </w:p>
    <w:p>
      <w:pPr>
        <w:sectPr>
          <w:pgSz w:w="12240" w:h="15840" w:orient="portrait"/>
          <w:cols w:equalWidth="0" w:num="1">
            <w:col w:w="11160"/>
          </w:cols>
          <w:pgMar w:left="520" w:top="0" w:right="560"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21"/>
          <w:szCs w:val="21"/>
          <w:b w:val="1"/>
          <w:bCs w:val="1"/>
          <w:color w:val="auto"/>
        </w:rPr>
        <w:t>ICON plc</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Condensed Consolidated Statements of Operations</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(Before restructuring and other items)</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Three and Twelve Months ended December 31, 2018 and December 31, 2017</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(Dollars, in thousands, except share and per share data)</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(Unaudited)</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60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400" w:type="dxa"/>
            <w:vAlign w:val="bottom"/>
          </w:tcPr>
          <w:p>
            <w:pPr>
              <w:ind w:left="80"/>
              <w:spacing w:after="0"/>
              <w:rPr>
                <w:sz w:val="20"/>
                <w:szCs w:val="20"/>
                <w:color w:val="auto"/>
              </w:rPr>
            </w:pPr>
            <w:r>
              <w:rPr>
                <w:rFonts w:ascii="Arial" w:cs="Arial" w:eastAsia="Arial" w:hAnsi="Arial"/>
                <w:sz w:val="14"/>
                <w:szCs w:val="14"/>
                <w:b w:val="1"/>
                <w:bCs w:val="1"/>
                <w:color w:val="auto"/>
                <w:w w:val="93"/>
              </w:rPr>
              <w:t>Three Months Ended</w:t>
            </w: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480" w:type="dxa"/>
            <w:vAlign w:val="bottom"/>
            <w:gridSpan w:val="3"/>
          </w:tcPr>
          <w:p>
            <w:pPr>
              <w:ind w:left="120"/>
              <w:spacing w:after="0"/>
              <w:rPr>
                <w:sz w:val="20"/>
                <w:szCs w:val="20"/>
                <w:color w:val="auto"/>
              </w:rPr>
            </w:pPr>
            <w:r>
              <w:rPr>
                <w:rFonts w:ascii="Arial" w:cs="Arial" w:eastAsia="Arial" w:hAnsi="Arial"/>
                <w:sz w:val="14"/>
                <w:szCs w:val="14"/>
                <w:b w:val="1"/>
                <w:bCs w:val="1"/>
                <w:color w:val="auto"/>
                <w:w w:val="91"/>
              </w:rPr>
              <w:t>Twelve Months Ended</w:t>
            </w:r>
          </w:p>
        </w:tc>
        <w:tc>
          <w:tcPr>
            <w:tcW w:w="100" w:type="dxa"/>
            <w:vAlign w:val="bottom"/>
          </w:tcPr>
          <w:p>
            <w:pPr>
              <w:spacing w:after="0"/>
              <w:rPr>
                <w:sz w:val="15"/>
                <w:szCs w:val="15"/>
                <w:color w:val="auto"/>
              </w:rPr>
            </w:pPr>
          </w:p>
        </w:tc>
      </w:tr>
      <w:tr>
        <w:trPr>
          <w:trHeight w:val="184"/>
        </w:trPr>
        <w:tc>
          <w:tcPr>
            <w:tcW w:w="6060" w:type="dxa"/>
            <w:vAlign w:val="bottom"/>
          </w:tcPr>
          <w:p>
            <w:pPr>
              <w:spacing w:after="0"/>
              <w:rPr>
                <w:sz w:val="15"/>
                <w:szCs w:val="15"/>
                <w:color w:val="auto"/>
              </w:rPr>
            </w:pPr>
          </w:p>
        </w:tc>
        <w:tc>
          <w:tcPr>
            <w:tcW w:w="98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December</w:t>
            </w:r>
          </w:p>
        </w:tc>
        <w:tc>
          <w:tcPr>
            <w:tcW w:w="1400" w:type="dxa"/>
            <w:vAlign w:val="bottom"/>
            <w:tcBorders>
              <w:bottom w:val="single" w:sz="8" w:color="auto"/>
            </w:tcBorders>
          </w:tcPr>
          <w:p>
            <w:pPr>
              <w:ind w:left="520"/>
              <w:spacing w:after="0"/>
              <w:rPr>
                <w:sz w:val="20"/>
                <w:szCs w:val="20"/>
                <w:color w:val="auto"/>
              </w:rPr>
            </w:pPr>
            <w:r>
              <w:rPr>
                <w:rFonts w:ascii="Arial" w:cs="Arial" w:eastAsia="Arial" w:hAnsi="Arial"/>
                <w:sz w:val="14"/>
                <w:szCs w:val="14"/>
                <w:b w:val="1"/>
                <w:bCs w:val="1"/>
                <w:color w:val="auto"/>
              </w:rPr>
              <w:t>December</w:t>
            </w: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ind w:left="280"/>
              <w:spacing w:after="0"/>
              <w:rPr>
                <w:sz w:val="20"/>
                <w:szCs w:val="20"/>
                <w:color w:val="auto"/>
              </w:rPr>
            </w:pPr>
            <w:r>
              <w:rPr>
                <w:rFonts w:ascii="Arial" w:cs="Arial" w:eastAsia="Arial" w:hAnsi="Arial"/>
                <w:sz w:val="14"/>
                <w:szCs w:val="14"/>
                <w:b w:val="1"/>
                <w:bCs w:val="1"/>
                <w:color w:val="auto"/>
              </w:rPr>
              <w:t>December</w:t>
            </w:r>
          </w:p>
        </w:tc>
        <w:tc>
          <w:tcPr>
            <w:tcW w:w="16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ind w:left="280"/>
              <w:spacing w:after="0"/>
              <w:rPr>
                <w:sz w:val="20"/>
                <w:szCs w:val="20"/>
                <w:color w:val="auto"/>
              </w:rPr>
            </w:pPr>
            <w:r>
              <w:rPr>
                <w:rFonts w:ascii="Arial" w:cs="Arial" w:eastAsia="Arial" w:hAnsi="Arial"/>
                <w:sz w:val="14"/>
                <w:szCs w:val="14"/>
                <w:b w:val="1"/>
                <w:bCs w:val="1"/>
                <w:color w:val="auto"/>
              </w:rPr>
              <w:t>December</w:t>
            </w:r>
          </w:p>
        </w:tc>
        <w:tc>
          <w:tcPr>
            <w:tcW w:w="100" w:type="dxa"/>
            <w:vAlign w:val="bottom"/>
          </w:tcPr>
          <w:p>
            <w:pPr>
              <w:spacing w:after="0"/>
              <w:rPr>
                <w:sz w:val="15"/>
                <w:szCs w:val="15"/>
                <w:color w:val="auto"/>
              </w:rPr>
            </w:pPr>
          </w:p>
        </w:tc>
      </w:tr>
      <w:tr>
        <w:trPr>
          <w:trHeight w:val="168"/>
        </w:trPr>
        <w:tc>
          <w:tcPr>
            <w:tcW w:w="6060" w:type="dxa"/>
            <w:vAlign w:val="bottom"/>
          </w:tcPr>
          <w:p>
            <w:pPr>
              <w:spacing w:after="0"/>
              <w:rPr>
                <w:sz w:val="14"/>
                <w:szCs w:val="14"/>
                <w:color w:val="auto"/>
              </w:rPr>
            </w:pPr>
          </w:p>
        </w:tc>
        <w:tc>
          <w:tcPr>
            <w:tcW w:w="980" w:type="dxa"/>
            <w:vAlign w:val="bottom"/>
            <w:tcBorders>
              <w:bottom w:val="single" w:sz="8" w:color="auto"/>
            </w:tcBorders>
          </w:tcPr>
          <w:p>
            <w:pPr>
              <w:jc w:val="center"/>
              <w:ind w:left="89"/>
              <w:spacing w:after="0"/>
              <w:rPr>
                <w:sz w:val="20"/>
                <w:szCs w:val="20"/>
                <w:color w:val="auto"/>
              </w:rPr>
            </w:pPr>
            <w:r>
              <w:rPr>
                <w:rFonts w:ascii="Arial" w:cs="Arial" w:eastAsia="Arial" w:hAnsi="Arial"/>
                <w:sz w:val="14"/>
                <w:szCs w:val="14"/>
                <w:b w:val="1"/>
                <w:bCs w:val="1"/>
                <w:color w:val="auto"/>
                <w:w w:val="91"/>
              </w:rPr>
              <w:t>31, 2018</w:t>
            </w:r>
          </w:p>
        </w:tc>
        <w:tc>
          <w:tcPr>
            <w:tcW w:w="1400" w:type="dxa"/>
            <w:vAlign w:val="bottom"/>
            <w:tcBorders>
              <w:bottom w:val="single" w:sz="8" w:color="auto"/>
            </w:tcBorders>
          </w:tcPr>
          <w:p>
            <w:pPr>
              <w:jc w:val="center"/>
              <w:ind w:left="189"/>
              <w:spacing w:after="0"/>
              <w:rPr>
                <w:sz w:val="20"/>
                <w:szCs w:val="20"/>
                <w:color w:val="auto"/>
              </w:rPr>
            </w:pPr>
            <w:r>
              <w:rPr>
                <w:rFonts w:ascii="Arial" w:cs="Arial" w:eastAsia="Arial" w:hAnsi="Arial"/>
                <w:sz w:val="14"/>
                <w:szCs w:val="14"/>
                <w:b w:val="1"/>
                <w:bCs w:val="1"/>
                <w:color w:val="auto"/>
                <w:w w:val="91"/>
              </w:rPr>
              <w:t>31, 2017</w:t>
            </w:r>
          </w:p>
        </w:tc>
        <w:tc>
          <w:tcPr>
            <w:tcW w:w="1140" w:type="dxa"/>
            <w:vAlign w:val="bottom"/>
            <w:tcBorders>
              <w:bottom w:val="single" w:sz="8" w:color="auto"/>
            </w:tcBorders>
            <w:gridSpan w:val="2"/>
          </w:tcPr>
          <w:p>
            <w:pPr>
              <w:jc w:val="center"/>
              <w:ind w:left="209"/>
              <w:spacing w:after="0"/>
              <w:rPr>
                <w:sz w:val="20"/>
                <w:szCs w:val="20"/>
                <w:color w:val="auto"/>
              </w:rPr>
            </w:pPr>
            <w:r>
              <w:rPr>
                <w:rFonts w:ascii="Arial" w:cs="Arial" w:eastAsia="Arial" w:hAnsi="Arial"/>
                <w:sz w:val="14"/>
                <w:szCs w:val="14"/>
                <w:b w:val="1"/>
                <w:bCs w:val="1"/>
                <w:color w:val="auto"/>
                <w:w w:val="91"/>
              </w:rPr>
              <w:t>31, 2018</w:t>
            </w:r>
          </w:p>
        </w:tc>
        <w:tc>
          <w:tcPr>
            <w:tcW w:w="1480" w:type="dxa"/>
            <w:vAlign w:val="bottom"/>
            <w:tcBorders>
              <w:bottom w:val="single" w:sz="8" w:color="auto"/>
            </w:tcBorders>
            <w:gridSpan w:val="3"/>
          </w:tcPr>
          <w:p>
            <w:pPr>
              <w:jc w:val="center"/>
              <w:ind w:left="229"/>
              <w:spacing w:after="0"/>
              <w:rPr>
                <w:sz w:val="20"/>
                <w:szCs w:val="20"/>
                <w:color w:val="auto"/>
              </w:rPr>
            </w:pPr>
            <w:r>
              <w:rPr>
                <w:rFonts w:ascii="Arial" w:cs="Arial" w:eastAsia="Arial" w:hAnsi="Arial"/>
                <w:sz w:val="14"/>
                <w:szCs w:val="14"/>
                <w:b w:val="1"/>
                <w:bCs w:val="1"/>
                <w:color w:val="auto"/>
                <w:w w:val="91"/>
              </w:rPr>
              <w:t>31, 2017</w:t>
            </w:r>
          </w:p>
        </w:tc>
        <w:tc>
          <w:tcPr>
            <w:tcW w:w="100" w:type="dxa"/>
            <w:vAlign w:val="bottom"/>
          </w:tcPr>
          <w:p>
            <w:pPr>
              <w:spacing w:after="0"/>
              <w:rPr>
                <w:sz w:val="14"/>
                <w:szCs w:val="14"/>
                <w:color w:val="auto"/>
              </w:rPr>
            </w:pPr>
          </w:p>
        </w:tc>
      </w:tr>
      <w:tr>
        <w:trPr>
          <w:trHeight w:val="163"/>
        </w:trPr>
        <w:tc>
          <w:tcPr>
            <w:tcW w:w="6060" w:type="dxa"/>
            <w:vAlign w:val="bottom"/>
          </w:tcPr>
          <w:p>
            <w:pPr>
              <w:spacing w:after="0"/>
              <w:rPr>
                <w:sz w:val="20"/>
                <w:szCs w:val="20"/>
                <w:color w:val="auto"/>
              </w:rPr>
            </w:pPr>
            <w:r>
              <w:rPr>
                <w:rFonts w:ascii="Arial" w:cs="Arial" w:eastAsia="Arial" w:hAnsi="Arial"/>
                <w:sz w:val="14"/>
                <w:szCs w:val="14"/>
                <w:b w:val="1"/>
                <w:bCs w:val="1"/>
                <w:color w:val="auto"/>
              </w:rPr>
              <w:t>Revenue:</w:t>
            </w:r>
          </w:p>
        </w:tc>
        <w:tc>
          <w:tcPr>
            <w:tcW w:w="9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74"/>
        </w:trPr>
        <w:tc>
          <w:tcPr>
            <w:tcW w:w="6060" w:type="dxa"/>
            <w:vAlign w:val="bottom"/>
          </w:tcPr>
          <w:p>
            <w:pPr>
              <w:ind w:left="460"/>
              <w:spacing w:after="0"/>
              <w:rPr>
                <w:sz w:val="20"/>
                <w:szCs w:val="20"/>
                <w:color w:val="auto"/>
              </w:rPr>
            </w:pPr>
            <w:r>
              <w:rPr>
                <w:rFonts w:ascii="Arial" w:cs="Arial" w:eastAsia="Arial" w:hAnsi="Arial"/>
                <w:sz w:val="14"/>
                <w:szCs w:val="14"/>
                <w:color w:val="auto"/>
              </w:rPr>
              <w:t>Revenue</w:t>
            </w:r>
          </w:p>
        </w:tc>
        <w:tc>
          <w:tcPr>
            <w:tcW w:w="980" w:type="dxa"/>
            <w:vAlign w:val="bottom"/>
          </w:tcPr>
          <w:p>
            <w:pPr>
              <w:jc w:val="center"/>
              <w:ind w:left="89"/>
              <w:spacing w:after="0"/>
              <w:rPr>
                <w:sz w:val="20"/>
                <w:szCs w:val="20"/>
                <w:color w:val="auto"/>
              </w:rPr>
            </w:pPr>
            <w:r>
              <w:rPr>
                <w:rFonts w:ascii="Arial" w:cs="Arial" w:eastAsia="Arial" w:hAnsi="Arial"/>
                <w:sz w:val="14"/>
                <w:szCs w:val="14"/>
                <w:color w:val="auto"/>
                <w:w w:val="90"/>
              </w:rPr>
              <w:t>679,025</w:t>
            </w:r>
          </w:p>
        </w:tc>
        <w:tc>
          <w:tcPr>
            <w:tcW w:w="1400" w:type="dxa"/>
            <w:vAlign w:val="bottom"/>
          </w:tcPr>
          <w:p>
            <w:pPr>
              <w:jc w:val="center"/>
              <w:ind w:left="189"/>
              <w:spacing w:after="0"/>
              <w:rPr>
                <w:sz w:val="20"/>
                <w:szCs w:val="20"/>
                <w:color w:val="auto"/>
              </w:rPr>
            </w:pPr>
            <w:r>
              <w:rPr>
                <w:rFonts w:ascii="Arial" w:cs="Arial" w:eastAsia="Arial" w:hAnsi="Arial"/>
                <w:sz w:val="14"/>
                <w:szCs w:val="14"/>
                <w:color w:val="auto"/>
                <w:w w:val="90"/>
              </w:rPr>
              <w:t>636,305</w:t>
            </w:r>
          </w:p>
        </w:tc>
        <w:tc>
          <w:tcPr>
            <w:tcW w:w="1140" w:type="dxa"/>
            <w:vAlign w:val="bottom"/>
            <w:gridSpan w:val="2"/>
          </w:tcPr>
          <w:p>
            <w:pPr>
              <w:jc w:val="center"/>
              <w:ind w:left="189"/>
              <w:spacing w:after="0"/>
              <w:rPr>
                <w:sz w:val="20"/>
                <w:szCs w:val="20"/>
                <w:color w:val="auto"/>
              </w:rPr>
            </w:pPr>
            <w:r>
              <w:rPr>
                <w:rFonts w:ascii="Arial" w:cs="Arial" w:eastAsia="Arial" w:hAnsi="Arial"/>
                <w:sz w:val="14"/>
                <w:szCs w:val="14"/>
                <w:color w:val="auto"/>
                <w:w w:val="89"/>
              </w:rPr>
              <w:t>2,595,777</w:t>
            </w:r>
          </w:p>
        </w:tc>
        <w:tc>
          <w:tcPr>
            <w:tcW w:w="1480" w:type="dxa"/>
            <w:vAlign w:val="bottom"/>
            <w:gridSpan w:val="3"/>
          </w:tcPr>
          <w:p>
            <w:pPr>
              <w:jc w:val="center"/>
              <w:ind w:left="209"/>
              <w:spacing w:after="0"/>
              <w:rPr>
                <w:sz w:val="20"/>
                <w:szCs w:val="20"/>
                <w:color w:val="auto"/>
              </w:rPr>
            </w:pPr>
            <w:r>
              <w:rPr>
                <w:rFonts w:ascii="Arial" w:cs="Arial" w:eastAsia="Arial" w:hAnsi="Arial"/>
                <w:sz w:val="14"/>
                <w:szCs w:val="14"/>
                <w:color w:val="auto"/>
                <w:w w:val="89"/>
              </w:rPr>
              <w:t>2,402,321</w:t>
            </w:r>
          </w:p>
        </w:tc>
        <w:tc>
          <w:tcPr>
            <w:tcW w:w="100" w:type="dxa"/>
            <w:vAlign w:val="bottom"/>
          </w:tcPr>
          <w:p>
            <w:pPr>
              <w:spacing w:after="0"/>
              <w:rPr>
                <w:sz w:val="15"/>
                <w:szCs w:val="15"/>
                <w:color w:val="auto"/>
              </w:rPr>
            </w:pPr>
          </w:p>
        </w:tc>
      </w:tr>
      <w:tr>
        <w:trPr>
          <w:trHeight w:val="180"/>
        </w:trPr>
        <w:tc>
          <w:tcPr>
            <w:tcW w:w="6060" w:type="dxa"/>
            <w:vAlign w:val="bottom"/>
            <w:tcBorders>
              <w:bottom w:val="single" w:sz="8" w:color="auto"/>
            </w:tcBorders>
          </w:tcPr>
          <w:p>
            <w:pPr>
              <w:ind w:left="460"/>
              <w:spacing w:after="0"/>
              <w:rPr>
                <w:sz w:val="20"/>
                <w:szCs w:val="20"/>
                <w:color w:val="auto"/>
              </w:rPr>
            </w:pPr>
            <w:r>
              <w:rPr>
                <w:rFonts w:ascii="Arial" w:cs="Arial" w:eastAsia="Arial" w:hAnsi="Arial"/>
                <w:sz w:val="14"/>
                <w:szCs w:val="14"/>
                <w:color w:val="auto"/>
              </w:rPr>
              <w:t>Reimbursable expenses</w:t>
            </w:r>
          </w:p>
        </w:tc>
        <w:tc>
          <w:tcPr>
            <w:tcW w:w="98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tcPr>
          <w:p>
            <w:pPr>
              <w:jc w:val="center"/>
              <w:ind w:left="169"/>
              <w:spacing w:after="0"/>
              <w:rPr>
                <w:sz w:val="20"/>
                <w:szCs w:val="20"/>
                <w:color w:val="auto"/>
              </w:rPr>
            </w:pPr>
            <w:r>
              <w:rPr>
                <w:rFonts w:ascii="Arial" w:cs="Arial" w:eastAsia="Arial" w:hAnsi="Arial"/>
                <w:sz w:val="14"/>
                <w:szCs w:val="14"/>
                <w:color w:val="auto"/>
                <w:w w:val="93"/>
              </w:rPr>
              <w:t>(181,166)</w:t>
            </w: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1480" w:type="dxa"/>
            <w:vAlign w:val="bottom"/>
            <w:tcBorders>
              <w:bottom w:val="single" w:sz="8" w:color="auto"/>
            </w:tcBorders>
            <w:gridSpan w:val="3"/>
          </w:tcPr>
          <w:p>
            <w:pPr>
              <w:jc w:val="center"/>
              <w:ind w:left="209"/>
              <w:spacing w:after="0"/>
              <w:rPr>
                <w:sz w:val="20"/>
                <w:szCs w:val="20"/>
                <w:color w:val="auto"/>
              </w:rPr>
            </w:pPr>
            <w:r>
              <w:rPr>
                <w:rFonts w:ascii="Arial" w:cs="Arial" w:eastAsia="Arial" w:hAnsi="Arial"/>
                <w:sz w:val="14"/>
                <w:szCs w:val="14"/>
                <w:color w:val="auto"/>
                <w:w w:val="93"/>
              </w:rPr>
              <w:t>(643,882)</w:t>
            </w:r>
          </w:p>
        </w:tc>
        <w:tc>
          <w:tcPr>
            <w:tcW w:w="100" w:type="dxa"/>
            <w:vAlign w:val="bottom"/>
          </w:tcPr>
          <w:p>
            <w:pPr>
              <w:spacing w:after="0"/>
              <w:rPr>
                <w:sz w:val="15"/>
                <w:szCs w:val="15"/>
                <w:color w:val="auto"/>
              </w:rPr>
            </w:pPr>
          </w:p>
        </w:tc>
      </w:tr>
      <w:tr>
        <w:trPr>
          <w:trHeight w:val="344"/>
        </w:trPr>
        <w:tc>
          <w:tcPr>
            <w:tcW w:w="60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400" w:type="dxa"/>
            <w:vAlign w:val="bottom"/>
          </w:tcPr>
          <w:p>
            <w:pPr>
              <w:jc w:val="center"/>
              <w:ind w:left="189"/>
              <w:spacing w:after="0"/>
              <w:rPr>
                <w:sz w:val="20"/>
                <w:szCs w:val="20"/>
                <w:color w:val="auto"/>
              </w:rPr>
            </w:pPr>
            <w:r>
              <w:rPr>
                <w:rFonts w:ascii="Arial" w:cs="Arial" w:eastAsia="Arial" w:hAnsi="Arial"/>
                <w:sz w:val="14"/>
                <w:szCs w:val="14"/>
                <w:color w:val="auto"/>
                <w:w w:val="90"/>
              </w:rPr>
              <w:t>455,139</w:t>
            </w: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80" w:type="dxa"/>
            <w:vAlign w:val="bottom"/>
            <w:gridSpan w:val="3"/>
          </w:tcPr>
          <w:p>
            <w:pPr>
              <w:jc w:val="center"/>
              <w:ind w:left="209"/>
              <w:spacing w:after="0"/>
              <w:rPr>
                <w:sz w:val="20"/>
                <w:szCs w:val="20"/>
                <w:color w:val="auto"/>
              </w:rPr>
            </w:pPr>
            <w:r>
              <w:rPr>
                <w:rFonts w:ascii="Arial" w:cs="Arial" w:eastAsia="Arial" w:hAnsi="Arial"/>
                <w:sz w:val="14"/>
                <w:szCs w:val="14"/>
                <w:color w:val="auto"/>
                <w:w w:val="89"/>
              </w:rPr>
              <w:t>1,758,439</w:t>
            </w:r>
          </w:p>
        </w:tc>
        <w:tc>
          <w:tcPr>
            <w:tcW w:w="100" w:type="dxa"/>
            <w:vAlign w:val="bottom"/>
          </w:tcPr>
          <w:p>
            <w:pPr>
              <w:spacing w:after="0"/>
              <w:rPr>
                <w:sz w:val="24"/>
                <w:szCs w:val="24"/>
                <w:color w:val="auto"/>
              </w:rPr>
            </w:pPr>
          </w:p>
        </w:tc>
      </w:tr>
      <w:tr>
        <w:trPr>
          <w:trHeight w:val="342"/>
        </w:trPr>
        <w:tc>
          <w:tcPr>
            <w:tcW w:w="6060" w:type="dxa"/>
            <w:vAlign w:val="bottom"/>
          </w:tcPr>
          <w:p>
            <w:pPr>
              <w:spacing w:after="0"/>
              <w:rPr>
                <w:sz w:val="20"/>
                <w:szCs w:val="20"/>
                <w:color w:val="auto"/>
              </w:rPr>
            </w:pPr>
            <w:r>
              <w:rPr>
                <w:rFonts w:ascii="Arial" w:cs="Arial" w:eastAsia="Arial" w:hAnsi="Arial"/>
                <w:sz w:val="14"/>
                <w:szCs w:val="14"/>
                <w:b w:val="1"/>
                <w:bCs w:val="1"/>
                <w:color w:val="auto"/>
              </w:rPr>
              <w:t>Costs and expenses:</w:t>
            </w:r>
          </w:p>
        </w:tc>
        <w:tc>
          <w:tcPr>
            <w:tcW w:w="9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74"/>
        </w:trPr>
        <w:tc>
          <w:tcPr>
            <w:tcW w:w="6060" w:type="dxa"/>
            <w:vAlign w:val="bottom"/>
          </w:tcPr>
          <w:p>
            <w:pPr>
              <w:spacing w:after="0"/>
              <w:rPr>
                <w:sz w:val="20"/>
                <w:szCs w:val="20"/>
                <w:color w:val="auto"/>
              </w:rPr>
            </w:pPr>
            <w:r>
              <w:rPr>
                <w:rFonts w:ascii="Arial" w:cs="Arial" w:eastAsia="Arial" w:hAnsi="Arial"/>
                <w:sz w:val="14"/>
                <w:szCs w:val="14"/>
                <w:color w:val="auto"/>
              </w:rPr>
              <w:t>Direct costs</w:t>
            </w:r>
          </w:p>
        </w:tc>
        <w:tc>
          <w:tcPr>
            <w:tcW w:w="980" w:type="dxa"/>
            <w:vAlign w:val="bottom"/>
          </w:tcPr>
          <w:p>
            <w:pPr>
              <w:jc w:val="center"/>
              <w:ind w:left="69"/>
              <w:spacing w:after="0"/>
              <w:rPr>
                <w:sz w:val="20"/>
                <w:szCs w:val="20"/>
                <w:color w:val="auto"/>
              </w:rPr>
            </w:pPr>
            <w:r>
              <w:rPr>
                <w:rFonts w:ascii="Arial" w:cs="Arial" w:eastAsia="Arial" w:hAnsi="Arial"/>
                <w:sz w:val="14"/>
                <w:szCs w:val="14"/>
                <w:color w:val="auto"/>
                <w:w w:val="93"/>
              </w:rPr>
              <w:t>(479,206)</w:t>
            </w:r>
          </w:p>
        </w:tc>
        <w:tc>
          <w:tcPr>
            <w:tcW w:w="1400" w:type="dxa"/>
            <w:vAlign w:val="bottom"/>
          </w:tcPr>
          <w:p>
            <w:pPr>
              <w:jc w:val="center"/>
              <w:ind w:left="169"/>
              <w:spacing w:after="0"/>
              <w:rPr>
                <w:sz w:val="20"/>
                <w:szCs w:val="20"/>
                <w:color w:val="auto"/>
              </w:rPr>
            </w:pPr>
            <w:r>
              <w:rPr>
                <w:rFonts w:ascii="Arial" w:cs="Arial" w:eastAsia="Arial" w:hAnsi="Arial"/>
                <w:sz w:val="14"/>
                <w:szCs w:val="14"/>
                <w:color w:val="auto"/>
                <w:w w:val="93"/>
              </w:rPr>
              <w:t>(267,135)</w:t>
            </w:r>
          </w:p>
        </w:tc>
        <w:tc>
          <w:tcPr>
            <w:tcW w:w="1140" w:type="dxa"/>
            <w:vAlign w:val="bottom"/>
            <w:gridSpan w:val="2"/>
          </w:tcPr>
          <w:p>
            <w:pPr>
              <w:jc w:val="center"/>
              <w:ind w:left="189"/>
              <w:spacing w:after="0"/>
              <w:rPr>
                <w:sz w:val="20"/>
                <w:szCs w:val="20"/>
                <w:color w:val="auto"/>
              </w:rPr>
            </w:pPr>
            <w:r>
              <w:rPr>
                <w:rFonts w:ascii="Arial" w:cs="Arial" w:eastAsia="Arial" w:hAnsi="Arial"/>
                <w:sz w:val="14"/>
                <w:szCs w:val="14"/>
                <w:color w:val="auto"/>
                <w:w w:val="94"/>
              </w:rPr>
              <w:t>(1,818,220)</w:t>
            </w:r>
          </w:p>
        </w:tc>
        <w:tc>
          <w:tcPr>
            <w:tcW w:w="1480" w:type="dxa"/>
            <w:vAlign w:val="bottom"/>
            <w:gridSpan w:val="3"/>
          </w:tcPr>
          <w:p>
            <w:pPr>
              <w:jc w:val="center"/>
              <w:ind w:left="209"/>
              <w:spacing w:after="0"/>
              <w:rPr>
                <w:sz w:val="20"/>
                <w:szCs w:val="20"/>
                <w:color w:val="auto"/>
              </w:rPr>
            </w:pPr>
            <w:r>
              <w:rPr>
                <w:rFonts w:ascii="Arial" w:cs="Arial" w:eastAsia="Arial" w:hAnsi="Arial"/>
                <w:sz w:val="14"/>
                <w:szCs w:val="14"/>
                <w:color w:val="auto"/>
                <w:w w:val="94"/>
              </w:rPr>
              <w:t>(1,027,310)</w:t>
            </w:r>
          </w:p>
        </w:tc>
        <w:tc>
          <w:tcPr>
            <w:tcW w:w="100" w:type="dxa"/>
            <w:vAlign w:val="bottom"/>
          </w:tcPr>
          <w:p>
            <w:pPr>
              <w:spacing w:after="0"/>
              <w:rPr>
                <w:sz w:val="15"/>
                <w:szCs w:val="15"/>
                <w:color w:val="auto"/>
              </w:rPr>
            </w:pPr>
          </w:p>
        </w:tc>
      </w:tr>
      <w:tr>
        <w:trPr>
          <w:trHeight w:val="174"/>
        </w:trPr>
        <w:tc>
          <w:tcPr>
            <w:tcW w:w="6060" w:type="dxa"/>
            <w:vAlign w:val="bottom"/>
          </w:tcPr>
          <w:p>
            <w:pPr>
              <w:spacing w:after="0"/>
              <w:rPr>
                <w:sz w:val="20"/>
                <w:szCs w:val="20"/>
                <w:color w:val="auto"/>
              </w:rPr>
            </w:pPr>
            <w:r>
              <w:rPr>
                <w:rFonts w:ascii="Arial" w:cs="Arial" w:eastAsia="Arial" w:hAnsi="Arial"/>
                <w:sz w:val="14"/>
                <w:szCs w:val="14"/>
                <w:color w:val="auto"/>
              </w:rPr>
              <w:t>Selling, general and administrative expense</w:t>
            </w:r>
          </w:p>
        </w:tc>
        <w:tc>
          <w:tcPr>
            <w:tcW w:w="980" w:type="dxa"/>
            <w:vAlign w:val="bottom"/>
          </w:tcPr>
          <w:p>
            <w:pPr>
              <w:jc w:val="center"/>
              <w:ind w:left="89"/>
              <w:spacing w:after="0"/>
              <w:rPr>
                <w:sz w:val="20"/>
                <w:szCs w:val="20"/>
                <w:color w:val="auto"/>
              </w:rPr>
            </w:pPr>
            <w:r>
              <w:rPr>
                <w:rFonts w:ascii="Arial" w:cs="Arial" w:eastAsia="Arial" w:hAnsi="Arial"/>
                <w:sz w:val="14"/>
                <w:szCs w:val="14"/>
                <w:color w:val="auto"/>
                <w:w w:val="95"/>
              </w:rPr>
              <w:t>(83,124)</w:t>
            </w:r>
          </w:p>
        </w:tc>
        <w:tc>
          <w:tcPr>
            <w:tcW w:w="1400" w:type="dxa"/>
            <w:vAlign w:val="bottom"/>
          </w:tcPr>
          <w:p>
            <w:pPr>
              <w:jc w:val="center"/>
              <w:ind w:left="189"/>
              <w:spacing w:after="0"/>
              <w:rPr>
                <w:sz w:val="20"/>
                <w:szCs w:val="20"/>
                <w:color w:val="auto"/>
              </w:rPr>
            </w:pPr>
            <w:r>
              <w:rPr>
                <w:rFonts w:ascii="Arial" w:cs="Arial" w:eastAsia="Arial" w:hAnsi="Arial"/>
                <w:sz w:val="14"/>
                <w:szCs w:val="14"/>
                <w:color w:val="auto"/>
                <w:w w:val="95"/>
              </w:rPr>
              <w:t>(82,086)</w:t>
            </w:r>
          </w:p>
        </w:tc>
        <w:tc>
          <w:tcPr>
            <w:tcW w:w="1140" w:type="dxa"/>
            <w:vAlign w:val="bottom"/>
            <w:gridSpan w:val="2"/>
          </w:tcPr>
          <w:p>
            <w:pPr>
              <w:jc w:val="center"/>
              <w:ind w:left="189"/>
              <w:spacing w:after="0"/>
              <w:rPr>
                <w:sz w:val="20"/>
                <w:szCs w:val="20"/>
                <w:color w:val="auto"/>
              </w:rPr>
            </w:pPr>
            <w:r>
              <w:rPr>
                <w:rFonts w:ascii="Arial" w:cs="Arial" w:eastAsia="Arial" w:hAnsi="Arial"/>
                <w:sz w:val="14"/>
                <w:szCs w:val="14"/>
                <w:color w:val="auto"/>
                <w:w w:val="93"/>
              </w:rPr>
              <w:t>(325,794)</w:t>
            </w:r>
          </w:p>
        </w:tc>
        <w:tc>
          <w:tcPr>
            <w:tcW w:w="1480" w:type="dxa"/>
            <w:vAlign w:val="bottom"/>
            <w:gridSpan w:val="3"/>
          </w:tcPr>
          <w:p>
            <w:pPr>
              <w:jc w:val="center"/>
              <w:ind w:left="209"/>
              <w:spacing w:after="0"/>
              <w:rPr>
                <w:sz w:val="20"/>
                <w:szCs w:val="20"/>
                <w:color w:val="auto"/>
              </w:rPr>
            </w:pPr>
            <w:r>
              <w:rPr>
                <w:rFonts w:ascii="Arial" w:cs="Arial" w:eastAsia="Arial" w:hAnsi="Arial"/>
                <w:sz w:val="14"/>
                <w:szCs w:val="14"/>
                <w:color w:val="auto"/>
                <w:w w:val="93"/>
              </w:rPr>
              <w:t>(323,741)</w:t>
            </w:r>
          </w:p>
        </w:tc>
        <w:tc>
          <w:tcPr>
            <w:tcW w:w="100" w:type="dxa"/>
            <w:vAlign w:val="bottom"/>
          </w:tcPr>
          <w:p>
            <w:pPr>
              <w:spacing w:after="0"/>
              <w:rPr>
                <w:sz w:val="15"/>
                <w:szCs w:val="15"/>
                <w:color w:val="auto"/>
              </w:rPr>
            </w:pPr>
          </w:p>
        </w:tc>
      </w:tr>
      <w:tr>
        <w:trPr>
          <w:trHeight w:val="180"/>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Depreciation and amortization</w:t>
            </w:r>
          </w:p>
        </w:tc>
        <w:tc>
          <w:tcPr>
            <w:tcW w:w="980" w:type="dxa"/>
            <w:vAlign w:val="bottom"/>
            <w:tcBorders>
              <w:bottom w:val="single" w:sz="8" w:color="auto"/>
            </w:tcBorders>
          </w:tcPr>
          <w:p>
            <w:pPr>
              <w:jc w:val="center"/>
              <w:ind w:left="89"/>
              <w:spacing w:after="0"/>
              <w:rPr>
                <w:sz w:val="20"/>
                <w:szCs w:val="20"/>
                <w:color w:val="auto"/>
              </w:rPr>
            </w:pPr>
            <w:r>
              <w:rPr>
                <w:rFonts w:ascii="Arial" w:cs="Arial" w:eastAsia="Arial" w:hAnsi="Arial"/>
                <w:sz w:val="14"/>
                <w:szCs w:val="14"/>
                <w:color w:val="auto"/>
                <w:w w:val="95"/>
              </w:rPr>
              <w:t>(14,910)</w:t>
            </w:r>
          </w:p>
        </w:tc>
        <w:tc>
          <w:tcPr>
            <w:tcW w:w="1400" w:type="dxa"/>
            <w:vAlign w:val="bottom"/>
            <w:tcBorders>
              <w:bottom w:val="single" w:sz="8" w:color="auto"/>
            </w:tcBorders>
          </w:tcPr>
          <w:p>
            <w:pPr>
              <w:jc w:val="center"/>
              <w:ind w:left="189"/>
              <w:spacing w:after="0"/>
              <w:rPr>
                <w:sz w:val="20"/>
                <w:szCs w:val="20"/>
                <w:color w:val="auto"/>
              </w:rPr>
            </w:pPr>
            <w:r>
              <w:rPr>
                <w:rFonts w:ascii="Arial" w:cs="Arial" w:eastAsia="Arial" w:hAnsi="Arial"/>
                <w:sz w:val="14"/>
                <w:szCs w:val="14"/>
                <w:color w:val="auto"/>
                <w:w w:val="95"/>
              </w:rPr>
              <w:t>(16,174)</w:t>
            </w:r>
          </w:p>
        </w:tc>
        <w:tc>
          <w:tcPr>
            <w:tcW w:w="1140" w:type="dxa"/>
            <w:vAlign w:val="bottom"/>
            <w:tcBorders>
              <w:bottom w:val="single" w:sz="8" w:color="auto"/>
            </w:tcBorders>
            <w:gridSpan w:val="2"/>
          </w:tcPr>
          <w:p>
            <w:pPr>
              <w:jc w:val="center"/>
              <w:ind w:left="189"/>
              <w:spacing w:after="0"/>
              <w:rPr>
                <w:sz w:val="20"/>
                <w:szCs w:val="20"/>
                <w:color w:val="auto"/>
              </w:rPr>
            </w:pPr>
            <w:r>
              <w:rPr>
                <w:rFonts w:ascii="Arial" w:cs="Arial" w:eastAsia="Arial" w:hAnsi="Arial"/>
                <w:sz w:val="14"/>
                <w:szCs w:val="14"/>
                <w:color w:val="auto"/>
                <w:w w:val="91"/>
              </w:rPr>
              <w:t>(65,916)</w:t>
            </w:r>
          </w:p>
        </w:tc>
        <w:tc>
          <w:tcPr>
            <w:tcW w:w="1480" w:type="dxa"/>
            <w:vAlign w:val="bottom"/>
            <w:tcBorders>
              <w:bottom w:val="single" w:sz="8" w:color="auto"/>
            </w:tcBorders>
            <w:gridSpan w:val="3"/>
          </w:tcPr>
          <w:p>
            <w:pPr>
              <w:jc w:val="center"/>
              <w:ind w:left="209"/>
              <w:spacing w:after="0"/>
              <w:rPr>
                <w:sz w:val="20"/>
                <w:szCs w:val="20"/>
                <w:color w:val="auto"/>
              </w:rPr>
            </w:pPr>
            <w:r>
              <w:rPr>
                <w:rFonts w:ascii="Arial" w:cs="Arial" w:eastAsia="Arial" w:hAnsi="Arial"/>
                <w:sz w:val="14"/>
                <w:szCs w:val="14"/>
                <w:color w:val="auto"/>
                <w:w w:val="91"/>
              </w:rPr>
              <w:t>(61,297)</w:t>
            </w:r>
          </w:p>
        </w:tc>
        <w:tc>
          <w:tcPr>
            <w:tcW w:w="100" w:type="dxa"/>
            <w:vAlign w:val="bottom"/>
          </w:tcPr>
          <w:p>
            <w:pPr>
              <w:spacing w:after="0"/>
              <w:rPr>
                <w:sz w:val="15"/>
                <w:szCs w:val="15"/>
                <w:color w:val="auto"/>
              </w:rPr>
            </w:pPr>
          </w:p>
        </w:tc>
      </w:tr>
      <w:tr>
        <w:trPr>
          <w:trHeight w:val="342"/>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Total costs and expenses</w:t>
            </w:r>
          </w:p>
        </w:tc>
        <w:tc>
          <w:tcPr>
            <w:tcW w:w="980" w:type="dxa"/>
            <w:vAlign w:val="bottom"/>
            <w:tcBorders>
              <w:bottom w:val="single" w:sz="8" w:color="auto"/>
            </w:tcBorders>
          </w:tcPr>
          <w:p>
            <w:pPr>
              <w:jc w:val="center"/>
              <w:ind w:left="69"/>
              <w:spacing w:after="0"/>
              <w:rPr>
                <w:sz w:val="20"/>
                <w:szCs w:val="20"/>
                <w:color w:val="auto"/>
              </w:rPr>
            </w:pPr>
            <w:r>
              <w:rPr>
                <w:rFonts w:ascii="Arial" w:cs="Arial" w:eastAsia="Arial" w:hAnsi="Arial"/>
                <w:sz w:val="14"/>
                <w:szCs w:val="14"/>
                <w:color w:val="auto"/>
                <w:w w:val="93"/>
              </w:rPr>
              <w:t>(577,240)</w:t>
            </w:r>
          </w:p>
        </w:tc>
        <w:tc>
          <w:tcPr>
            <w:tcW w:w="1400" w:type="dxa"/>
            <w:vAlign w:val="bottom"/>
            <w:tcBorders>
              <w:bottom w:val="single" w:sz="8" w:color="auto"/>
            </w:tcBorders>
          </w:tcPr>
          <w:p>
            <w:pPr>
              <w:jc w:val="center"/>
              <w:ind w:left="169"/>
              <w:spacing w:after="0"/>
              <w:rPr>
                <w:sz w:val="20"/>
                <w:szCs w:val="20"/>
                <w:color w:val="auto"/>
              </w:rPr>
            </w:pPr>
            <w:r>
              <w:rPr>
                <w:rFonts w:ascii="Arial" w:cs="Arial" w:eastAsia="Arial" w:hAnsi="Arial"/>
                <w:sz w:val="14"/>
                <w:szCs w:val="14"/>
                <w:color w:val="auto"/>
                <w:w w:val="93"/>
              </w:rPr>
              <w:t>(365,395)</w:t>
            </w:r>
          </w:p>
        </w:tc>
        <w:tc>
          <w:tcPr>
            <w:tcW w:w="1140" w:type="dxa"/>
            <w:vAlign w:val="bottom"/>
            <w:tcBorders>
              <w:bottom w:val="single" w:sz="8" w:color="auto"/>
            </w:tcBorders>
            <w:gridSpan w:val="2"/>
          </w:tcPr>
          <w:p>
            <w:pPr>
              <w:jc w:val="center"/>
              <w:ind w:left="189"/>
              <w:spacing w:after="0"/>
              <w:rPr>
                <w:sz w:val="20"/>
                <w:szCs w:val="20"/>
                <w:color w:val="auto"/>
              </w:rPr>
            </w:pPr>
            <w:r>
              <w:rPr>
                <w:rFonts w:ascii="Arial" w:cs="Arial" w:eastAsia="Arial" w:hAnsi="Arial"/>
                <w:sz w:val="14"/>
                <w:szCs w:val="14"/>
                <w:color w:val="auto"/>
                <w:w w:val="94"/>
              </w:rPr>
              <w:t>(2,209,930)</w:t>
            </w:r>
          </w:p>
        </w:tc>
        <w:tc>
          <w:tcPr>
            <w:tcW w:w="1480" w:type="dxa"/>
            <w:vAlign w:val="bottom"/>
            <w:tcBorders>
              <w:bottom w:val="single" w:sz="8" w:color="auto"/>
            </w:tcBorders>
            <w:gridSpan w:val="3"/>
          </w:tcPr>
          <w:p>
            <w:pPr>
              <w:jc w:val="center"/>
              <w:ind w:left="209"/>
              <w:spacing w:after="0"/>
              <w:rPr>
                <w:sz w:val="20"/>
                <w:szCs w:val="20"/>
                <w:color w:val="auto"/>
              </w:rPr>
            </w:pPr>
            <w:r>
              <w:rPr>
                <w:rFonts w:ascii="Arial" w:cs="Arial" w:eastAsia="Arial" w:hAnsi="Arial"/>
                <w:sz w:val="14"/>
                <w:szCs w:val="14"/>
                <w:color w:val="auto"/>
                <w:w w:val="94"/>
              </w:rPr>
              <w:t>(1,412,348)</w:t>
            </w:r>
          </w:p>
        </w:tc>
        <w:tc>
          <w:tcPr>
            <w:tcW w:w="100" w:type="dxa"/>
            <w:vAlign w:val="bottom"/>
          </w:tcPr>
          <w:p>
            <w:pPr>
              <w:spacing w:after="0"/>
              <w:rPr>
                <w:sz w:val="24"/>
                <w:szCs w:val="24"/>
                <w:color w:val="auto"/>
              </w:rPr>
            </w:pPr>
          </w:p>
        </w:tc>
      </w:tr>
      <w:tr>
        <w:trPr>
          <w:trHeight w:val="344"/>
        </w:trPr>
        <w:tc>
          <w:tcPr>
            <w:tcW w:w="6060" w:type="dxa"/>
            <w:vAlign w:val="bottom"/>
          </w:tcPr>
          <w:p>
            <w:pPr>
              <w:spacing w:after="0"/>
              <w:rPr>
                <w:sz w:val="20"/>
                <w:szCs w:val="20"/>
                <w:color w:val="auto"/>
              </w:rPr>
            </w:pPr>
            <w:r>
              <w:rPr>
                <w:rFonts w:ascii="Arial" w:cs="Arial" w:eastAsia="Arial" w:hAnsi="Arial"/>
                <w:sz w:val="14"/>
                <w:szCs w:val="14"/>
                <w:b w:val="1"/>
                <w:bCs w:val="1"/>
                <w:color w:val="auto"/>
              </w:rPr>
              <w:t>Income from operations</w:t>
            </w:r>
          </w:p>
        </w:tc>
        <w:tc>
          <w:tcPr>
            <w:tcW w:w="980" w:type="dxa"/>
            <w:vAlign w:val="bottom"/>
          </w:tcPr>
          <w:p>
            <w:pPr>
              <w:jc w:val="center"/>
              <w:ind w:left="89"/>
              <w:spacing w:after="0"/>
              <w:rPr>
                <w:sz w:val="20"/>
                <w:szCs w:val="20"/>
                <w:color w:val="auto"/>
              </w:rPr>
            </w:pPr>
            <w:r>
              <w:rPr>
                <w:rFonts w:ascii="Arial" w:cs="Arial" w:eastAsia="Arial" w:hAnsi="Arial"/>
                <w:sz w:val="14"/>
                <w:szCs w:val="14"/>
                <w:color w:val="auto"/>
                <w:w w:val="90"/>
              </w:rPr>
              <w:t>101,785</w:t>
            </w:r>
          </w:p>
        </w:tc>
        <w:tc>
          <w:tcPr>
            <w:tcW w:w="1400" w:type="dxa"/>
            <w:vAlign w:val="bottom"/>
          </w:tcPr>
          <w:p>
            <w:pPr>
              <w:jc w:val="center"/>
              <w:ind w:left="189"/>
              <w:spacing w:after="0"/>
              <w:rPr>
                <w:sz w:val="20"/>
                <w:szCs w:val="20"/>
                <w:color w:val="auto"/>
              </w:rPr>
            </w:pPr>
            <w:r>
              <w:rPr>
                <w:rFonts w:ascii="Arial" w:cs="Arial" w:eastAsia="Arial" w:hAnsi="Arial"/>
                <w:sz w:val="14"/>
                <w:szCs w:val="14"/>
                <w:color w:val="auto"/>
                <w:w w:val="88"/>
              </w:rPr>
              <w:t>89,744</w:t>
            </w:r>
          </w:p>
        </w:tc>
        <w:tc>
          <w:tcPr>
            <w:tcW w:w="1140" w:type="dxa"/>
            <w:vAlign w:val="bottom"/>
            <w:gridSpan w:val="2"/>
          </w:tcPr>
          <w:p>
            <w:pPr>
              <w:jc w:val="center"/>
              <w:ind w:left="189"/>
              <w:spacing w:after="0"/>
              <w:rPr>
                <w:sz w:val="20"/>
                <w:szCs w:val="20"/>
                <w:color w:val="auto"/>
              </w:rPr>
            </w:pPr>
            <w:r>
              <w:rPr>
                <w:rFonts w:ascii="Arial" w:cs="Arial" w:eastAsia="Arial" w:hAnsi="Arial"/>
                <w:sz w:val="14"/>
                <w:szCs w:val="14"/>
                <w:color w:val="auto"/>
                <w:w w:val="94"/>
              </w:rPr>
              <w:t>385,847</w:t>
            </w:r>
          </w:p>
        </w:tc>
        <w:tc>
          <w:tcPr>
            <w:tcW w:w="1480" w:type="dxa"/>
            <w:vAlign w:val="bottom"/>
            <w:gridSpan w:val="3"/>
          </w:tcPr>
          <w:p>
            <w:pPr>
              <w:jc w:val="center"/>
              <w:ind w:left="229"/>
              <w:spacing w:after="0"/>
              <w:rPr>
                <w:sz w:val="20"/>
                <w:szCs w:val="20"/>
                <w:color w:val="auto"/>
              </w:rPr>
            </w:pPr>
            <w:r>
              <w:rPr>
                <w:rFonts w:ascii="Arial" w:cs="Arial" w:eastAsia="Arial" w:hAnsi="Arial"/>
                <w:sz w:val="14"/>
                <w:szCs w:val="14"/>
                <w:color w:val="auto"/>
                <w:w w:val="90"/>
              </w:rPr>
              <w:t>346,091</w:t>
            </w:r>
          </w:p>
        </w:tc>
        <w:tc>
          <w:tcPr>
            <w:tcW w:w="100" w:type="dxa"/>
            <w:vAlign w:val="bottom"/>
          </w:tcPr>
          <w:p>
            <w:pPr>
              <w:spacing w:after="0"/>
              <w:rPr>
                <w:sz w:val="24"/>
                <w:szCs w:val="24"/>
                <w:color w:val="auto"/>
              </w:rPr>
            </w:pPr>
          </w:p>
        </w:tc>
      </w:tr>
      <w:tr>
        <w:trPr>
          <w:trHeight w:val="347"/>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Net interest expense</w:t>
            </w:r>
          </w:p>
        </w:tc>
        <w:tc>
          <w:tcPr>
            <w:tcW w:w="980" w:type="dxa"/>
            <w:vAlign w:val="bottom"/>
            <w:tcBorders>
              <w:bottom w:val="single" w:sz="8" w:color="auto"/>
            </w:tcBorders>
          </w:tcPr>
          <w:p>
            <w:pPr>
              <w:jc w:val="center"/>
              <w:ind w:left="89"/>
              <w:spacing w:after="0"/>
              <w:rPr>
                <w:sz w:val="20"/>
                <w:szCs w:val="20"/>
                <w:color w:val="auto"/>
              </w:rPr>
            </w:pPr>
            <w:r>
              <w:rPr>
                <w:rFonts w:ascii="Arial" w:cs="Arial" w:eastAsia="Arial" w:hAnsi="Arial"/>
                <w:sz w:val="14"/>
                <w:szCs w:val="14"/>
                <w:color w:val="auto"/>
                <w:w w:val="94"/>
              </w:rPr>
              <w:t>(1,599)</w:t>
            </w:r>
          </w:p>
        </w:tc>
        <w:tc>
          <w:tcPr>
            <w:tcW w:w="1400" w:type="dxa"/>
            <w:vAlign w:val="bottom"/>
            <w:tcBorders>
              <w:bottom w:val="single" w:sz="8" w:color="auto"/>
            </w:tcBorders>
          </w:tcPr>
          <w:p>
            <w:pPr>
              <w:jc w:val="center"/>
              <w:ind w:left="189"/>
              <w:spacing w:after="0"/>
              <w:rPr>
                <w:sz w:val="20"/>
                <w:szCs w:val="20"/>
                <w:color w:val="auto"/>
              </w:rPr>
            </w:pPr>
            <w:r>
              <w:rPr>
                <w:rFonts w:ascii="Arial" w:cs="Arial" w:eastAsia="Arial" w:hAnsi="Arial"/>
                <w:sz w:val="14"/>
                <w:szCs w:val="14"/>
                <w:color w:val="auto"/>
                <w:w w:val="94"/>
              </w:rPr>
              <w:t>(2,512)</w:t>
            </w:r>
          </w:p>
        </w:tc>
        <w:tc>
          <w:tcPr>
            <w:tcW w:w="1140" w:type="dxa"/>
            <w:vAlign w:val="bottom"/>
            <w:tcBorders>
              <w:bottom w:val="single" w:sz="8" w:color="auto"/>
            </w:tcBorders>
            <w:gridSpan w:val="2"/>
          </w:tcPr>
          <w:p>
            <w:pPr>
              <w:jc w:val="center"/>
              <w:ind w:left="209"/>
              <w:spacing w:after="0"/>
              <w:rPr>
                <w:sz w:val="20"/>
                <w:szCs w:val="20"/>
                <w:color w:val="auto"/>
              </w:rPr>
            </w:pPr>
            <w:r>
              <w:rPr>
                <w:rFonts w:ascii="Arial" w:cs="Arial" w:eastAsia="Arial" w:hAnsi="Arial"/>
                <w:sz w:val="14"/>
                <w:szCs w:val="14"/>
                <w:color w:val="auto"/>
                <w:w w:val="94"/>
              </w:rPr>
              <w:t>(8,743)</w:t>
            </w:r>
          </w:p>
        </w:tc>
        <w:tc>
          <w:tcPr>
            <w:tcW w:w="1480" w:type="dxa"/>
            <w:vAlign w:val="bottom"/>
            <w:tcBorders>
              <w:bottom w:val="single" w:sz="8" w:color="auto"/>
            </w:tcBorders>
            <w:gridSpan w:val="3"/>
          </w:tcPr>
          <w:p>
            <w:pPr>
              <w:jc w:val="center"/>
              <w:ind w:left="209"/>
              <w:spacing w:after="0"/>
              <w:rPr>
                <w:sz w:val="20"/>
                <w:szCs w:val="20"/>
                <w:color w:val="auto"/>
              </w:rPr>
            </w:pPr>
            <w:r>
              <w:rPr>
                <w:rFonts w:ascii="Arial" w:cs="Arial" w:eastAsia="Arial" w:hAnsi="Arial"/>
                <w:sz w:val="14"/>
                <w:szCs w:val="14"/>
                <w:color w:val="auto"/>
                <w:w w:val="91"/>
              </w:rPr>
              <w:t>(10,281)</w:t>
            </w:r>
          </w:p>
        </w:tc>
        <w:tc>
          <w:tcPr>
            <w:tcW w:w="100" w:type="dxa"/>
            <w:vAlign w:val="bottom"/>
          </w:tcPr>
          <w:p>
            <w:pPr>
              <w:spacing w:after="0"/>
              <w:rPr>
                <w:sz w:val="24"/>
                <w:szCs w:val="24"/>
                <w:color w:val="auto"/>
              </w:rPr>
            </w:pPr>
          </w:p>
        </w:tc>
      </w:tr>
      <w:tr>
        <w:trPr>
          <w:trHeight w:val="344"/>
        </w:trPr>
        <w:tc>
          <w:tcPr>
            <w:tcW w:w="6060" w:type="dxa"/>
            <w:vAlign w:val="bottom"/>
          </w:tcPr>
          <w:p>
            <w:pPr>
              <w:spacing w:after="0"/>
              <w:rPr>
                <w:sz w:val="20"/>
                <w:szCs w:val="20"/>
                <w:color w:val="auto"/>
              </w:rPr>
            </w:pPr>
            <w:r>
              <w:rPr>
                <w:rFonts w:ascii="Arial" w:cs="Arial" w:eastAsia="Arial" w:hAnsi="Arial"/>
                <w:sz w:val="14"/>
                <w:szCs w:val="14"/>
                <w:b w:val="1"/>
                <w:bCs w:val="1"/>
                <w:color w:val="auto"/>
              </w:rPr>
              <w:t>Income before provision for income taxes</w:t>
            </w:r>
          </w:p>
        </w:tc>
        <w:tc>
          <w:tcPr>
            <w:tcW w:w="980" w:type="dxa"/>
            <w:vAlign w:val="bottom"/>
          </w:tcPr>
          <w:p>
            <w:pPr>
              <w:jc w:val="center"/>
              <w:ind w:left="89"/>
              <w:spacing w:after="0"/>
              <w:rPr>
                <w:sz w:val="20"/>
                <w:szCs w:val="20"/>
                <w:color w:val="auto"/>
              </w:rPr>
            </w:pPr>
            <w:r>
              <w:rPr>
                <w:rFonts w:ascii="Arial" w:cs="Arial" w:eastAsia="Arial" w:hAnsi="Arial"/>
                <w:sz w:val="14"/>
                <w:szCs w:val="14"/>
                <w:color w:val="auto"/>
                <w:w w:val="90"/>
              </w:rPr>
              <w:t>100,186</w:t>
            </w:r>
          </w:p>
        </w:tc>
        <w:tc>
          <w:tcPr>
            <w:tcW w:w="1400" w:type="dxa"/>
            <w:vAlign w:val="bottom"/>
          </w:tcPr>
          <w:p>
            <w:pPr>
              <w:jc w:val="center"/>
              <w:ind w:left="189"/>
              <w:spacing w:after="0"/>
              <w:rPr>
                <w:sz w:val="20"/>
                <w:szCs w:val="20"/>
                <w:color w:val="auto"/>
              </w:rPr>
            </w:pPr>
            <w:r>
              <w:rPr>
                <w:rFonts w:ascii="Arial" w:cs="Arial" w:eastAsia="Arial" w:hAnsi="Arial"/>
                <w:sz w:val="14"/>
                <w:szCs w:val="14"/>
                <w:color w:val="auto"/>
                <w:w w:val="88"/>
              </w:rPr>
              <w:t>87,232</w:t>
            </w:r>
          </w:p>
        </w:tc>
        <w:tc>
          <w:tcPr>
            <w:tcW w:w="1140" w:type="dxa"/>
            <w:vAlign w:val="bottom"/>
            <w:gridSpan w:val="2"/>
          </w:tcPr>
          <w:p>
            <w:pPr>
              <w:jc w:val="center"/>
              <w:ind w:left="189"/>
              <w:spacing w:after="0"/>
              <w:rPr>
                <w:sz w:val="20"/>
                <w:szCs w:val="20"/>
                <w:color w:val="auto"/>
              </w:rPr>
            </w:pPr>
            <w:r>
              <w:rPr>
                <w:rFonts w:ascii="Arial" w:cs="Arial" w:eastAsia="Arial" w:hAnsi="Arial"/>
                <w:sz w:val="14"/>
                <w:szCs w:val="14"/>
                <w:color w:val="auto"/>
                <w:w w:val="94"/>
              </w:rPr>
              <w:t>377,104</w:t>
            </w:r>
          </w:p>
        </w:tc>
        <w:tc>
          <w:tcPr>
            <w:tcW w:w="1480" w:type="dxa"/>
            <w:vAlign w:val="bottom"/>
            <w:gridSpan w:val="3"/>
          </w:tcPr>
          <w:p>
            <w:pPr>
              <w:jc w:val="center"/>
              <w:ind w:left="229"/>
              <w:spacing w:after="0"/>
              <w:rPr>
                <w:sz w:val="20"/>
                <w:szCs w:val="20"/>
                <w:color w:val="auto"/>
              </w:rPr>
            </w:pPr>
            <w:r>
              <w:rPr>
                <w:rFonts w:ascii="Arial" w:cs="Arial" w:eastAsia="Arial" w:hAnsi="Arial"/>
                <w:sz w:val="14"/>
                <w:szCs w:val="14"/>
                <w:color w:val="auto"/>
                <w:w w:val="90"/>
              </w:rPr>
              <w:t>335,810</w:t>
            </w:r>
          </w:p>
        </w:tc>
        <w:tc>
          <w:tcPr>
            <w:tcW w:w="100" w:type="dxa"/>
            <w:vAlign w:val="bottom"/>
          </w:tcPr>
          <w:p>
            <w:pPr>
              <w:spacing w:after="0"/>
              <w:rPr>
                <w:sz w:val="24"/>
                <w:szCs w:val="24"/>
                <w:color w:val="auto"/>
              </w:rPr>
            </w:pPr>
          </w:p>
        </w:tc>
      </w:tr>
      <w:tr>
        <w:trPr>
          <w:trHeight w:val="347"/>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Provision for income taxes</w:t>
            </w:r>
          </w:p>
        </w:tc>
        <w:tc>
          <w:tcPr>
            <w:tcW w:w="980" w:type="dxa"/>
            <w:vAlign w:val="bottom"/>
            <w:tcBorders>
              <w:bottom w:val="single" w:sz="8" w:color="auto"/>
            </w:tcBorders>
          </w:tcPr>
          <w:p>
            <w:pPr>
              <w:jc w:val="center"/>
              <w:ind w:left="89"/>
              <w:spacing w:after="0"/>
              <w:rPr>
                <w:sz w:val="20"/>
                <w:szCs w:val="20"/>
                <w:color w:val="auto"/>
              </w:rPr>
            </w:pPr>
            <w:r>
              <w:rPr>
                <w:rFonts w:ascii="Arial" w:cs="Arial" w:eastAsia="Arial" w:hAnsi="Arial"/>
                <w:sz w:val="14"/>
                <w:szCs w:val="14"/>
                <w:color w:val="auto"/>
                <w:w w:val="95"/>
              </w:rPr>
              <w:t>(12,023)</w:t>
            </w:r>
          </w:p>
        </w:tc>
        <w:tc>
          <w:tcPr>
            <w:tcW w:w="1400" w:type="dxa"/>
            <w:vAlign w:val="bottom"/>
            <w:tcBorders>
              <w:bottom w:val="single" w:sz="8" w:color="auto"/>
            </w:tcBorders>
          </w:tcPr>
          <w:p>
            <w:pPr>
              <w:jc w:val="center"/>
              <w:ind w:left="189"/>
              <w:spacing w:after="0"/>
              <w:rPr>
                <w:sz w:val="20"/>
                <w:szCs w:val="20"/>
                <w:color w:val="auto"/>
              </w:rPr>
            </w:pPr>
            <w:r>
              <w:rPr>
                <w:rFonts w:ascii="Arial" w:cs="Arial" w:eastAsia="Arial" w:hAnsi="Arial"/>
                <w:sz w:val="14"/>
                <w:szCs w:val="14"/>
                <w:color w:val="auto"/>
                <w:w w:val="94"/>
              </w:rPr>
              <w:t>(8,724)</w:t>
            </w:r>
          </w:p>
        </w:tc>
        <w:tc>
          <w:tcPr>
            <w:tcW w:w="1140" w:type="dxa"/>
            <w:vAlign w:val="bottom"/>
            <w:tcBorders>
              <w:bottom w:val="single" w:sz="8" w:color="auto"/>
            </w:tcBorders>
            <w:gridSpan w:val="2"/>
          </w:tcPr>
          <w:p>
            <w:pPr>
              <w:jc w:val="center"/>
              <w:ind w:left="189"/>
              <w:spacing w:after="0"/>
              <w:rPr>
                <w:sz w:val="20"/>
                <w:szCs w:val="20"/>
                <w:color w:val="auto"/>
              </w:rPr>
            </w:pPr>
            <w:r>
              <w:rPr>
                <w:rFonts w:ascii="Arial" w:cs="Arial" w:eastAsia="Arial" w:hAnsi="Arial"/>
                <w:sz w:val="14"/>
                <w:szCs w:val="14"/>
                <w:color w:val="auto"/>
                <w:w w:val="91"/>
              </w:rPr>
              <w:t>(43,411)</w:t>
            </w:r>
          </w:p>
        </w:tc>
        <w:tc>
          <w:tcPr>
            <w:tcW w:w="1480" w:type="dxa"/>
            <w:vAlign w:val="bottom"/>
            <w:tcBorders>
              <w:bottom w:val="single" w:sz="8" w:color="auto"/>
            </w:tcBorders>
            <w:gridSpan w:val="3"/>
          </w:tcPr>
          <w:p>
            <w:pPr>
              <w:jc w:val="center"/>
              <w:ind w:left="209"/>
              <w:spacing w:after="0"/>
              <w:rPr>
                <w:sz w:val="20"/>
                <w:szCs w:val="20"/>
                <w:color w:val="auto"/>
              </w:rPr>
            </w:pPr>
            <w:r>
              <w:rPr>
                <w:rFonts w:ascii="Arial" w:cs="Arial" w:eastAsia="Arial" w:hAnsi="Arial"/>
                <w:sz w:val="14"/>
                <w:szCs w:val="14"/>
                <w:color w:val="auto"/>
                <w:w w:val="91"/>
              </w:rPr>
              <w:t>(40,137)</w:t>
            </w:r>
          </w:p>
        </w:tc>
        <w:tc>
          <w:tcPr>
            <w:tcW w:w="100" w:type="dxa"/>
            <w:vAlign w:val="bottom"/>
          </w:tcPr>
          <w:p>
            <w:pPr>
              <w:spacing w:after="0"/>
              <w:rPr>
                <w:sz w:val="24"/>
                <w:szCs w:val="24"/>
                <w:color w:val="auto"/>
              </w:rPr>
            </w:pPr>
          </w:p>
        </w:tc>
      </w:tr>
      <w:tr>
        <w:trPr>
          <w:trHeight w:val="342"/>
        </w:trPr>
        <w:tc>
          <w:tcPr>
            <w:tcW w:w="6060" w:type="dxa"/>
            <w:vAlign w:val="bottom"/>
          </w:tcPr>
          <w:p>
            <w:pPr>
              <w:spacing w:after="0"/>
              <w:rPr>
                <w:sz w:val="20"/>
                <w:szCs w:val="20"/>
                <w:color w:val="auto"/>
              </w:rPr>
            </w:pPr>
            <w:r>
              <w:rPr>
                <w:rFonts w:ascii="Arial" w:cs="Arial" w:eastAsia="Arial" w:hAnsi="Arial"/>
                <w:sz w:val="14"/>
                <w:szCs w:val="14"/>
                <w:b w:val="1"/>
                <w:bCs w:val="1"/>
                <w:color w:val="auto"/>
              </w:rPr>
              <w:t>Net income</w:t>
            </w:r>
          </w:p>
        </w:tc>
        <w:tc>
          <w:tcPr>
            <w:tcW w:w="980" w:type="dxa"/>
            <w:vAlign w:val="bottom"/>
          </w:tcPr>
          <w:p>
            <w:pPr>
              <w:jc w:val="center"/>
              <w:ind w:left="89"/>
              <w:spacing w:after="0"/>
              <w:rPr>
                <w:sz w:val="20"/>
                <w:szCs w:val="20"/>
                <w:color w:val="auto"/>
              </w:rPr>
            </w:pPr>
            <w:r>
              <w:rPr>
                <w:rFonts w:ascii="Arial" w:cs="Arial" w:eastAsia="Arial" w:hAnsi="Arial"/>
                <w:sz w:val="14"/>
                <w:szCs w:val="14"/>
                <w:color w:val="auto"/>
                <w:w w:val="88"/>
              </w:rPr>
              <w:t>88,163</w:t>
            </w:r>
          </w:p>
        </w:tc>
        <w:tc>
          <w:tcPr>
            <w:tcW w:w="1400" w:type="dxa"/>
            <w:vAlign w:val="bottom"/>
          </w:tcPr>
          <w:p>
            <w:pPr>
              <w:jc w:val="center"/>
              <w:ind w:left="189"/>
              <w:spacing w:after="0"/>
              <w:rPr>
                <w:sz w:val="20"/>
                <w:szCs w:val="20"/>
                <w:color w:val="auto"/>
              </w:rPr>
            </w:pPr>
            <w:r>
              <w:rPr>
                <w:rFonts w:ascii="Arial" w:cs="Arial" w:eastAsia="Arial" w:hAnsi="Arial"/>
                <w:sz w:val="14"/>
                <w:szCs w:val="14"/>
                <w:color w:val="auto"/>
                <w:w w:val="88"/>
              </w:rPr>
              <w:t>78,508</w:t>
            </w:r>
          </w:p>
        </w:tc>
        <w:tc>
          <w:tcPr>
            <w:tcW w:w="1140" w:type="dxa"/>
            <w:vAlign w:val="bottom"/>
            <w:gridSpan w:val="2"/>
          </w:tcPr>
          <w:p>
            <w:pPr>
              <w:jc w:val="center"/>
              <w:ind w:left="189"/>
              <w:spacing w:after="0"/>
              <w:rPr>
                <w:sz w:val="20"/>
                <w:szCs w:val="20"/>
                <w:color w:val="auto"/>
              </w:rPr>
            </w:pPr>
            <w:r>
              <w:rPr>
                <w:rFonts w:ascii="Arial" w:cs="Arial" w:eastAsia="Arial" w:hAnsi="Arial"/>
                <w:sz w:val="14"/>
                <w:szCs w:val="14"/>
                <w:color w:val="auto"/>
                <w:w w:val="94"/>
              </w:rPr>
              <w:t>333,693</w:t>
            </w:r>
          </w:p>
        </w:tc>
        <w:tc>
          <w:tcPr>
            <w:tcW w:w="1480" w:type="dxa"/>
            <w:vAlign w:val="bottom"/>
            <w:gridSpan w:val="3"/>
          </w:tcPr>
          <w:p>
            <w:pPr>
              <w:jc w:val="center"/>
              <w:ind w:left="229"/>
              <w:spacing w:after="0"/>
              <w:rPr>
                <w:sz w:val="20"/>
                <w:szCs w:val="20"/>
                <w:color w:val="auto"/>
              </w:rPr>
            </w:pPr>
            <w:r>
              <w:rPr>
                <w:rFonts w:ascii="Arial" w:cs="Arial" w:eastAsia="Arial" w:hAnsi="Arial"/>
                <w:sz w:val="14"/>
                <w:szCs w:val="14"/>
                <w:color w:val="auto"/>
                <w:w w:val="90"/>
              </w:rPr>
              <w:t>295,673</w:t>
            </w:r>
          </w:p>
        </w:tc>
        <w:tc>
          <w:tcPr>
            <w:tcW w:w="100" w:type="dxa"/>
            <w:vAlign w:val="bottom"/>
          </w:tcPr>
          <w:p>
            <w:pPr>
              <w:spacing w:after="0"/>
              <w:rPr>
                <w:sz w:val="24"/>
                <w:szCs w:val="24"/>
                <w:color w:val="auto"/>
              </w:rPr>
            </w:pPr>
          </w:p>
        </w:tc>
      </w:tr>
      <w:tr>
        <w:trPr>
          <w:trHeight w:val="344"/>
        </w:trPr>
        <w:tc>
          <w:tcPr>
            <w:tcW w:w="6060" w:type="dxa"/>
            <w:vAlign w:val="bottom"/>
            <w:tcBorders>
              <w:top w:val="single" w:sz="8" w:color="auto"/>
            </w:tcBorders>
          </w:tcPr>
          <w:p>
            <w:pPr>
              <w:spacing w:after="0"/>
              <w:rPr>
                <w:sz w:val="20"/>
                <w:szCs w:val="20"/>
                <w:color w:val="auto"/>
              </w:rPr>
            </w:pPr>
            <w:r>
              <w:rPr>
                <w:rFonts w:ascii="Arial" w:cs="Arial" w:eastAsia="Arial" w:hAnsi="Arial"/>
                <w:sz w:val="14"/>
                <w:szCs w:val="14"/>
                <w:color w:val="auto"/>
              </w:rPr>
              <w:t>Net income per Ordinary Share:</w:t>
            </w:r>
          </w:p>
        </w:tc>
        <w:tc>
          <w:tcPr>
            <w:tcW w:w="980" w:type="dxa"/>
            <w:vAlign w:val="bottom"/>
            <w:tcBorders>
              <w:top w:val="single" w:sz="8" w:color="auto"/>
            </w:tcBorders>
          </w:tcPr>
          <w:p>
            <w:pPr>
              <w:spacing w:after="0"/>
              <w:rPr>
                <w:sz w:val="24"/>
                <w:szCs w:val="24"/>
                <w:color w:val="auto"/>
              </w:rPr>
            </w:pPr>
          </w:p>
        </w:tc>
        <w:tc>
          <w:tcPr>
            <w:tcW w:w="14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347"/>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980" w:type="dxa"/>
            <w:vAlign w:val="bottom"/>
            <w:tcBorders>
              <w:bottom w:val="single" w:sz="8" w:color="auto"/>
            </w:tcBorders>
          </w:tcPr>
          <w:p>
            <w:pPr>
              <w:jc w:val="center"/>
              <w:ind w:left="69"/>
              <w:spacing w:after="0"/>
              <w:rPr>
                <w:sz w:val="20"/>
                <w:szCs w:val="20"/>
                <w:color w:val="auto"/>
              </w:rPr>
            </w:pPr>
            <w:r>
              <w:rPr>
                <w:rFonts w:ascii="Arial" w:cs="Arial" w:eastAsia="Arial" w:hAnsi="Arial"/>
                <w:sz w:val="14"/>
                <w:szCs w:val="14"/>
                <w:color w:val="auto"/>
                <w:w w:val="91"/>
              </w:rPr>
              <w:t>$1.63</w:t>
            </w:r>
          </w:p>
        </w:tc>
        <w:tc>
          <w:tcPr>
            <w:tcW w:w="1400" w:type="dxa"/>
            <w:vAlign w:val="bottom"/>
            <w:tcBorders>
              <w:bottom w:val="single" w:sz="8" w:color="auto"/>
            </w:tcBorders>
          </w:tcPr>
          <w:p>
            <w:pPr>
              <w:jc w:val="center"/>
              <w:ind w:left="169"/>
              <w:spacing w:after="0"/>
              <w:rPr>
                <w:sz w:val="20"/>
                <w:szCs w:val="20"/>
                <w:color w:val="auto"/>
              </w:rPr>
            </w:pPr>
            <w:r>
              <w:rPr>
                <w:rFonts w:ascii="Arial" w:cs="Arial" w:eastAsia="Arial" w:hAnsi="Arial"/>
                <w:sz w:val="14"/>
                <w:szCs w:val="14"/>
                <w:color w:val="auto"/>
                <w:w w:val="91"/>
              </w:rPr>
              <w:t>$1.45</w:t>
            </w:r>
          </w:p>
        </w:tc>
        <w:tc>
          <w:tcPr>
            <w:tcW w:w="1140" w:type="dxa"/>
            <w:vAlign w:val="bottom"/>
            <w:tcBorders>
              <w:bottom w:val="single" w:sz="8" w:color="auto"/>
            </w:tcBorders>
            <w:gridSpan w:val="2"/>
          </w:tcPr>
          <w:p>
            <w:pPr>
              <w:jc w:val="center"/>
              <w:ind w:left="189"/>
              <w:spacing w:after="0"/>
              <w:rPr>
                <w:sz w:val="20"/>
                <w:szCs w:val="20"/>
                <w:color w:val="auto"/>
              </w:rPr>
            </w:pPr>
            <w:r>
              <w:rPr>
                <w:rFonts w:ascii="Arial" w:cs="Arial" w:eastAsia="Arial" w:hAnsi="Arial"/>
                <w:sz w:val="14"/>
                <w:szCs w:val="14"/>
                <w:color w:val="auto"/>
                <w:w w:val="91"/>
              </w:rPr>
              <w:t>$6.17</w:t>
            </w:r>
          </w:p>
        </w:tc>
        <w:tc>
          <w:tcPr>
            <w:tcW w:w="1480" w:type="dxa"/>
            <w:vAlign w:val="bottom"/>
            <w:tcBorders>
              <w:bottom w:val="single" w:sz="8" w:color="auto"/>
            </w:tcBorders>
            <w:gridSpan w:val="3"/>
          </w:tcPr>
          <w:p>
            <w:pPr>
              <w:jc w:val="center"/>
              <w:ind w:left="209"/>
              <w:spacing w:after="0"/>
              <w:rPr>
                <w:sz w:val="20"/>
                <w:szCs w:val="20"/>
                <w:color w:val="auto"/>
              </w:rPr>
            </w:pPr>
            <w:r>
              <w:rPr>
                <w:rFonts w:ascii="Arial" w:cs="Arial" w:eastAsia="Arial" w:hAnsi="Arial"/>
                <w:sz w:val="14"/>
                <w:szCs w:val="14"/>
                <w:color w:val="auto"/>
                <w:w w:val="91"/>
              </w:rPr>
              <w:t>$5.46</w:t>
            </w:r>
          </w:p>
        </w:tc>
        <w:tc>
          <w:tcPr>
            <w:tcW w:w="100" w:type="dxa"/>
            <w:vAlign w:val="bottom"/>
          </w:tcPr>
          <w:p>
            <w:pPr>
              <w:spacing w:after="0"/>
              <w:rPr>
                <w:sz w:val="24"/>
                <w:szCs w:val="24"/>
                <w:color w:val="auto"/>
              </w:rPr>
            </w:pPr>
          </w:p>
        </w:tc>
      </w:tr>
      <w:tr>
        <w:trPr>
          <w:trHeight w:val="342"/>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Diluted</w:t>
            </w:r>
          </w:p>
        </w:tc>
        <w:tc>
          <w:tcPr>
            <w:tcW w:w="980" w:type="dxa"/>
            <w:vAlign w:val="bottom"/>
            <w:tcBorders>
              <w:bottom w:val="single" w:sz="8" w:color="auto"/>
            </w:tcBorders>
          </w:tcPr>
          <w:p>
            <w:pPr>
              <w:jc w:val="center"/>
              <w:ind w:left="69"/>
              <w:spacing w:after="0"/>
              <w:rPr>
                <w:sz w:val="20"/>
                <w:szCs w:val="20"/>
                <w:color w:val="auto"/>
              </w:rPr>
            </w:pPr>
            <w:r>
              <w:rPr>
                <w:rFonts w:ascii="Arial" w:cs="Arial" w:eastAsia="Arial" w:hAnsi="Arial"/>
                <w:sz w:val="14"/>
                <w:szCs w:val="14"/>
                <w:color w:val="auto"/>
                <w:w w:val="91"/>
              </w:rPr>
              <w:t>$1.62</w:t>
            </w:r>
          </w:p>
        </w:tc>
        <w:tc>
          <w:tcPr>
            <w:tcW w:w="1400" w:type="dxa"/>
            <w:vAlign w:val="bottom"/>
            <w:tcBorders>
              <w:bottom w:val="single" w:sz="8" w:color="auto"/>
            </w:tcBorders>
          </w:tcPr>
          <w:p>
            <w:pPr>
              <w:jc w:val="center"/>
              <w:ind w:left="169"/>
              <w:spacing w:after="0"/>
              <w:rPr>
                <w:sz w:val="20"/>
                <w:szCs w:val="20"/>
                <w:color w:val="auto"/>
              </w:rPr>
            </w:pPr>
            <w:r>
              <w:rPr>
                <w:rFonts w:ascii="Arial" w:cs="Arial" w:eastAsia="Arial" w:hAnsi="Arial"/>
                <w:sz w:val="14"/>
                <w:szCs w:val="14"/>
                <w:color w:val="auto"/>
                <w:w w:val="91"/>
              </w:rPr>
              <w:t>$1.43</w:t>
            </w:r>
          </w:p>
        </w:tc>
        <w:tc>
          <w:tcPr>
            <w:tcW w:w="1140" w:type="dxa"/>
            <w:vAlign w:val="bottom"/>
            <w:tcBorders>
              <w:bottom w:val="single" w:sz="8" w:color="auto"/>
            </w:tcBorders>
            <w:gridSpan w:val="2"/>
          </w:tcPr>
          <w:p>
            <w:pPr>
              <w:jc w:val="center"/>
              <w:ind w:left="189"/>
              <w:spacing w:after="0"/>
              <w:rPr>
                <w:sz w:val="20"/>
                <w:szCs w:val="20"/>
                <w:color w:val="auto"/>
              </w:rPr>
            </w:pPr>
            <w:r>
              <w:rPr>
                <w:rFonts w:ascii="Arial" w:cs="Arial" w:eastAsia="Arial" w:hAnsi="Arial"/>
                <w:sz w:val="14"/>
                <w:szCs w:val="14"/>
                <w:color w:val="auto"/>
                <w:w w:val="91"/>
              </w:rPr>
              <w:t>$6.09</w:t>
            </w:r>
          </w:p>
        </w:tc>
        <w:tc>
          <w:tcPr>
            <w:tcW w:w="1480" w:type="dxa"/>
            <w:vAlign w:val="bottom"/>
            <w:tcBorders>
              <w:bottom w:val="single" w:sz="8" w:color="auto"/>
            </w:tcBorders>
            <w:gridSpan w:val="3"/>
          </w:tcPr>
          <w:p>
            <w:pPr>
              <w:jc w:val="center"/>
              <w:ind w:left="209"/>
              <w:spacing w:after="0"/>
              <w:rPr>
                <w:sz w:val="20"/>
                <w:szCs w:val="20"/>
                <w:color w:val="auto"/>
              </w:rPr>
            </w:pPr>
            <w:r>
              <w:rPr>
                <w:rFonts w:ascii="Arial" w:cs="Arial" w:eastAsia="Arial" w:hAnsi="Arial"/>
                <w:sz w:val="14"/>
                <w:szCs w:val="14"/>
                <w:color w:val="auto"/>
                <w:w w:val="91"/>
              </w:rPr>
              <w:t>$5.39</w:t>
            </w:r>
          </w:p>
        </w:tc>
        <w:tc>
          <w:tcPr>
            <w:tcW w:w="100" w:type="dxa"/>
            <w:vAlign w:val="bottom"/>
          </w:tcPr>
          <w:p>
            <w:pPr>
              <w:spacing w:after="0"/>
              <w:rPr>
                <w:sz w:val="24"/>
                <w:szCs w:val="24"/>
                <w:color w:val="auto"/>
              </w:rPr>
            </w:pPr>
          </w:p>
        </w:tc>
      </w:tr>
      <w:tr>
        <w:trPr>
          <w:trHeight w:val="344"/>
        </w:trPr>
        <w:tc>
          <w:tcPr>
            <w:tcW w:w="6060" w:type="dxa"/>
            <w:vAlign w:val="bottom"/>
          </w:tcPr>
          <w:p>
            <w:pPr>
              <w:spacing w:after="0"/>
              <w:rPr>
                <w:sz w:val="20"/>
                <w:szCs w:val="20"/>
                <w:color w:val="auto"/>
              </w:rPr>
            </w:pPr>
            <w:r>
              <w:rPr>
                <w:rFonts w:ascii="Arial" w:cs="Arial" w:eastAsia="Arial" w:hAnsi="Arial"/>
                <w:sz w:val="14"/>
                <w:szCs w:val="14"/>
                <w:color w:val="auto"/>
              </w:rPr>
              <w:t>Weighted average number of Ordinary Shares outstanding:</w:t>
            </w:r>
          </w:p>
        </w:tc>
        <w:tc>
          <w:tcPr>
            <w:tcW w:w="9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47"/>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980" w:type="dxa"/>
            <w:vAlign w:val="bottom"/>
            <w:tcBorders>
              <w:bottom w:val="single" w:sz="8" w:color="auto"/>
            </w:tcBorders>
          </w:tcPr>
          <w:p>
            <w:pPr>
              <w:jc w:val="center"/>
              <w:ind w:left="69"/>
              <w:spacing w:after="0"/>
              <w:rPr>
                <w:sz w:val="20"/>
                <w:szCs w:val="20"/>
                <w:color w:val="auto"/>
              </w:rPr>
            </w:pPr>
            <w:r>
              <w:rPr>
                <w:rFonts w:ascii="Arial" w:cs="Arial" w:eastAsia="Arial" w:hAnsi="Arial"/>
                <w:sz w:val="14"/>
                <w:szCs w:val="14"/>
                <w:color w:val="auto"/>
                <w:w w:val="91"/>
              </w:rPr>
              <w:t>54,071,137</w:t>
            </w:r>
          </w:p>
        </w:tc>
        <w:tc>
          <w:tcPr>
            <w:tcW w:w="1400" w:type="dxa"/>
            <w:vAlign w:val="bottom"/>
            <w:tcBorders>
              <w:bottom w:val="single" w:sz="8" w:color="auto"/>
            </w:tcBorders>
          </w:tcPr>
          <w:p>
            <w:pPr>
              <w:jc w:val="center"/>
              <w:ind w:left="169"/>
              <w:spacing w:after="0"/>
              <w:rPr>
                <w:sz w:val="20"/>
                <w:szCs w:val="20"/>
                <w:color w:val="auto"/>
              </w:rPr>
            </w:pPr>
            <w:r>
              <w:rPr>
                <w:rFonts w:ascii="Arial" w:cs="Arial" w:eastAsia="Arial" w:hAnsi="Arial"/>
                <w:sz w:val="14"/>
                <w:szCs w:val="14"/>
                <w:color w:val="auto"/>
                <w:w w:val="91"/>
              </w:rPr>
              <w:t>54,187,688</w:t>
            </w:r>
          </w:p>
        </w:tc>
        <w:tc>
          <w:tcPr>
            <w:tcW w:w="1140" w:type="dxa"/>
            <w:vAlign w:val="bottom"/>
            <w:tcBorders>
              <w:bottom w:val="single" w:sz="8" w:color="auto"/>
            </w:tcBorders>
            <w:gridSpan w:val="2"/>
          </w:tcPr>
          <w:p>
            <w:pPr>
              <w:jc w:val="center"/>
              <w:ind w:left="189"/>
              <w:spacing w:after="0"/>
              <w:rPr>
                <w:sz w:val="20"/>
                <w:szCs w:val="20"/>
                <w:color w:val="auto"/>
              </w:rPr>
            </w:pPr>
            <w:r>
              <w:rPr>
                <w:rFonts w:ascii="Arial" w:cs="Arial" w:eastAsia="Arial" w:hAnsi="Arial"/>
                <w:sz w:val="14"/>
                <w:szCs w:val="14"/>
                <w:color w:val="auto"/>
                <w:w w:val="91"/>
              </w:rPr>
              <w:t>54,118,764</w:t>
            </w:r>
          </w:p>
        </w:tc>
        <w:tc>
          <w:tcPr>
            <w:tcW w:w="1480" w:type="dxa"/>
            <w:vAlign w:val="bottom"/>
            <w:tcBorders>
              <w:bottom w:val="single" w:sz="8" w:color="auto"/>
            </w:tcBorders>
            <w:gridSpan w:val="3"/>
          </w:tcPr>
          <w:p>
            <w:pPr>
              <w:jc w:val="center"/>
              <w:ind w:left="209"/>
              <w:spacing w:after="0"/>
              <w:rPr>
                <w:sz w:val="20"/>
                <w:szCs w:val="20"/>
                <w:color w:val="auto"/>
              </w:rPr>
            </w:pPr>
            <w:r>
              <w:rPr>
                <w:rFonts w:ascii="Arial" w:cs="Arial" w:eastAsia="Arial" w:hAnsi="Arial"/>
                <w:sz w:val="14"/>
                <w:szCs w:val="14"/>
                <w:color w:val="auto"/>
                <w:w w:val="91"/>
              </w:rPr>
              <w:t>54,129,439</w:t>
            </w:r>
          </w:p>
        </w:tc>
        <w:tc>
          <w:tcPr>
            <w:tcW w:w="100" w:type="dxa"/>
            <w:vAlign w:val="bottom"/>
          </w:tcPr>
          <w:p>
            <w:pPr>
              <w:spacing w:after="0"/>
              <w:rPr>
                <w:sz w:val="24"/>
                <w:szCs w:val="24"/>
                <w:color w:val="auto"/>
              </w:rPr>
            </w:pPr>
          </w:p>
        </w:tc>
      </w:tr>
      <w:tr>
        <w:trPr>
          <w:trHeight w:val="342"/>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Diluted</w:t>
            </w:r>
          </w:p>
        </w:tc>
        <w:tc>
          <w:tcPr>
            <w:tcW w:w="980" w:type="dxa"/>
            <w:vAlign w:val="bottom"/>
            <w:tcBorders>
              <w:bottom w:val="single" w:sz="8" w:color="auto"/>
            </w:tcBorders>
          </w:tcPr>
          <w:p>
            <w:pPr>
              <w:jc w:val="center"/>
              <w:ind w:left="69"/>
              <w:spacing w:after="0"/>
              <w:rPr>
                <w:sz w:val="20"/>
                <w:szCs w:val="20"/>
                <w:color w:val="auto"/>
              </w:rPr>
            </w:pPr>
            <w:r>
              <w:rPr>
                <w:rFonts w:ascii="Arial" w:cs="Arial" w:eastAsia="Arial" w:hAnsi="Arial"/>
                <w:sz w:val="14"/>
                <w:szCs w:val="14"/>
                <w:color w:val="auto"/>
                <w:w w:val="91"/>
              </w:rPr>
              <w:t>54,475,302</w:t>
            </w:r>
          </w:p>
        </w:tc>
        <w:tc>
          <w:tcPr>
            <w:tcW w:w="1400" w:type="dxa"/>
            <w:vAlign w:val="bottom"/>
            <w:tcBorders>
              <w:bottom w:val="single" w:sz="8" w:color="auto"/>
            </w:tcBorders>
          </w:tcPr>
          <w:p>
            <w:pPr>
              <w:jc w:val="center"/>
              <w:ind w:left="169"/>
              <w:spacing w:after="0"/>
              <w:rPr>
                <w:sz w:val="20"/>
                <w:szCs w:val="20"/>
                <w:color w:val="auto"/>
              </w:rPr>
            </w:pPr>
            <w:r>
              <w:rPr>
                <w:rFonts w:ascii="Arial" w:cs="Arial" w:eastAsia="Arial" w:hAnsi="Arial"/>
                <w:sz w:val="14"/>
                <w:szCs w:val="14"/>
                <w:color w:val="auto"/>
                <w:w w:val="91"/>
              </w:rPr>
              <w:t>54,844,232</w:t>
            </w:r>
          </w:p>
        </w:tc>
        <w:tc>
          <w:tcPr>
            <w:tcW w:w="1140" w:type="dxa"/>
            <w:vAlign w:val="bottom"/>
            <w:tcBorders>
              <w:bottom w:val="single" w:sz="8" w:color="auto"/>
            </w:tcBorders>
            <w:gridSpan w:val="2"/>
          </w:tcPr>
          <w:p>
            <w:pPr>
              <w:jc w:val="center"/>
              <w:ind w:left="189"/>
              <w:spacing w:after="0"/>
              <w:rPr>
                <w:sz w:val="20"/>
                <w:szCs w:val="20"/>
                <w:color w:val="auto"/>
              </w:rPr>
            </w:pPr>
            <w:r>
              <w:rPr>
                <w:rFonts w:ascii="Arial" w:cs="Arial" w:eastAsia="Arial" w:hAnsi="Arial"/>
                <w:sz w:val="14"/>
                <w:szCs w:val="14"/>
                <w:color w:val="auto"/>
                <w:w w:val="91"/>
              </w:rPr>
              <w:t>54,790,663</w:t>
            </w:r>
          </w:p>
        </w:tc>
        <w:tc>
          <w:tcPr>
            <w:tcW w:w="1480" w:type="dxa"/>
            <w:vAlign w:val="bottom"/>
            <w:tcBorders>
              <w:bottom w:val="single" w:sz="8" w:color="auto"/>
            </w:tcBorders>
            <w:gridSpan w:val="3"/>
          </w:tcPr>
          <w:p>
            <w:pPr>
              <w:jc w:val="center"/>
              <w:ind w:left="209"/>
              <w:spacing w:after="0"/>
              <w:rPr>
                <w:sz w:val="20"/>
                <w:szCs w:val="20"/>
                <w:color w:val="auto"/>
              </w:rPr>
            </w:pPr>
            <w:r>
              <w:rPr>
                <w:rFonts w:ascii="Arial" w:cs="Arial" w:eastAsia="Arial" w:hAnsi="Arial"/>
                <w:sz w:val="14"/>
                <w:szCs w:val="14"/>
                <w:color w:val="auto"/>
                <w:w w:val="91"/>
              </w:rPr>
              <w:t>54,849,046</w:t>
            </w:r>
          </w:p>
        </w:tc>
        <w:tc>
          <w:tcPr>
            <w:tcW w:w="100" w:type="dxa"/>
            <w:vAlign w:val="bottom"/>
          </w:tcPr>
          <w:p>
            <w:pPr>
              <w:spacing w:after="0"/>
              <w:rPr>
                <w:sz w:val="24"/>
                <w:szCs w:val="24"/>
                <w:color w:val="auto"/>
              </w:rPr>
            </w:pPr>
          </w:p>
        </w:tc>
      </w:tr>
      <w:tr>
        <w:trPr>
          <w:trHeight w:val="302"/>
        </w:trPr>
        <w:tc>
          <w:tcPr>
            <w:tcW w:w="6060" w:type="dxa"/>
            <w:vAlign w:val="bottom"/>
            <w:tcBorders>
              <w:bottom w:val="single" w:sz="8" w:color="9A9A9A"/>
            </w:tcBorders>
          </w:tcPr>
          <w:p>
            <w:pPr>
              <w:spacing w:after="0"/>
              <w:rPr>
                <w:sz w:val="24"/>
                <w:szCs w:val="24"/>
                <w:color w:val="auto"/>
              </w:rPr>
            </w:pPr>
          </w:p>
        </w:tc>
        <w:tc>
          <w:tcPr>
            <w:tcW w:w="980" w:type="dxa"/>
            <w:vAlign w:val="bottom"/>
            <w:tcBorders>
              <w:bottom w:val="single" w:sz="8" w:color="9A9A9A"/>
            </w:tcBorders>
          </w:tcPr>
          <w:p>
            <w:pPr>
              <w:spacing w:after="0"/>
              <w:rPr>
                <w:sz w:val="24"/>
                <w:szCs w:val="24"/>
                <w:color w:val="auto"/>
              </w:rPr>
            </w:pPr>
          </w:p>
        </w:tc>
        <w:tc>
          <w:tcPr>
            <w:tcW w:w="140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104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120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r>
      <w:tr>
        <w:trPr>
          <w:trHeight w:val="20"/>
        </w:trPr>
        <w:tc>
          <w:tcPr>
            <w:tcW w:w="6060" w:type="dxa"/>
            <w:vAlign w:val="bottom"/>
            <w:tcBorders>
              <w:bottom w:val="single" w:sz="8" w:color="EEEEEE"/>
            </w:tcBorders>
          </w:tcPr>
          <w:p>
            <w:pPr>
              <w:spacing w:after="0" w:line="20" w:lineRule="exact"/>
              <w:rPr>
                <w:sz w:val="1"/>
                <w:szCs w:val="1"/>
                <w:color w:val="auto"/>
              </w:rPr>
            </w:pPr>
          </w:p>
        </w:tc>
        <w:tc>
          <w:tcPr>
            <w:tcW w:w="980" w:type="dxa"/>
            <w:vAlign w:val="bottom"/>
            <w:tcBorders>
              <w:bottom w:val="single" w:sz="8" w:color="EEEEEE"/>
            </w:tcBorders>
          </w:tcPr>
          <w:p>
            <w:pPr>
              <w:spacing w:after="0" w:line="20" w:lineRule="exact"/>
              <w:rPr>
                <w:sz w:val="1"/>
                <w:szCs w:val="1"/>
                <w:color w:val="auto"/>
              </w:rPr>
            </w:pPr>
          </w:p>
        </w:tc>
        <w:tc>
          <w:tcPr>
            <w:tcW w:w="140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104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120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20955" cy="596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0955" cy="59690"/>
                    </a:xfrm>
                    <a:prstGeom prst="rect">
                      <a:avLst/>
                    </a:prstGeom>
                    <a:noFill/>
                  </pic:spPr>
                </pic:pic>
              </a:graphicData>
            </a:graphic>
          </wp:anchor>
        </w:drawing>
      </w:r>
    </w:p>
    <w:p>
      <w:pPr>
        <w:sectPr>
          <w:pgSz w:w="12240" w:h="15840" w:orient="portrait"/>
          <w:cols w:equalWidth="0" w:num="1">
            <w:col w:w="11160"/>
          </w:cols>
          <w:pgMar w:left="520" w:top="0" w:right="560" w:bottom="1440" w:gutter="0" w:footer="0" w:header="0"/>
        </w:sectPr>
      </w:pPr>
    </w:p>
    <w:bookmarkStart w:id="7" w:name="page8"/>
    <w:bookmarkEnd w:id="7"/>
    <w:p>
      <w:pPr>
        <w:jc w:val="center"/>
        <w:ind w:right="-19"/>
        <w:spacing w:after="0"/>
        <w:rPr>
          <w:sz w:val="20"/>
          <w:szCs w:val="20"/>
          <w:color w:val="auto"/>
        </w:rPr>
      </w:pPr>
      <w:r>
        <w:rPr>
          <w:rFonts w:ascii="Arial" w:cs="Arial" w:eastAsia="Arial" w:hAnsi="Arial"/>
          <w:sz w:val="21"/>
          <w:szCs w:val="21"/>
          <w:b w:val="1"/>
          <w:bCs w:val="1"/>
          <w:color w:val="auto"/>
        </w:rPr>
        <w:t>ICON plc</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Condensed Consolidated Statements of Operations</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(US GAAP)</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Three and Twelve Months ended December 31, 2018 and December 31, 2017</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(Dollars, in thousands, except share and per share data)</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(Unaudited)</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6060" w:type="dxa"/>
            <w:vAlign w:val="bottom"/>
          </w:tcPr>
          <w:p>
            <w:pPr>
              <w:spacing w:after="0"/>
              <w:rPr>
                <w:sz w:val="15"/>
                <w:szCs w:val="15"/>
                <w:color w:val="auto"/>
              </w:rPr>
            </w:pPr>
          </w:p>
        </w:tc>
        <w:tc>
          <w:tcPr>
            <w:tcW w:w="2440" w:type="dxa"/>
            <w:vAlign w:val="bottom"/>
            <w:gridSpan w:val="2"/>
          </w:tcPr>
          <w:p>
            <w:pPr>
              <w:ind w:left="540"/>
              <w:spacing w:after="0"/>
              <w:rPr>
                <w:sz w:val="20"/>
                <w:szCs w:val="20"/>
                <w:color w:val="auto"/>
              </w:rPr>
            </w:pPr>
            <w:r>
              <w:rPr>
                <w:rFonts w:ascii="Arial" w:cs="Arial" w:eastAsia="Arial" w:hAnsi="Arial"/>
                <w:sz w:val="14"/>
                <w:szCs w:val="14"/>
                <w:b w:val="1"/>
                <w:bCs w:val="1"/>
                <w:color w:val="auto"/>
              </w:rPr>
              <w:t>Three Months Ended</w:t>
            </w:r>
          </w:p>
        </w:tc>
        <w:tc>
          <w:tcPr>
            <w:tcW w:w="2560" w:type="dxa"/>
            <w:vAlign w:val="bottom"/>
            <w:gridSpan w:val="2"/>
          </w:tcPr>
          <w:p>
            <w:pPr>
              <w:ind w:left="620"/>
              <w:spacing w:after="0"/>
              <w:rPr>
                <w:sz w:val="20"/>
                <w:szCs w:val="20"/>
                <w:color w:val="auto"/>
              </w:rPr>
            </w:pPr>
            <w:r>
              <w:rPr>
                <w:rFonts w:ascii="Arial" w:cs="Arial" w:eastAsia="Arial" w:hAnsi="Arial"/>
                <w:sz w:val="14"/>
                <w:szCs w:val="14"/>
                <w:b w:val="1"/>
                <w:bCs w:val="1"/>
                <w:color w:val="auto"/>
              </w:rPr>
              <w:t>Twelve Months Ended</w:t>
            </w:r>
          </w:p>
        </w:tc>
        <w:tc>
          <w:tcPr>
            <w:tcW w:w="100" w:type="dxa"/>
            <w:vAlign w:val="bottom"/>
          </w:tcPr>
          <w:p>
            <w:pPr>
              <w:spacing w:after="0"/>
              <w:rPr>
                <w:sz w:val="15"/>
                <w:szCs w:val="15"/>
                <w:color w:val="auto"/>
              </w:rPr>
            </w:pPr>
          </w:p>
        </w:tc>
      </w:tr>
      <w:tr>
        <w:trPr>
          <w:trHeight w:val="184"/>
        </w:trPr>
        <w:tc>
          <w:tcPr>
            <w:tcW w:w="6060" w:type="dxa"/>
            <w:vAlign w:val="bottom"/>
          </w:tcPr>
          <w:p>
            <w:pPr>
              <w:spacing w:after="0"/>
              <w:rPr>
                <w:sz w:val="15"/>
                <w:szCs w:val="15"/>
                <w:color w:val="auto"/>
              </w:rPr>
            </w:pPr>
          </w:p>
        </w:tc>
        <w:tc>
          <w:tcPr>
            <w:tcW w:w="118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December</w:t>
            </w:r>
          </w:p>
        </w:tc>
        <w:tc>
          <w:tcPr>
            <w:tcW w:w="1260" w:type="dxa"/>
            <w:vAlign w:val="bottom"/>
            <w:tcBorders>
              <w:bottom w:val="single" w:sz="8" w:color="auto"/>
            </w:tcBorders>
          </w:tcPr>
          <w:p>
            <w:pPr>
              <w:ind w:left="320"/>
              <w:spacing w:after="0"/>
              <w:rPr>
                <w:sz w:val="20"/>
                <w:szCs w:val="20"/>
                <w:color w:val="auto"/>
              </w:rPr>
            </w:pPr>
            <w:r>
              <w:rPr>
                <w:rFonts w:ascii="Arial" w:cs="Arial" w:eastAsia="Arial" w:hAnsi="Arial"/>
                <w:sz w:val="14"/>
                <w:szCs w:val="14"/>
                <w:b w:val="1"/>
                <w:bCs w:val="1"/>
                <w:color w:val="auto"/>
              </w:rPr>
              <w:t>December</w:t>
            </w:r>
          </w:p>
        </w:tc>
        <w:tc>
          <w:tcPr>
            <w:tcW w:w="1300" w:type="dxa"/>
            <w:vAlign w:val="bottom"/>
            <w:tcBorders>
              <w:bottom w:val="single" w:sz="8" w:color="auto"/>
            </w:tcBorders>
          </w:tcPr>
          <w:p>
            <w:pPr>
              <w:ind w:left="320"/>
              <w:spacing w:after="0"/>
              <w:rPr>
                <w:sz w:val="20"/>
                <w:szCs w:val="20"/>
                <w:color w:val="auto"/>
              </w:rPr>
            </w:pPr>
            <w:r>
              <w:rPr>
                <w:rFonts w:ascii="Arial" w:cs="Arial" w:eastAsia="Arial" w:hAnsi="Arial"/>
                <w:sz w:val="14"/>
                <w:szCs w:val="14"/>
                <w:b w:val="1"/>
                <w:bCs w:val="1"/>
                <w:color w:val="auto"/>
              </w:rPr>
              <w:t>December</w:t>
            </w:r>
          </w:p>
        </w:tc>
        <w:tc>
          <w:tcPr>
            <w:tcW w:w="1260" w:type="dxa"/>
            <w:vAlign w:val="bottom"/>
            <w:tcBorders>
              <w:bottom w:val="single" w:sz="8" w:color="auto"/>
            </w:tcBorders>
          </w:tcPr>
          <w:p>
            <w:pPr>
              <w:ind w:left="340"/>
              <w:spacing w:after="0"/>
              <w:rPr>
                <w:sz w:val="20"/>
                <w:szCs w:val="20"/>
                <w:color w:val="auto"/>
              </w:rPr>
            </w:pPr>
            <w:r>
              <w:rPr>
                <w:rFonts w:ascii="Arial" w:cs="Arial" w:eastAsia="Arial" w:hAnsi="Arial"/>
                <w:sz w:val="14"/>
                <w:szCs w:val="14"/>
                <w:b w:val="1"/>
                <w:bCs w:val="1"/>
                <w:color w:val="auto"/>
              </w:rPr>
              <w:t>December</w:t>
            </w:r>
          </w:p>
        </w:tc>
        <w:tc>
          <w:tcPr>
            <w:tcW w:w="100" w:type="dxa"/>
            <w:vAlign w:val="bottom"/>
          </w:tcPr>
          <w:p>
            <w:pPr>
              <w:spacing w:after="0"/>
              <w:rPr>
                <w:sz w:val="15"/>
                <w:szCs w:val="15"/>
                <w:color w:val="auto"/>
              </w:rPr>
            </w:pPr>
          </w:p>
        </w:tc>
      </w:tr>
      <w:tr>
        <w:trPr>
          <w:trHeight w:val="168"/>
        </w:trPr>
        <w:tc>
          <w:tcPr>
            <w:tcW w:w="6060" w:type="dxa"/>
            <w:vAlign w:val="bottom"/>
          </w:tcPr>
          <w:p>
            <w:pPr>
              <w:spacing w:after="0"/>
              <w:rPr>
                <w:sz w:val="14"/>
                <w:szCs w:val="14"/>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31, 2018</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31, 2017</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31, 2018</w:t>
            </w:r>
          </w:p>
        </w:tc>
        <w:tc>
          <w:tcPr>
            <w:tcW w:w="1260" w:type="dxa"/>
            <w:vAlign w:val="bottom"/>
            <w:tcBorders>
              <w:bottom w:val="single" w:sz="8" w:color="auto"/>
            </w:tcBorders>
          </w:tcPr>
          <w:p>
            <w:pPr>
              <w:jc w:val="center"/>
              <w:ind w:left="9"/>
              <w:spacing w:after="0"/>
              <w:rPr>
                <w:sz w:val="20"/>
                <w:szCs w:val="20"/>
                <w:color w:val="auto"/>
              </w:rPr>
            </w:pPr>
            <w:r>
              <w:rPr>
                <w:rFonts w:ascii="Arial" w:cs="Arial" w:eastAsia="Arial" w:hAnsi="Arial"/>
                <w:sz w:val="14"/>
                <w:szCs w:val="14"/>
                <w:b w:val="1"/>
                <w:bCs w:val="1"/>
                <w:color w:val="auto"/>
                <w:w w:val="91"/>
              </w:rPr>
              <w:t>31, 2017</w:t>
            </w:r>
          </w:p>
        </w:tc>
        <w:tc>
          <w:tcPr>
            <w:tcW w:w="100" w:type="dxa"/>
            <w:vAlign w:val="bottom"/>
          </w:tcPr>
          <w:p>
            <w:pPr>
              <w:spacing w:after="0"/>
              <w:rPr>
                <w:sz w:val="14"/>
                <w:szCs w:val="14"/>
                <w:color w:val="auto"/>
              </w:rPr>
            </w:pPr>
          </w:p>
        </w:tc>
      </w:tr>
      <w:tr>
        <w:trPr>
          <w:trHeight w:val="163"/>
        </w:trPr>
        <w:tc>
          <w:tcPr>
            <w:tcW w:w="6060" w:type="dxa"/>
            <w:vAlign w:val="bottom"/>
          </w:tcPr>
          <w:p>
            <w:pPr>
              <w:spacing w:after="0"/>
              <w:rPr>
                <w:sz w:val="20"/>
                <w:szCs w:val="20"/>
                <w:color w:val="auto"/>
              </w:rPr>
            </w:pPr>
            <w:r>
              <w:rPr>
                <w:rFonts w:ascii="Arial" w:cs="Arial" w:eastAsia="Arial" w:hAnsi="Arial"/>
                <w:sz w:val="14"/>
                <w:szCs w:val="14"/>
                <w:b w:val="1"/>
                <w:bCs w:val="1"/>
                <w:color w:val="auto"/>
              </w:rPr>
              <w:t>Revenue:</w:t>
            </w:r>
          </w:p>
        </w:tc>
        <w:tc>
          <w:tcPr>
            <w:tcW w:w="11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74"/>
        </w:trPr>
        <w:tc>
          <w:tcPr>
            <w:tcW w:w="6060" w:type="dxa"/>
            <w:vAlign w:val="bottom"/>
          </w:tcPr>
          <w:p>
            <w:pPr>
              <w:ind w:left="460"/>
              <w:spacing w:after="0"/>
              <w:rPr>
                <w:sz w:val="20"/>
                <w:szCs w:val="20"/>
                <w:color w:val="auto"/>
              </w:rPr>
            </w:pPr>
            <w:r>
              <w:rPr>
                <w:rFonts w:ascii="Arial" w:cs="Arial" w:eastAsia="Arial" w:hAnsi="Arial"/>
                <w:sz w:val="14"/>
                <w:szCs w:val="14"/>
                <w:color w:val="auto"/>
              </w:rPr>
              <w:t>Revenue</w:t>
            </w:r>
          </w:p>
        </w:tc>
        <w:tc>
          <w:tcPr>
            <w:tcW w:w="1180" w:type="dxa"/>
            <w:vAlign w:val="bottom"/>
          </w:tcPr>
          <w:p>
            <w:pPr>
              <w:jc w:val="center"/>
              <w:spacing w:after="0"/>
              <w:rPr>
                <w:sz w:val="20"/>
                <w:szCs w:val="20"/>
                <w:color w:val="auto"/>
              </w:rPr>
            </w:pPr>
            <w:r>
              <w:rPr>
                <w:rFonts w:ascii="Arial" w:cs="Arial" w:eastAsia="Arial" w:hAnsi="Arial"/>
                <w:sz w:val="14"/>
                <w:szCs w:val="14"/>
                <w:color w:val="auto"/>
                <w:w w:val="90"/>
              </w:rPr>
              <w:t>679,025</w:t>
            </w:r>
          </w:p>
        </w:tc>
        <w:tc>
          <w:tcPr>
            <w:tcW w:w="1260" w:type="dxa"/>
            <w:vAlign w:val="bottom"/>
          </w:tcPr>
          <w:p>
            <w:pPr>
              <w:jc w:val="center"/>
              <w:spacing w:after="0"/>
              <w:rPr>
                <w:sz w:val="20"/>
                <w:szCs w:val="20"/>
                <w:color w:val="auto"/>
              </w:rPr>
            </w:pPr>
            <w:r>
              <w:rPr>
                <w:rFonts w:ascii="Arial" w:cs="Arial" w:eastAsia="Arial" w:hAnsi="Arial"/>
                <w:sz w:val="14"/>
                <w:szCs w:val="14"/>
                <w:color w:val="auto"/>
                <w:w w:val="90"/>
              </w:rPr>
              <w:t>636,305</w:t>
            </w:r>
          </w:p>
        </w:tc>
        <w:tc>
          <w:tcPr>
            <w:tcW w:w="1300" w:type="dxa"/>
            <w:vAlign w:val="bottom"/>
          </w:tcPr>
          <w:p>
            <w:pPr>
              <w:jc w:val="center"/>
              <w:spacing w:after="0"/>
              <w:rPr>
                <w:sz w:val="20"/>
                <w:szCs w:val="20"/>
                <w:color w:val="auto"/>
              </w:rPr>
            </w:pPr>
            <w:r>
              <w:rPr>
                <w:rFonts w:ascii="Arial" w:cs="Arial" w:eastAsia="Arial" w:hAnsi="Arial"/>
                <w:sz w:val="14"/>
                <w:szCs w:val="14"/>
                <w:color w:val="auto"/>
                <w:w w:val="89"/>
              </w:rPr>
              <w:t>2,595,777</w:t>
            </w:r>
          </w:p>
        </w:tc>
        <w:tc>
          <w:tcPr>
            <w:tcW w:w="1260" w:type="dxa"/>
            <w:vAlign w:val="bottom"/>
          </w:tcPr>
          <w:p>
            <w:pPr>
              <w:jc w:val="center"/>
              <w:spacing w:after="0"/>
              <w:rPr>
                <w:sz w:val="20"/>
                <w:szCs w:val="20"/>
                <w:color w:val="auto"/>
              </w:rPr>
            </w:pPr>
            <w:r>
              <w:rPr>
                <w:rFonts w:ascii="Arial" w:cs="Arial" w:eastAsia="Arial" w:hAnsi="Arial"/>
                <w:sz w:val="14"/>
                <w:szCs w:val="14"/>
                <w:color w:val="auto"/>
                <w:w w:val="89"/>
              </w:rPr>
              <w:t>2,402,321</w:t>
            </w:r>
          </w:p>
        </w:tc>
        <w:tc>
          <w:tcPr>
            <w:tcW w:w="100" w:type="dxa"/>
            <w:vAlign w:val="bottom"/>
          </w:tcPr>
          <w:p>
            <w:pPr>
              <w:spacing w:after="0"/>
              <w:rPr>
                <w:sz w:val="15"/>
                <w:szCs w:val="15"/>
                <w:color w:val="auto"/>
              </w:rPr>
            </w:pPr>
          </w:p>
        </w:tc>
      </w:tr>
      <w:tr>
        <w:trPr>
          <w:trHeight w:val="180"/>
        </w:trPr>
        <w:tc>
          <w:tcPr>
            <w:tcW w:w="6060" w:type="dxa"/>
            <w:vAlign w:val="bottom"/>
            <w:tcBorders>
              <w:bottom w:val="single" w:sz="8" w:color="auto"/>
            </w:tcBorders>
          </w:tcPr>
          <w:p>
            <w:pPr>
              <w:ind w:left="460"/>
              <w:spacing w:after="0"/>
              <w:rPr>
                <w:sz w:val="20"/>
                <w:szCs w:val="20"/>
                <w:color w:val="auto"/>
              </w:rPr>
            </w:pPr>
            <w:r>
              <w:rPr>
                <w:rFonts w:ascii="Arial" w:cs="Arial" w:eastAsia="Arial" w:hAnsi="Arial"/>
                <w:sz w:val="14"/>
                <w:szCs w:val="14"/>
                <w:color w:val="auto"/>
              </w:rPr>
              <w:t>Reimbursable expenses</w:t>
            </w:r>
          </w:p>
        </w:tc>
        <w:tc>
          <w:tcPr>
            <w:tcW w:w="118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(181,166)</w:t>
            </w:r>
          </w:p>
        </w:tc>
        <w:tc>
          <w:tcPr>
            <w:tcW w:w="130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(643,882)</w:t>
            </w:r>
          </w:p>
        </w:tc>
        <w:tc>
          <w:tcPr>
            <w:tcW w:w="100" w:type="dxa"/>
            <w:vAlign w:val="bottom"/>
          </w:tcPr>
          <w:p>
            <w:pPr>
              <w:spacing w:after="0"/>
              <w:rPr>
                <w:sz w:val="15"/>
                <w:szCs w:val="15"/>
                <w:color w:val="auto"/>
              </w:rPr>
            </w:pPr>
          </w:p>
        </w:tc>
      </w:tr>
      <w:tr>
        <w:trPr>
          <w:trHeight w:val="344"/>
        </w:trPr>
        <w:tc>
          <w:tcPr>
            <w:tcW w:w="60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60" w:type="dxa"/>
            <w:vAlign w:val="bottom"/>
          </w:tcPr>
          <w:p>
            <w:pPr>
              <w:jc w:val="center"/>
              <w:spacing w:after="0"/>
              <w:rPr>
                <w:sz w:val="20"/>
                <w:szCs w:val="20"/>
                <w:color w:val="auto"/>
              </w:rPr>
            </w:pPr>
            <w:r>
              <w:rPr>
                <w:rFonts w:ascii="Arial" w:cs="Arial" w:eastAsia="Arial" w:hAnsi="Arial"/>
                <w:sz w:val="14"/>
                <w:szCs w:val="14"/>
                <w:color w:val="auto"/>
                <w:w w:val="90"/>
              </w:rPr>
              <w:t>455,139</w:t>
            </w:r>
          </w:p>
        </w:tc>
        <w:tc>
          <w:tcPr>
            <w:tcW w:w="1300" w:type="dxa"/>
            <w:vAlign w:val="bottom"/>
          </w:tcPr>
          <w:p>
            <w:pPr>
              <w:spacing w:after="0"/>
              <w:rPr>
                <w:sz w:val="24"/>
                <w:szCs w:val="24"/>
                <w:color w:val="auto"/>
              </w:rPr>
            </w:pPr>
          </w:p>
        </w:tc>
        <w:tc>
          <w:tcPr>
            <w:tcW w:w="1260" w:type="dxa"/>
            <w:vAlign w:val="bottom"/>
          </w:tcPr>
          <w:p>
            <w:pPr>
              <w:jc w:val="center"/>
              <w:spacing w:after="0"/>
              <w:rPr>
                <w:sz w:val="20"/>
                <w:szCs w:val="20"/>
                <w:color w:val="auto"/>
              </w:rPr>
            </w:pPr>
            <w:r>
              <w:rPr>
                <w:rFonts w:ascii="Arial" w:cs="Arial" w:eastAsia="Arial" w:hAnsi="Arial"/>
                <w:sz w:val="14"/>
                <w:szCs w:val="14"/>
                <w:color w:val="auto"/>
                <w:w w:val="89"/>
              </w:rPr>
              <w:t>1,758,439</w:t>
            </w:r>
          </w:p>
        </w:tc>
        <w:tc>
          <w:tcPr>
            <w:tcW w:w="100" w:type="dxa"/>
            <w:vAlign w:val="bottom"/>
          </w:tcPr>
          <w:p>
            <w:pPr>
              <w:spacing w:after="0"/>
              <w:rPr>
                <w:sz w:val="24"/>
                <w:szCs w:val="24"/>
                <w:color w:val="auto"/>
              </w:rPr>
            </w:pPr>
          </w:p>
        </w:tc>
      </w:tr>
      <w:tr>
        <w:trPr>
          <w:trHeight w:val="342"/>
        </w:trPr>
        <w:tc>
          <w:tcPr>
            <w:tcW w:w="6060" w:type="dxa"/>
            <w:vAlign w:val="bottom"/>
          </w:tcPr>
          <w:p>
            <w:pPr>
              <w:spacing w:after="0"/>
              <w:rPr>
                <w:sz w:val="20"/>
                <w:szCs w:val="20"/>
                <w:color w:val="auto"/>
              </w:rPr>
            </w:pPr>
            <w:r>
              <w:rPr>
                <w:rFonts w:ascii="Arial" w:cs="Arial" w:eastAsia="Arial" w:hAnsi="Arial"/>
                <w:sz w:val="14"/>
                <w:szCs w:val="14"/>
                <w:b w:val="1"/>
                <w:bCs w:val="1"/>
                <w:color w:val="auto"/>
              </w:rPr>
              <w:t>Costs and expenses:</w:t>
            </w:r>
          </w:p>
        </w:tc>
        <w:tc>
          <w:tcPr>
            <w:tcW w:w="1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74"/>
        </w:trPr>
        <w:tc>
          <w:tcPr>
            <w:tcW w:w="6060" w:type="dxa"/>
            <w:vAlign w:val="bottom"/>
          </w:tcPr>
          <w:p>
            <w:pPr>
              <w:spacing w:after="0"/>
              <w:rPr>
                <w:sz w:val="20"/>
                <w:szCs w:val="20"/>
                <w:color w:val="auto"/>
              </w:rPr>
            </w:pPr>
            <w:r>
              <w:rPr>
                <w:rFonts w:ascii="Arial" w:cs="Arial" w:eastAsia="Arial" w:hAnsi="Arial"/>
                <w:sz w:val="14"/>
                <w:szCs w:val="14"/>
                <w:color w:val="auto"/>
              </w:rPr>
              <w:t>Direct costs</w:t>
            </w:r>
          </w:p>
        </w:tc>
        <w:tc>
          <w:tcPr>
            <w:tcW w:w="1180" w:type="dxa"/>
            <w:vAlign w:val="bottom"/>
          </w:tcPr>
          <w:p>
            <w:pPr>
              <w:jc w:val="center"/>
              <w:spacing w:after="0"/>
              <w:rPr>
                <w:sz w:val="20"/>
                <w:szCs w:val="20"/>
                <w:color w:val="auto"/>
              </w:rPr>
            </w:pPr>
            <w:r>
              <w:rPr>
                <w:rFonts w:ascii="Arial" w:cs="Arial" w:eastAsia="Arial" w:hAnsi="Arial"/>
                <w:sz w:val="14"/>
                <w:szCs w:val="14"/>
                <w:color w:val="auto"/>
                <w:w w:val="93"/>
              </w:rPr>
              <w:t>(479,206)</w:t>
            </w:r>
          </w:p>
        </w:tc>
        <w:tc>
          <w:tcPr>
            <w:tcW w:w="1260" w:type="dxa"/>
            <w:vAlign w:val="bottom"/>
          </w:tcPr>
          <w:p>
            <w:pPr>
              <w:jc w:val="center"/>
              <w:spacing w:after="0"/>
              <w:rPr>
                <w:sz w:val="20"/>
                <w:szCs w:val="20"/>
                <w:color w:val="auto"/>
              </w:rPr>
            </w:pPr>
            <w:r>
              <w:rPr>
                <w:rFonts w:ascii="Arial" w:cs="Arial" w:eastAsia="Arial" w:hAnsi="Arial"/>
                <w:sz w:val="14"/>
                <w:szCs w:val="14"/>
                <w:color w:val="auto"/>
                <w:w w:val="93"/>
              </w:rPr>
              <w:t>(267,135)</w:t>
            </w: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(1,818,220)</w:t>
            </w:r>
          </w:p>
        </w:tc>
        <w:tc>
          <w:tcPr>
            <w:tcW w:w="1260" w:type="dxa"/>
            <w:vAlign w:val="bottom"/>
          </w:tcPr>
          <w:p>
            <w:pPr>
              <w:jc w:val="center"/>
              <w:spacing w:after="0"/>
              <w:rPr>
                <w:sz w:val="20"/>
                <w:szCs w:val="20"/>
                <w:color w:val="auto"/>
              </w:rPr>
            </w:pPr>
            <w:r>
              <w:rPr>
                <w:rFonts w:ascii="Arial" w:cs="Arial" w:eastAsia="Arial" w:hAnsi="Arial"/>
                <w:sz w:val="14"/>
                <w:szCs w:val="14"/>
                <w:color w:val="auto"/>
                <w:w w:val="94"/>
              </w:rPr>
              <w:t>(1,027,310)</w:t>
            </w:r>
          </w:p>
        </w:tc>
        <w:tc>
          <w:tcPr>
            <w:tcW w:w="100" w:type="dxa"/>
            <w:vAlign w:val="bottom"/>
          </w:tcPr>
          <w:p>
            <w:pPr>
              <w:spacing w:after="0"/>
              <w:rPr>
                <w:sz w:val="15"/>
                <w:szCs w:val="15"/>
                <w:color w:val="auto"/>
              </w:rPr>
            </w:pPr>
          </w:p>
        </w:tc>
      </w:tr>
      <w:tr>
        <w:trPr>
          <w:trHeight w:val="174"/>
        </w:trPr>
        <w:tc>
          <w:tcPr>
            <w:tcW w:w="6060" w:type="dxa"/>
            <w:vAlign w:val="bottom"/>
          </w:tcPr>
          <w:p>
            <w:pPr>
              <w:spacing w:after="0"/>
              <w:rPr>
                <w:sz w:val="20"/>
                <w:szCs w:val="20"/>
                <w:color w:val="auto"/>
              </w:rPr>
            </w:pPr>
            <w:r>
              <w:rPr>
                <w:rFonts w:ascii="Arial" w:cs="Arial" w:eastAsia="Arial" w:hAnsi="Arial"/>
                <w:sz w:val="14"/>
                <w:szCs w:val="14"/>
                <w:color w:val="auto"/>
              </w:rPr>
              <w:t>Selling, general and administrative expense</w:t>
            </w:r>
          </w:p>
        </w:tc>
        <w:tc>
          <w:tcPr>
            <w:tcW w:w="1180" w:type="dxa"/>
            <w:vAlign w:val="bottom"/>
          </w:tcPr>
          <w:p>
            <w:pPr>
              <w:jc w:val="center"/>
              <w:spacing w:after="0"/>
              <w:rPr>
                <w:sz w:val="20"/>
                <w:szCs w:val="20"/>
                <w:color w:val="auto"/>
              </w:rPr>
            </w:pPr>
            <w:r>
              <w:rPr>
                <w:rFonts w:ascii="Arial" w:cs="Arial" w:eastAsia="Arial" w:hAnsi="Arial"/>
                <w:sz w:val="14"/>
                <w:szCs w:val="14"/>
                <w:color w:val="auto"/>
                <w:w w:val="95"/>
              </w:rPr>
              <w:t>(83,124)</w:t>
            </w:r>
          </w:p>
        </w:tc>
        <w:tc>
          <w:tcPr>
            <w:tcW w:w="1260" w:type="dxa"/>
            <w:vAlign w:val="bottom"/>
          </w:tcPr>
          <w:p>
            <w:pPr>
              <w:jc w:val="center"/>
              <w:spacing w:after="0"/>
              <w:rPr>
                <w:sz w:val="20"/>
                <w:szCs w:val="20"/>
                <w:color w:val="auto"/>
              </w:rPr>
            </w:pPr>
            <w:r>
              <w:rPr>
                <w:rFonts w:ascii="Arial" w:cs="Arial" w:eastAsia="Arial" w:hAnsi="Arial"/>
                <w:sz w:val="14"/>
                <w:szCs w:val="14"/>
                <w:color w:val="auto"/>
                <w:w w:val="95"/>
              </w:rPr>
              <w:t>(82,086)</w:t>
            </w:r>
          </w:p>
        </w:tc>
        <w:tc>
          <w:tcPr>
            <w:tcW w:w="1300" w:type="dxa"/>
            <w:vAlign w:val="bottom"/>
          </w:tcPr>
          <w:p>
            <w:pPr>
              <w:jc w:val="center"/>
              <w:spacing w:after="0"/>
              <w:rPr>
                <w:sz w:val="20"/>
                <w:szCs w:val="20"/>
                <w:color w:val="auto"/>
              </w:rPr>
            </w:pPr>
            <w:r>
              <w:rPr>
                <w:rFonts w:ascii="Arial" w:cs="Arial" w:eastAsia="Arial" w:hAnsi="Arial"/>
                <w:sz w:val="14"/>
                <w:szCs w:val="14"/>
                <w:color w:val="auto"/>
                <w:w w:val="93"/>
              </w:rPr>
              <w:t>(325,794)</w:t>
            </w:r>
          </w:p>
        </w:tc>
        <w:tc>
          <w:tcPr>
            <w:tcW w:w="1260" w:type="dxa"/>
            <w:vAlign w:val="bottom"/>
          </w:tcPr>
          <w:p>
            <w:pPr>
              <w:jc w:val="center"/>
              <w:spacing w:after="0"/>
              <w:rPr>
                <w:sz w:val="20"/>
                <w:szCs w:val="20"/>
                <w:color w:val="auto"/>
              </w:rPr>
            </w:pPr>
            <w:r>
              <w:rPr>
                <w:rFonts w:ascii="Arial" w:cs="Arial" w:eastAsia="Arial" w:hAnsi="Arial"/>
                <w:sz w:val="14"/>
                <w:szCs w:val="14"/>
                <w:color w:val="auto"/>
                <w:w w:val="93"/>
              </w:rPr>
              <w:t>(323,741)</w:t>
            </w:r>
          </w:p>
        </w:tc>
        <w:tc>
          <w:tcPr>
            <w:tcW w:w="100" w:type="dxa"/>
            <w:vAlign w:val="bottom"/>
          </w:tcPr>
          <w:p>
            <w:pPr>
              <w:spacing w:after="0"/>
              <w:rPr>
                <w:sz w:val="15"/>
                <w:szCs w:val="15"/>
                <w:color w:val="auto"/>
              </w:rPr>
            </w:pPr>
          </w:p>
        </w:tc>
      </w:tr>
      <w:tr>
        <w:trPr>
          <w:trHeight w:val="174"/>
        </w:trPr>
        <w:tc>
          <w:tcPr>
            <w:tcW w:w="6060" w:type="dxa"/>
            <w:vAlign w:val="bottom"/>
          </w:tcPr>
          <w:p>
            <w:pPr>
              <w:spacing w:after="0"/>
              <w:rPr>
                <w:sz w:val="20"/>
                <w:szCs w:val="20"/>
                <w:color w:val="auto"/>
              </w:rPr>
            </w:pPr>
            <w:r>
              <w:rPr>
                <w:rFonts w:ascii="Arial" w:cs="Arial" w:eastAsia="Arial" w:hAnsi="Arial"/>
                <w:sz w:val="14"/>
                <w:szCs w:val="14"/>
                <w:color w:val="auto"/>
              </w:rPr>
              <w:t>Depreciation and amortization</w:t>
            </w:r>
          </w:p>
        </w:tc>
        <w:tc>
          <w:tcPr>
            <w:tcW w:w="1180" w:type="dxa"/>
            <w:vAlign w:val="bottom"/>
          </w:tcPr>
          <w:p>
            <w:pPr>
              <w:jc w:val="center"/>
              <w:spacing w:after="0"/>
              <w:rPr>
                <w:sz w:val="20"/>
                <w:szCs w:val="20"/>
                <w:color w:val="auto"/>
              </w:rPr>
            </w:pPr>
            <w:r>
              <w:rPr>
                <w:rFonts w:ascii="Arial" w:cs="Arial" w:eastAsia="Arial" w:hAnsi="Arial"/>
                <w:sz w:val="14"/>
                <w:szCs w:val="14"/>
                <w:color w:val="auto"/>
                <w:w w:val="95"/>
              </w:rPr>
              <w:t>(14,910)</w:t>
            </w:r>
          </w:p>
        </w:tc>
        <w:tc>
          <w:tcPr>
            <w:tcW w:w="1260" w:type="dxa"/>
            <w:vAlign w:val="bottom"/>
          </w:tcPr>
          <w:p>
            <w:pPr>
              <w:jc w:val="center"/>
              <w:spacing w:after="0"/>
              <w:rPr>
                <w:sz w:val="20"/>
                <w:szCs w:val="20"/>
                <w:color w:val="auto"/>
              </w:rPr>
            </w:pPr>
            <w:r>
              <w:rPr>
                <w:rFonts w:ascii="Arial" w:cs="Arial" w:eastAsia="Arial" w:hAnsi="Arial"/>
                <w:sz w:val="14"/>
                <w:szCs w:val="14"/>
                <w:color w:val="auto"/>
                <w:w w:val="95"/>
              </w:rPr>
              <w:t>(16,174)</w:t>
            </w:r>
          </w:p>
        </w:tc>
        <w:tc>
          <w:tcPr>
            <w:tcW w:w="1300" w:type="dxa"/>
            <w:vAlign w:val="bottom"/>
          </w:tcPr>
          <w:p>
            <w:pPr>
              <w:jc w:val="center"/>
              <w:spacing w:after="0"/>
              <w:rPr>
                <w:sz w:val="20"/>
                <w:szCs w:val="20"/>
                <w:color w:val="auto"/>
              </w:rPr>
            </w:pPr>
            <w:r>
              <w:rPr>
                <w:rFonts w:ascii="Arial" w:cs="Arial" w:eastAsia="Arial" w:hAnsi="Arial"/>
                <w:sz w:val="14"/>
                <w:szCs w:val="14"/>
                <w:color w:val="auto"/>
                <w:w w:val="91"/>
              </w:rPr>
              <w:t>(65,916)</w:t>
            </w:r>
          </w:p>
        </w:tc>
        <w:tc>
          <w:tcPr>
            <w:tcW w:w="1260" w:type="dxa"/>
            <w:vAlign w:val="bottom"/>
          </w:tcPr>
          <w:p>
            <w:pPr>
              <w:jc w:val="center"/>
              <w:spacing w:after="0"/>
              <w:rPr>
                <w:sz w:val="20"/>
                <w:szCs w:val="20"/>
                <w:color w:val="auto"/>
              </w:rPr>
            </w:pPr>
            <w:r>
              <w:rPr>
                <w:rFonts w:ascii="Arial" w:cs="Arial" w:eastAsia="Arial" w:hAnsi="Arial"/>
                <w:sz w:val="14"/>
                <w:szCs w:val="14"/>
                <w:color w:val="auto"/>
                <w:w w:val="91"/>
              </w:rPr>
              <w:t>(61,297)</w:t>
            </w:r>
          </w:p>
        </w:tc>
        <w:tc>
          <w:tcPr>
            <w:tcW w:w="100" w:type="dxa"/>
            <w:vAlign w:val="bottom"/>
          </w:tcPr>
          <w:p>
            <w:pPr>
              <w:spacing w:after="0"/>
              <w:rPr>
                <w:sz w:val="15"/>
                <w:szCs w:val="15"/>
                <w:color w:val="auto"/>
              </w:rPr>
            </w:pPr>
          </w:p>
        </w:tc>
      </w:tr>
      <w:tr>
        <w:trPr>
          <w:trHeight w:val="180"/>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Restructuring costs</w:t>
            </w: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rPr>
              <w:t>-</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(12,490)</w:t>
            </w:r>
          </w:p>
        </w:tc>
        <w:tc>
          <w:tcPr>
            <w:tcW w:w="1260" w:type="dxa"/>
            <w:vAlign w:val="bottom"/>
            <w:tcBorders>
              <w:bottom w:val="single" w:sz="8" w:color="auto"/>
            </w:tcBorders>
          </w:tcPr>
          <w:p>
            <w:pPr>
              <w:jc w:val="center"/>
              <w:ind w:left="9"/>
              <w:spacing w:after="0"/>
              <w:rPr>
                <w:sz w:val="20"/>
                <w:szCs w:val="20"/>
                <w:color w:val="auto"/>
              </w:rPr>
            </w:pPr>
            <w:r>
              <w:rPr>
                <w:rFonts w:ascii="Arial" w:cs="Arial" w:eastAsia="Arial" w:hAnsi="Arial"/>
                <w:sz w:val="14"/>
                <w:szCs w:val="14"/>
                <w:color w:val="auto"/>
                <w:w w:val="94"/>
              </w:rPr>
              <w:t>(7,753)</w:t>
            </w:r>
          </w:p>
        </w:tc>
        <w:tc>
          <w:tcPr>
            <w:tcW w:w="100" w:type="dxa"/>
            <w:vAlign w:val="bottom"/>
          </w:tcPr>
          <w:p>
            <w:pPr>
              <w:spacing w:after="0"/>
              <w:rPr>
                <w:sz w:val="15"/>
                <w:szCs w:val="15"/>
                <w:color w:val="auto"/>
              </w:rPr>
            </w:pPr>
          </w:p>
        </w:tc>
      </w:tr>
      <w:tr>
        <w:trPr>
          <w:trHeight w:val="342"/>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Total costs and expenses</w:t>
            </w: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(577,240)</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(365,395)</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(2,222,420)</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(1,420,101)</w:t>
            </w:r>
          </w:p>
        </w:tc>
        <w:tc>
          <w:tcPr>
            <w:tcW w:w="100" w:type="dxa"/>
            <w:vAlign w:val="bottom"/>
          </w:tcPr>
          <w:p>
            <w:pPr>
              <w:spacing w:after="0"/>
              <w:rPr>
                <w:sz w:val="24"/>
                <w:szCs w:val="24"/>
                <w:color w:val="auto"/>
              </w:rPr>
            </w:pPr>
          </w:p>
        </w:tc>
      </w:tr>
      <w:tr>
        <w:trPr>
          <w:trHeight w:val="344"/>
        </w:trPr>
        <w:tc>
          <w:tcPr>
            <w:tcW w:w="6060" w:type="dxa"/>
            <w:vAlign w:val="bottom"/>
          </w:tcPr>
          <w:p>
            <w:pPr>
              <w:spacing w:after="0"/>
              <w:rPr>
                <w:sz w:val="20"/>
                <w:szCs w:val="20"/>
                <w:color w:val="auto"/>
              </w:rPr>
            </w:pPr>
            <w:r>
              <w:rPr>
                <w:rFonts w:ascii="Arial" w:cs="Arial" w:eastAsia="Arial" w:hAnsi="Arial"/>
                <w:sz w:val="14"/>
                <w:szCs w:val="14"/>
                <w:b w:val="1"/>
                <w:bCs w:val="1"/>
                <w:color w:val="auto"/>
              </w:rPr>
              <w:t>Income from operations</w:t>
            </w:r>
          </w:p>
        </w:tc>
        <w:tc>
          <w:tcPr>
            <w:tcW w:w="1180" w:type="dxa"/>
            <w:vAlign w:val="bottom"/>
          </w:tcPr>
          <w:p>
            <w:pPr>
              <w:jc w:val="center"/>
              <w:spacing w:after="0"/>
              <w:rPr>
                <w:sz w:val="20"/>
                <w:szCs w:val="20"/>
                <w:color w:val="auto"/>
              </w:rPr>
            </w:pPr>
            <w:r>
              <w:rPr>
                <w:rFonts w:ascii="Arial" w:cs="Arial" w:eastAsia="Arial" w:hAnsi="Arial"/>
                <w:sz w:val="14"/>
                <w:szCs w:val="14"/>
                <w:color w:val="auto"/>
                <w:w w:val="90"/>
              </w:rPr>
              <w:t>101,785</w:t>
            </w:r>
          </w:p>
        </w:tc>
        <w:tc>
          <w:tcPr>
            <w:tcW w:w="1260" w:type="dxa"/>
            <w:vAlign w:val="bottom"/>
          </w:tcPr>
          <w:p>
            <w:pPr>
              <w:jc w:val="center"/>
              <w:spacing w:after="0"/>
              <w:rPr>
                <w:sz w:val="20"/>
                <w:szCs w:val="20"/>
                <w:color w:val="auto"/>
              </w:rPr>
            </w:pPr>
            <w:r>
              <w:rPr>
                <w:rFonts w:ascii="Arial" w:cs="Arial" w:eastAsia="Arial" w:hAnsi="Arial"/>
                <w:sz w:val="14"/>
                <w:szCs w:val="14"/>
                <w:color w:val="auto"/>
                <w:w w:val="88"/>
              </w:rPr>
              <w:t>89,744</w:t>
            </w: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373,357</w:t>
            </w:r>
          </w:p>
        </w:tc>
        <w:tc>
          <w:tcPr>
            <w:tcW w:w="1260" w:type="dxa"/>
            <w:vAlign w:val="bottom"/>
          </w:tcPr>
          <w:p>
            <w:pPr>
              <w:jc w:val="center"/>
              <w:ind w:left="9"/>
              <w:spacing w:after="0"/>
              <w:rPr>
                <w:sz w:val="20"/>
                <w:szCs w:val="20"/>
                <w:color w:val="auto"/>
              </w:rPr>
            </w:pPr>
            <w:r>
              <w:rPr>
                <w:rFonts w:ascii="Arial" w:cs="Arial" w:eastAsia="Arial" w:hAnsi="Arial"/>
                <w:sz w:val="14"/>
                <w:szCs w:val="14"/>
                <w:color w:val="auto"/>
                <w:w w:val="90"/>
              </w:rPr>
              <w:t>338,338</w:t>
            </w:r>
          </w:p>
        </w:tc>
        <w:tc>
          <w:tcPr>
            <w:tcW w:w="100" w:type="dxa"/>
            <w:vAlign w:val="bottom"/>
          </w:tcPr>
          <w:p>
            <w:pPr>
              <w:spacing w:after="0"/>
              <w:rPr>
                <w:sz w:val="24"/>
                <w:szCs w:val="24"/>
                <w:color w:val="auto"/>
              </w:rPr>
            </w:pPr>
          </w:p>
        </w:tc>
      </w:tr>
      <w:tr>
        <w:trPr>
          <w:trHeight w:val="347"/>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Net interest expense</w:t>
            </w: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(1,599)</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(2,512)</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(8,743)</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(10,281)</w:t>
            </w:r>
          </w:p>
        </w:tc>
        <w:tc>
          <w:tcPr>
            <w:tcW w:w="100" w:type="dxa"/>
            <w:vAlign w:val="bottom"/>
          </w:tcPr>
          <w:p>
            <w:pPr>
              <w:spacing w:after="0"/>
              <w:rPr>
                <w:sz w:val="24"/>
                <w:szCs w:val="24"/>
                <w:color w:val="auto"/>
              </w:rPr>
            </w:pPr>
          </w:p>
        </w:tc>
      </w:tr>
      <w:tr>
        <w:trPr>
          <w:trHeight w:val="344"/>
        </w:trPr>
        <w:tc>
          <w:tcPr>
            <w:tcW w:w="6060" w:type="dxa"/>
            <w:vAlign w:val="bottom"/>
          </w:tcPr>
          <w:p>
            <w:pPr>
              <w:spacing w:after="0"/>
              <w:rPr>
                <w:sz w:val="20"/>
                <w:szCs w:val="20"/>
                <w:color w:val="auto"/>
              </w:rPr>
            </w:pPr>
            <w:r>
              <w:rPr>
                <w:rFonts w:ascii="Arial" w:cs="Arial" w:eastAsia="Arial" w:hAnsi="Arial"/>
                <w:sz w:val="14"/>
                <w:szCs w:val="14"/>
                <w:b w:val="1"/>
                <w:bCs w:val="1"/>
                <w:color w:val="auto"/>
              </w:rPr>
              <w:t>Income before provision for income taxes</w:t>
            </w:r>
          </w:p>
        </w:tc>
        <w:tc>
          <w:tcPr>
            <w:tcW w:w="1180" w:type="dxa"/>
            <w:vAlign w:val="bottom"/>
          </w:tcPr>
          <w:p>
            <w:pPr>
              <w:jc w:val="center"/>
              <w:spacing w:after="0"/>
              <w:rPr>
                <w:sz w:val="20"/>
                <w:szCs w:val="20"/>
                <w:color w:val="auto"/>
              </w:rPr>
            </w:pPr>
            <w:r>
              <w:rPr>
                <w:rFonts w:ascii="Arial" w:cs="Arial" w:eastAsia="Arial" w:hAnsi="Arial"/>
                <w:sz w:val="14"/>
                <w:szCs w:val="14"/>
                <w:color w:val="auto"/>
                <w:w w:val="90"/>
              </w:rPr>
              <w:t>100,186</w:t>
            </w:r>
          </w:p>
        </w:tc>
        <w:tc>
          <w:tcPr>
            <w:tcW w:w="1260" w:type="dxa"/>
            <w:vAlign w:val="bottom"/>
          </w:tcPr>
          <w:p>
            <w:pPr>
              <w:jc w:val="center"/>
              <w:spacing w:after="0"/>
              <w:rPr>
                <w:sz w:val="20"/>
                <w:szCs w:val="20"/>
                <w:color w:val="auto"/>
              </w:rPr>
            </w:pPr>
            <w:r>
              <w:rPr>
                <w:rFonts w:ascii="Arial" w:cs="Arial" w:eastAsia="Arial" w:hAnsi="Arial"/>
                <w:sz w:val="14"/>
                <w:szCs w:val="14"/>
                <w:color w:val="auto"/>
                <w:w w:val="88"/>
              </w:rPr>
              <w:t>87,232</w:t>
            </w: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364,614</w:t>
            </w:r>
          </w:p>
        </w:tc>
        <w:tc>
          <w:tcPr>
            <w:tcW w:w="1260" w:type="dxa"/>
            <w:vAlign w:val="bottom"/>
          </w:tcPr>
          <w:p>
            <w:pPr>
              <w:jc w:val="center"/>
              <w:ind w:left="9"/>
              <w:spacing w:after="0"/>
              <w:rPr>
                <w:sz w:val="20"/>
                <w:szCs w:val="20"/>
                <w:color w:val="auto"/>
              </w:rPr>
            </w:pPr>
            <w:r>
              <w:rPr>
                <w:rFonts w:ascii="Arial" w:cs="Arial" w:eastAsia="Arial" w:hAnsi="Arial"/>
                <w:sz w:val="14"/>
                <w:szCs w:val="14"/>
                <w:color w:val="auto"/>
                <w:w w:val="90"/>
              </w:rPr>
              <w:t>328,057</w:t>
            </w:r>
          </w:p>
        </w:tc>
        <w:tc>
          <w:tcPr>
            <w:tcW w:w="100" w:type="dxa"/>
            <w:vAlign w:val="bottom"/>
          </w:tcPr>
          <w:p>
            <w:pPr>
              <w:spacing w:after="0"/>
              <w:rPr>
                <w:sz w:val="24"/>
                <w:szCs w:val="24"/>
                <w:color w:val="auto"/>
              </w:rPr>
            </w:pPr>
          </w:p>
        </w:tc>
      </w:tr>
      <w:tr>
        <w:trPr>
          <w:trHeight w:val="347"/>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Provision for income taxes</w:t>
            </w: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(12,023)</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(16,124)</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(41,958)</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(46,569)</w:t>
            </w:r>
          </w:p>
        </w:tc>
        <w:tc>
          <w:tcPr>
            <w:tcW w:w="100" w:type="dxa"/>
            <w:vAlign w:val="bottom"/>
          </w:tcPr>
          <w:p>
            <w:pPr>
              <w:spacing w:after="0"/>
              <w:rPr>
                <w:sz w:val="24"/>
                <w:szCs w:val="24"/>
                <w:color w:val="auto"/>
              </w:rPr>
            </w:pPr>
          </w:p>
        </w:tc>
      </w:tr>
      <w:tr>
        <w:trPr>
          <w:trHeight w:val="342"/>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Net income</w:t>
            </w: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8"/>
              </w:rPr>
              <w:t>88,163</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8"/>
              </w:rPr>
              <w:t>71,108</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322,656</w:t>
            </w:r>
          </w:p>
        </w:tc>
        <w:tc>
          <w:tcPr>
            <w:tcW w:w="1260" w:type="dxa"/>
            <w:vAlign w:val="bottom"/>
            <w:tcBorders>
              <w:bottom w:val="single" w:sz="8" w:color="auto"/>
            </w:tcBorders>
          </w:tcPr>
          <w:p>
            <w:pPr>
              <w:jc w:val="center"/>
              <w:ind w:left="9"/>
              <w:spacing w:after="0"/>
              <w:rPr>
                <w:sz w:val="20"/>
                <w:szCs w:val="20"/>
                <w:color w:val="auto"/>
              </w:rPr>
            </w:pPr>
            <w:r>
              <w:rPr>
                <w:rFonts w:ascii="Arial" w:cs="Arial" w:eastAsia="Arial" w:hAnsi="Arial"/>
                <w:sz w:val="14"/>
                <w:szCs w:val="14"/>
                <w:color w:val="auto"/>
                <w:w w:val="90"/>
              </w:rPr>
              <w:t>281,488</w:t>
            </w:r>
          </w:p>
        </w:tc>
        <w:tc>
          <w:tcPr>
            <w:tcW w:w="100" w:type="dxa"/>
            <w:vAlign w:val="bottom"/>
          </w:tcPr>
          <w:p>
            <w:pPr>
              <w:spacing w:after="0"/>
              <w:rPr>
                <w:sz w:val="24"/>
                <w:szCs w:val="24"/>
                <w:color w:val="auto"/>
              </w:rPr>
            </w:pPr>
          </w:p>
        </w:tc>
      </w:tr>
      <w:tr>
        <w:trPr>
          <w:trHeight w:val="344"/>
        </w:trPr>
        <w:tc>
          <w:tcPr>
            <w:tcW w:w="6060" w:type="dxa"/>
            <w:vAlign w:val="bottom"/>
          </w:tcPr>
          <w:p>
            <w:pPr>
              <w:spacing w:after="0"/>
              <w:rPr>
                <w:sz w:val="20"/>
                <w:szCs w:val="20"/>
                <w:color w:val="auto"/>
              </w:rPr>
            </w:pPr>
            <w:r>
              <w:rPr>
                <w:rFonts w:ascii="Arial" w:cs="Arial" w:eastAsia="Arial" w:hAnsi="Arial"/>
                <w:sz w:val="14"/>
                <w:szCs w:val="14"/>
                <w:color w:val="auto"/>
              </w:rPr>
              <w:t>Net income per Ordinary Share:</w:t>
            </w:r>
          </w:p>
        </w:tc>
        <w:tc>
          <w:tcPr>
            <w:tcW w:w="1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47"/>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$1.63</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$1.31</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$5.96</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$5.20</w:t>
            </w:r>
          </w:p>
        </w:tc>
        <w:tc>
          <w:tcPr>
            <w:tcW w:w="100" w:type="dxa"/>
            <w:vAlign w:val="bottom"/>
          </w:tcPr>
          <w:p>
            <w:pPr>
              <w:spacing w:after="0"/>
              <w:rPr>
                <w:sz w:val="24"/>
                <w:szCs w:val="24"/>
                <w:color w:val="auto"/>
              </w:rPr>
            </w:pPr>
          </w:p>
        </w:tc>
      </w:tr>
      <w:tr>
        <w:trPr>
          <w:trHeight w:val="342"/>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Diluted</w:t>
            </w: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$1.62</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$1.30</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$5.89</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$5.13</w:t>
            </w:r>
          </w:p>
        </w:tc>
        <w:tc>
          <w:tcPr>
            <w:tcW w:w="100" w:type="dxa"/>
            <w:vAlign w:val="bottom"/>
          </w:tcPr>
          <w:p>
            <w:pPr>
              <w:spacing w:after="0"/>
              <w:rPr>
                <w:sz w:val="24"/>
                <w:szCs w:val="24"/>
                <w:color w:val="auto"/>
              </w:rPr>
            </w:pPr>
          </w:p>
        </w:tc>
      </w:tr>
      <w:tr>
        <w:trPr>
          <w:trHeight w:val="344"/>
        </w:trPr>
        <w:tc>
          <w:tcPr>
            <w:tcW w:w="6060" w:type="dxa"/>
            <w:vAlign w:val="bottom"/>
          </w:tcPr>
          <w:p>
            <w:pPr>
              <w:spacing w:after="0"/>
              <w:rPr>
                <w:sz w:val="20"/>
                <w:szCs w:val="20"/>
                <w:color w:val="auto"/>
              </w:rPr>
            </w:pPr>
            <w:r>
              <w:rPr>
                <w:rFonts w:ascii="Arial" w:cs="Arial" w:eastAsia="Arial" w:hAnsi="Arial"/>
                <w:sz w:val="14"/>
                <w:szCs w:val="14"/>
                <w:color w:val="auto"/>
              </w:rPr>
              <w:t>Weighted average number of Ordinary Shares outstanding:</w:t>
            </w:r>
          </w:p>
        </w:tc>
        <w:tc>
          <w:tcPr>
            <w:tcW w:w="1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47"/>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54,071,137</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54,187,688</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54,118,764</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54,129,439</w:t>
            </w:r>
          </w:p>
        </w:tc>
        <w:tc>
          <w:tcPr>
            <w:tcW w:w="100" w:type="dxa"/>
            <w:vAlign w:val="bottom"/>
          </w:tcPr>
          <w:p>
            <w:pPr>
              <w:spacing w:after="0"/>
              <w:rPr>
                <w:sz w:val="24"/>
                <w:szCs w:val="24"/>
                <w:color w:val="auto"/>
              </w:rPr>
            </w:pPr>
          </w:p>
        </w:tc>
      </w:tr>
      <w:tr>
        <w:trPr>
          <w:trHeight w:val="342"/>
        </w:trPr>
        <w:tc>
          <w:tcPr>
            <w:tcW w:w="6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Diluted</w:t>
            </w: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54,475,302</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54,844,232</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54,790,663</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54,849,046</w:t>
            </w:r>
          </w:p>
        </w:tc>
        <w:tc>
          <w:tcPr>
            <w:tcW w:w="100" w:type="dxa"/>
            <w:vAlign w:val="bottom"/>
          </w:tcPr>
          <w:p>
            <w:pPr>
              <w:spacing w:after="0"/>
              <w:rPr>
                <w:sz w:val="24"/>
                <w:szCs w:val="24"/>
                <w:color w:val="auto"/>
              </w:rPr>
            </w:pPr>
          </w:p>
        </w:tc>
      </w:tr>
      <w:tr>
        <w:trPr>
          <w:trHeight w:val="302"/>
        </w:trPr>
        <w:tc>
          <w:tcPr>
            <w:tcW w:w="6060" w:type="dxa"/>
            <w:vAlign w:val="bottom"/>
            <w:tcBorders>
              <w:bottom w:val="single" w:sz="8" w:color="9A9A9A"/>
            </w:tcBorders>
          </w:tcPr>
          <w:p>
            <w:pPr>
              <w:spacing w:after="0"/>
              <w:rPr>
                <w:sz w:val="24"/>
                <w:szCs w:val="24"/>
                <w:color w:val="auto"/>
              </w:rPr>
            </w:pPr>
          </w:p>
        </w:tc>
        <w:tc>
          <w:tcPr>
            <w:tcW w:w="1180" w:type="dxa"/>
            <w:vAlign w:val="bottom"/>
            <w:tcBorders>
              <w:bottom w:val="single" w:sz="8" w:color="9A9A9A"/>
            </w:tcBorders>
          </w:tcPr>
          <w:p>
            <w:pPr>
              <w:spacing w:after="0"/>
              <w:rPr>
                <w:sz w:val="24"/>
                <w:szCs w:val="24"/>
                <w:color w:val="auto"/>
              </w:rPr>
            </w:pPr>
          </w:p>
        </w:tc>
        <w:tc>
          <w:tcPr>
            <w:tcW w:w="1260" w:type="dxa"/>
            <w:vAlign w:val="bottom"/>
            <w:tcBorders>
              <w:bottom w:val="single" w:sz="8" w:color="9A9A9A"/>
            </w:tcBorders>
          </w:tcPr>
          <w:p>
            <w:pPr>
              <w:spacing w:after="0"/>
              <w:rPr>
                <w:sz w:val="24"/>
                <w:szCs w:val="24"/>
                <w:color w:val="auto"/>
              </w:rPr>
            </w:pPr>
          </w:p>
        </w:tc>
        <w:tc>
          <w:tcPr>
            <w:tcW w:w="1300" w:type="dxa"/>
            <w:vAlign w:val="bottom"/>
            <w:tcBorders>
              <w:bottom w:val="single" w:sz="8" w:color="9A9A9A"/>
            </w:tcBorders>
          </w:tcPr>
          <w:p>
            <w:pPr>
              <w:spacing w:after="0"/>
              <w:rPr>
                <w:sz w:val="24"/>
                <w:szCs w:val="24"/>
                <w:color w:val="auto"/>
              </w:rPr>
            </w:pPr>
          </w:p>
        </w:tc>
        <w:tc>
          <w:tcPr>
            <w:tcW w:w="12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r>
      <w:tr>
        <w:trPr>
          <w:trHeight w:val="20"/>
        </w:trPr>
        <w:tc>
          <w:tcPr>
            <w:tcW w:w="6060" w:type="dxa"/>
            <w:vAlign w:val="bottom"/>
            <w:tcBorders>
              <w:bottom w:val="single" w:sz="8" w:color="EEEEEE"/>
            </w:tcBorders>
          </w:tcPr>
          <w:p>
            <w:pPr>
              <w:spacing w:after="0" w:line="20" w:lineRule="exact"/>
              <w:rPr>
                <w:sz w:val="1"/>
                <w:szCs w:val="1"/>
                <w:color w:val="auto"/>
              </w:rPr>
            </w:pPr>
          </w:p>
        </w:tc>
        <w:tc>
          <w:tcPr>
            <w:tcW w:w="1180" w:type="dxa"/>
            <w:vAlign w:val="bottom"/>
            <w:tcBorders>
              <w:bottom w:val="single" w:sz="8" w:color="EEEEEE"/>
            </w:tcBorders>
          </w:tcPr>
          <w:p>
            <w:pPr>
              <w:spacing w:after="0" w:line="20" w:lineRule="exact"/>
              <w:rPr>
                <w:sz w:val="1"/>
                <w:szCs w:val="1"/>
                <w:color w:val="auto"/>
              </w:rPr>
            </w:pPr>
          </w:p>
        </w:tc>
        <w:tc>
          <w:tcPr>
            <w:tcW w:w="1260" w:type="dxa"/>
            <w:vAlign w:val="bottom"/>
            <w:tcBorders>
              <w:bottom w:val="single" w:sz="8" w:color="EEEEEE"/>
            </w:tcBorders>
          </w:tcPr>
          <w:p>
            <w:pPr>
              <w:spacing w:after="0" w:line="20" w:lineRule="exact"/>
              <w:rPr>
                <w:sz w:val="1"/>
                <w:szCs w:val="1"/>
                <w:color w:val="auto"/>
              </w:rPr>
            </w:pPr>
          </w:p>
        </w:tc>
        <w:tc>
          <w:tcPr>
            <w:tcW w:w="1300" w:type="dxa"/>
            <w:vAlign w:val="bottom"/>
            <w:tcBorders>
              <w:bottom w:val="single" w:sz="8" w:color="EEEEEE"/>
            </w:tcBorders>
          </w:tcPr>
          <w:p>
            <w:pPr>
              <w:spacing w:after="0" w:line="20" w:lineRule="exact"/>
              <w:rPr>
                <w:sz w:val="1"/>
                <w:szCs w:val="1"/>
                <w:color w:val="auto"/>
              </w:rPr>
            </w:pPr>
          </w:p>
        </w:tc>
        <w:tc>
          <w:tcPr>
            <w:tcW w:w="126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20955" cy="596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0955" cy="59690"/>
                    </a:xfrm>
                    <a:prstGeom prst="rect">
                      <a:avLst/>
                    </a:prstGeom>
                    <a:noFill/>
                  </pic:spPr>
                </pic:pic>
              </a:graphicData>
            </a:graphic>
          </wp:anchor>
        </w:drawing>
      </w:r>
    </w:p>
    <w:p>
      <w:pPr>
        <w:sectPr>
          <w:pgSz w:w="12240" w:h="15840" w:orient="portrait"/>
          <w:cols w:equalWidth="0" w:num="1">
            <w:col w:w="11160"/>
          </w:cols>
          <w:pgMar w:left="520" w:top="0" w:right="560" w:bottom="1440" w:gutter="0" w:footer="0" w:header="0"/>
        </w:sectPr>
      </w:pPr>
    </w:p>
    <w:bookmarkStart w:id="8" w:name="page9"/>
    <w:bookmarkEnd w:id="8"/>
    <w:p>
      <w:pPr>
        <w:jc w:val="center"/>
        <w:ind w:right="-19"/>
        <w:spacing w:after="0"/>
        <w:rPr>
          <w:sz w:val="20"/>
          <w:szCs w:val="20"/>
          <w:color w:val="auto"/>
        </w:rPr>
      </w:pPr>
      <w:r>
        <w:rPr>
          <w:rFonts w:ascii="Arial" w:cs="Arial" w:eastAsia="Arial" w:hAnsi="Arial"/>
          <w:sz w:val="21"/>
          <w:szCs w:val="21"/>
          <w:b w:val="1"/>
          <w:bCs w:val="1"/>
          <w:color w:val="auto"/>
        </w:rPr>
        <w:t>ICON plc</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Impact of the adoption of ASC 606 on revenue</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Three and Twelve Months ended December 31, 2018 and December 31, 2017</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(Dollars, in thousands)</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196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4820" w:type="dxa"/>
            <w:vAlign w:val="bottom"/>
            <w:gridSpan w:val="2"/>
          </w:tcPr>
          <w:p>
            <w:pPr>
              <w:jc w:val="right"/>
              <w:ind w:right="1649"/>
              <w:spacing w:after="0"/>
              <w:rPr>
                <w:sz w:val="20"/>
                <w:szCs w:val="20"/>
                <w:color w:val="auto"/>
              </w:rPr>
            </w:pPr>
            <w:r>
              <w:rPr>
                <w:rFonts w:ascii="Arial" w:cs="Arial" w:eastAsia="Arial" w:hAnsi="Arial"/>
                <w:sz w:val="14"/>
                <w:szCs w:val="14"/>
                <w:b w:val="1"/>
                <w:bCs w:val="1"/>
                <w:color w:val="auto"/>
              </w:rPr>
              <w:t>Three Months Ended December 31, 2018</w:t>
            </w:r>
          </w:p>
        </w:tc>
        <w:tc>
          <w:tcPr>
            <w:tcW w:w="3260" w:type="dxa"/>
            <w:vAlign w:val="bottom"/>
          </w:tcPr>
          <w:p>
            <w:pPr>
              <w:jc w:val="right"/>
              <w:ind w:right="289"/>
              <w:spacing w:after="0"/>
              <w:rPr>
                <w:sz w:val="20"/>
                <w:szCs w:val="20"/>
                <w:color w:val="auto"/>
              </w:rPr>
            </w:pPr>
            <w:r>
              <w:rPr>
                <w:rFonts w:ascii="Arial" w:cs="Arial" w:eastAsia="Arial" w:hAnsi="Arial"/>
                <w:sz w:val="14"/>
                <w:szCs w:val="14"/>
                <w:b w:val="1"/>
                <w:bCs w:val="1"/>
                <w:color w:val="auto"/>
              </w:rPr>
              <w:t>Three Months, Ended December 31, 2017</w:t>
            </w:r>
          </w:p>
        </w:tc>
      </w:tr>
      <w:tr>
        <w:trPr>
          <w:trHeight w:val="468"/>
        </w:trPr>
        <w:tc>
          <w:tcPr>
            <w:tcW w:w="1960" w:type="dxa"/>
            <w:vAlign w:val="bottom"/>
          </w:tcPr>
          <w:p>
            <w:pPr>
              <w:spacing w:after="0"/>
              <w:rPr>
                <w:sz w:val="24"/>
                <w:szCs w:val="24"/>
                <w:color w:val="auto"/>
              </w:rPr>
            </w:pPr>
          </w:p>
        </w:tc>
        <w:tc>
          <w:tcPr>
            <w:tcW w:w="1060" w:type="dxa"/>
            <w:vAlign w:val="bottom"/>
            <w:tcBorders>
              <w:bottom w:val="single" w:sz="8" w:color="auto"/>
            </w:tcBorders>
          </w:tcPr>
          <w:p>
            <w:pPr>
              <w:jc w:val="center"/>
              <w:ind w:right="9"/>
              <w:spacing w:after="0"/>
              <w:rPr>
                <w:sz w:val="20"/>
                <w:szCs w:val="20"/>
                <w:color w:val="auto"/>
              </w:rPr>
            </w:pPr>
            <w:r>
              <w:rPr>
                <w:rFonts w:ascii="Arial" w:cs="Arial" w:eastAsia="Arial" w:hAnsi="Arial"/>
                <w:sz w:val="14"/>
                <w:szCs w:val="14"/>
                <w:b w:val="1"/>
                <w:bCs w:val="1"/>
                <w:color w:val="auto"/>
                <w:w w:val="93"/>
              </w:rPr>
              <w:t>As Reported</w:t>
            </w:r>
          </w:p>
        </w:tc>
        <w:tc>
          <w:tcPr>
            <w:tcW w:w="182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ASC 606 Adjustments</w:t>
            </w:r>
          </w:p>
        </w:tc>
        <w:tc>
          <w:tcPr>
            <w:tcW w:w="3000" w:type="dxa"/>
            <w:vAlign w:val="bottom"/>
            <w:tcBorders>
              <w:bottom w:val="single" w:sz="8" w:color="auto"/>
            </w:tcBorders>
          </w:tcPr>
          <w:p>
            <w:pPr>
              <w:jc w:val="right"/>
              <w:ind w:right="289"/>
              <w:spacing w:after="0"/>
              <w:rPr>
                <w:sz w:val="20"/>
                <w:szCs w:val="20"/>
                <w:color w:val="auto"/>
              </w:rPr>
            </w:pPr>
            <w:r>
              <w:rPr>
                <w:rFonts w:ascii="Arial" w:cs="Arial" w:eastAsia="Arial" w:hAnsi="Arial"/>
                <w:sz w:val="14"/>
                <w:szCs w:val="14"/>
                <w:b w:val="1"/>
                <w:bCs w:val="1"/>
                <w:color w:val="auto"/>
              </w:rPr>
              <w:t>Balances without adoption of ASC 606</w:t>
            </w:r>
          </w:p>
        </w:tc>
        <w:tc>
          <w:tcPr>
            <w:tcW w:w="3260" w:type="dxa"/>
            <w:vAlign w:val="bottom"/>
            <w:tcBorders>
              <w:bottom w:val="single" w:sz="8" w:color="auto"/>
            </w:tcBorders>
          </w:tcPr>
          <w:p>
            <w:pPr>
              <w:jc w:val="right"/>
              <w:ind w:right="1169"/>
              <w:spacing w:after="0"/>
              <w:rPr>
                <w:sz w:val="20"/>
                <w:szCs w:val="20"/>
                <w:color w:val="auto"/>
              </w:rPr>
            </w:pPr>
            <w:r>
              <w:rPr>
                <w:rFonts w:ascii="Arial" w:cs="Arial" w:eastAsia="Arial" w:hAnsi="Arial"/>
                <w:sz w:val="14"/>
                <w:szCs w:val="14"/>
                <w:b w:val="1"/>
                <w:bCs w:val="1"/>
                <w:color w:val="auto"/>
              </w:rPr>
              <w:t>As Reported</w:t>
            </w:r>
          </w:p>
        </w:tc>
      </w:tr>
      <w:tr>
        <w:trPr>
          <w:trHeight w:val="163"/>
        </w:trPr>
        <w:tc>
          <w:tcPr>
            <w:tcW w:w="1960" w:type="dxa"/>
            <w:vAlign w:val="bottom"/>
          </w:tcPr>
          <w:p>
            <w:pPr>
              <w:spacing w:after="0"/>
              <w:rPr>
                <w:sz w:val="20"/>
                <w:szCs w:val="20"/>
                <w:color w:val="auto"/>
              </w:rPr>
            </w:pPr>
            <w:r>
              <w:rPr>
                <w:rFonts w:ascii="Arial" w:cs="Arial" w:eastAsia="Arial" w:hAnsi="Arial"/>
                <w:sz w:val="14"/>
                <w:szCs w:val="14"/>
                <w:b w:val="1"/>
                <w:bCs w:val="1"/>
                <w:color w:val="auto"/>
              </w:rPr>
              <w:t>Revenue:</w:t>
            </w:r>
          </w:p>
        </w:tc>
        <w:tc>
          <w:tcPr>
            <w:tcW w:w="106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3260" w:type="dxa"/>
            <w:vAlign w:val="bottom"/>
          </w:tcPr>
          <w:p>
            <w:pPr>
              <w:spacing w:after="0"/>
              <w:rPr>
                <w:sz w:val="14"/>
                <w:szCs w:val="14"/>
                <w:color w:val="auto"/>
              </w:rPr>
            </w:pPr>
          </w:p>
        </w:tc>
      </w:tr>
      <w:tr>
        <w:trPr>
          <w:trHeight w:val="174"/>
        </w:trPr>
        <w:tc>
          <w:tcPr>
            <w:tcW w:w="1960" w:type="dxa"/>
            <w:vAlign w:val="bottom"/>
          </w:tcPr>
          <w:p>
            <w:pPr>
              <w:ind w:left="140"/>
              <w:spacing w:after="0"/>
              <w:rPr>
                <w:sz w:val="20"/>
                <w:szCs w:val="20"/>
                <w:color w:val="auto"/>
              </w:rPr>
            </w:pPr>
            <w:r>
              <w:rPr>
                <w:rFonts w:ascii="Arial" w:cs="Arial" w:eastAsia="Arial" w:hAnsi="Arial"/>
                <w:sz w:val="14"/>
                <w:szCs w:val="14"/>
                <w:color w:val="auto"/>
              </w:rPr>
              <w:t>Revenue</w:t>
            </w:r>
          </w:p>
        </w:tc>
        <w:tc>
          <w:tcPr>
            <w:tcW w:w="1060" w:type="dxa"/>
            <w:vAlign w:val="bottom"/>
          </w:tcPr>
          <w:p>
            <w:pPr>
              <w:jc w:val="center"/>
              <w:ind w:right="9"/>
              <w:spacing w:after="0"/>
              <w:rPr>
                <w:sz w:val="20"/>
                <w:szCs w:val="20"/>
                <w:color w:val="auto"/>
              </w:rPr>
            </w:pPr>
            <w:r>
              <w:rPr>
                <w:rFonts w:ascii="Arial" w:cs="Arial" w:eastAsia="Arial" w:hAnsi="Arial"/>
                <w:sz w:val="14"/>
                <w:szCs w:val="14"/>
                <w:color w:val="auto"/>
                <w:w w:val="90"/>
              </w:rPr>
              <w:t>679,025</w:t>
            </w:r>
          </w:p>
        </w:tc>
        <w:tc>
          <w:tcPr>
            <w:tcW w:w="1820" w:type="dxa"/>
            <w:vAlign w:val="bottom"/>
          </w:tcPr>
          <w:p>
            <w:pPr>
              <w:jc w:val="center"/>
              <w:ind w:right="9"/>
              <w:spacing w:after="0"/>
              <w:rPr>
                <w:sz w:val="20"/>
                <w:szCs w:val="20"/>
                <w:color w:val="auto"/>
              </w:rPr>
            </w:pPr>
            <w:r>
              <w:rPr>
                <w:rFonts w:ascii="Arial" w:cs="Arial" w:eastAsia="Arial" w:hAnsi="Arial"/>
                <w:sz w:val="14"/>
                <w:szCs w:val="14"/>
                <w:color w:val="auto"/>
                <w:w w:val="94"/>
              </w:rPr>
              <w:t>790</w:t>
            </w:r>
          </w:p>
        </w:tc>
        <w:tc>
          <w:tcPr>
            <w:tcW w:w="3000" w:type="dxa"/>
            <w:vAlign w:val="bottom"/>
          </w:tcPr>
          <w:p>
            <w:pPr>
              <w:jc w:val="right"/>
              <w:ind w:right="1229"/>
              <w:spacing w:after="0"/>
              <w:rPr>
                <w:sz w:val="20"/>
                <w:szCs w:val="20"/>
                <w:color w:val="auto"/>
              </w:rPr>
            </w:pPr>
            <w:r>
              <w:rPr>
                <w:rFonts w:ascii="Arial" w:cs="Arial" w:eastAsia="Arial" w:hAnsi="Arial"/>
                <w:sz w:val="14"/>
                <w:szCs w:val="14"/>
                <w:color w:val="auto"/>
              </w:rPr>
              <w:t>679,815</w:t>
            </w:r>
          </w:p>
        </w:tc>
        <w:tc>
          <w:tcPr>
            <w:tcW w:w="3260" w:type="dxa"/>
            <w:vAlign w:val="bottom"/>
          </w:tcPr>
          <w:p>
            <w:pPr>
              <w:jc w:val="right"/>
              <w:ind w:right="1309"/>
              <w:spacing w:after="0"/>
              <w:rPr>
                <w:sz w:val="20"/>
                <w:szCs w:val="20"/>
                <w:color w:val="auto"/>
              </w:rPr>
            </w:pPr>
            <w:r>
              <w:rPr>
                <w:rFonts w:ascii="Arial" w:cs="Arial" w:eastAsia="Arial" w:hAnsi="Arial"/>
                <w:sz w:val="14"/>
                <w:szCs w:val="14"/>
                <w:color w:val="auto"/>
              </w:rPr>
              <w:t>636,305</w:t>
            </w:r>
          </w:p>
        </w:tc>
      </w:tr>
      <w:tr>
        <w:trPr>
          <w:trHeight w:val="180"/>
        </w:trPr>
        <w:tc>
          <w:tcPr>
            <w:tcW w:w="196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Reimbursable expenses</w:t>
            </w:r>
          </w:p>
        </w:tc>
        <w:tc>
          <w:tcPr>
            <w:tcW w:w="1060" w:type="dxa"/>
            <w:vAlign w:val="bottom"/>
            <w:tcBorders>
              <w:bottom w:val="single" w:sz="8" w:color="auto"/>
            </w:tcBorders>
          </w:tcPr>
          <w:p>
            <w:pPr>
              <w:spacing w:after="0"/>
              <w:rPr>
                <w:sz w:val="15"/>
                <w:szCs w:val="15"/>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(195,105)</w:t>
            </w:r>
          </w:p>
        </w:tc>
        <w:tc>
          <w:tcPr>
            <w:tcW w:w="3000" w:type="dxa"/>
            <w:vAlign w:val="bottom"/>
            <w:tcBorders>
              <w:bottom w:val="single" w:sz="8" w:color="auto"/>
            </w:tcBorders>
          </w:tcPr>
          <w:p>
            <w:pPr>
              <w:jc w:val="right"/>
              <w:ind w:right="1169"/>
              <w:spacing w:after="0"/>
              <w:rPr>
                <w:sz w:val="20"/>
                <w:szCs w:val="20"/>
                <w:color w:val="auto"/>
              </w:rPr>
            </w:pPr>
            <w:r>
              <w:rPr>
                <w:rFonts w:ascii="Arial" w:cs="Arial" w:eastAsia="Arial" w:hAnsi="Arial"/>
                <w:sz w:val="14"/>
                <w:szCs w:val="14"/>
                <w:color w:val="auto"/>
              </w:rPr>
              <w:t>(195,105)</w:t>
            </w:r>
          </w:p>
        </w:tc>
        <w:tc>
          <w:tcPr>
            <w:tcW w:w="3260" w:type="dxa"/>
            <w:vAlign w:val="bottom"/>
            <w:tcBorders>
              <w:bottom w:val="single" w:sz="8" w:color="auto"/>
            </w:tcBorders>
          </w:tcPr>
          <w:p>
            <w:pPr>
              <w:jc w:val="right"/>
              <w:ind w:right="1269"/>
              <w:spacing w:after="0"/>
              <w:rPr>
                <w:sz w:val="20"/>
                <w:szCs w:val="20"/>
                <w:color w:val="auto"/>
              </w:rPr>
            </w:pPr>
            <w:r>
              <w:rPr>
                <w:rFonts w:ascii="Arial" w:cs="Arial" w:eastAsia="Arial" w:hAnsi="Arial"/>
                <w:sz w:val="14"/>
                <w:szCs w:val="14"/>
                <w:color w:val="auto"/>
              </w:rPr>
              <w:t>(181,166)</w:t>
            </w:r>
          </w:p>
        </w:tc>
      </w:tr>
      <w:tr>
        <w:trPr>
          <w:trHeight w:val="168"/>
        </w:trPr>
        <w:tc>
          <w:tcPr>
            <w:tcW w:w="1960" w:type="dxa"/>
            <w:vAlign w:val="bottom"/>
          </w:tcPr>
          <w:p>
            <w:pPr>
              <w:spacing w:after="0"/>
              <w:rPr>
                <w:sz w:val="14"/>
                <w:szCs w:val="14"/>
                <w:color w:val="auto"/>
              </w:rPr>
            </w:pPr>
          </w:p>
        </w:tc>
        <w:tc>
          <w:tcPr>
            <w:tcW w:w="1060" w:type="dxa"/>
            <w:vAlign w:val="bottom"/>
            <w:tcBorders>
              <w:bottom w:val="single" w:sz="8" w:color="auto"/>
            </w:tcBorders>
          </w:tcPr>
          <w:p>
            <w:pPr>
              <w:jc w:val="center"/>
              <w:ind w:right="9"/>
              <w:spacing w:after="0"/>
              <w:rPr>
                <w:sz w:val="20"/>
                <w:szCs w:val="20"/>
                <w:color w:val="auto"/>
              </w:rPr>
            </w:pPr>
            <w:r>
              <w:rPr>
                <w:rFonts w:ascii="Arial" w:cs="Arial" w:eastAsia="Arial" w:hAnsi="Arial"/>
                <w:sz w:val="14"/>
                <w:szCs w:val="14"/>
                <w:b w:val="1"/>
                <w:bCs w:val="1"/>
                <w:color w:val="auto"/>
                <w:w w:val="90"/>
              </w:rPr>
              <w:t>679,025</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(194,315)</w:t>
            </w:r>
          </w:p>
        </w:tc>
        <w:tc>
          <w:tcPr>
            <w:tcW w:w="3000" w:type="dxa"/>
            <w:vAlign w:val="bottom"/>
            <w:tcBorders>
              <w:bottom w:val="single" w:sz="8" w:color="auto"/>
            </w:tcBorders>
          </w:tcPr>
          <w:p>
            <w:pPr>
              <w:jc w:val="right"/>
              <w:ind w:right="1229"/>
              <w:spacing w:after="0"/>
              <w:rPr>
                <w:sz w:val="20"/>
                <w:szCs w:val="20"/>
                <w:color w:val="auto"/>
              </w:rPr>
            </w:pPr>
            <w:r>
              <w:rPr>
                <w:rFonts w:ascii="Arial" w:cs="Arial" w:eastAsia="Arial" w:hAnsi="Arial"/>
                <w:sz w:val="14"/>
                <w:szCs w:val="14"/>
                <w:b w:val="1"/>
                <w:bCs w:val="1"/>
                <w:color w:val="auto"/>
              </w:rPr>
              <w:t>484,710</w:t>
            </w:r>
          </w:p>
        </w:tc>
        <w:tc>
          <w:tcPr>
            <w:tcW w:w="3260" w:type="dxa"/>
            <w:vAlign w:val="bottom"/>
            <w:tcBorders>
              <w:bottom w:val="single" w:sz="8" w:color="auto"/>
            </w:tcBorders>
          </w:tcPr>
          <w:p>
            <w:pPr>
              <w:jc w:val="right"/>
              <w:ind w:right="1309"/>
              <w:spacing w:after="0"/>
              <w:rPr>
                <w:sz w:val="20"/>
                <w:szCs w:val="20"/>
                <w:color w:val="auto"/>
              </w:rPr>
            </w:pPr>
            <w:r>
              <w:rPr>
                <w:rFonts w:ascii="Arial" w:cs="Arial" w:eastAsia="Arial" w:hAnsi="Arial"/>
                <w:sz w:val="14"/>
                <w:szCs w:val="14"/>
                <w:b w:val="1"/>
                <w:bCs w:val="1"/>
                <w:color w:val="auto"/>
              </w:rPr>
              <w:t>455,139</w:t>
            </w:r>
          </w:p>
        </w:tc>
      </w:tr>
      <w:tr>
        <w:trPr>
          <w:trHeight w:val="20"/>
        </w:trPr>
        <w:tc>
          <w:tcPr>
            <w:tcW w:w="196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3000" w:type="dxa"/>
            <w:vAlign w:val="bottom"/>
            <w:tcBorders>
              <w:bottom w:val="single" w:sz="8" w:color="auto"/>
            </w:tcBorders>
          </w:tcPr>
          <w:p>
            <w:pPr>
              <w:spacing w:after="0" w:line="20" w:lineRule="exact"/>
              <w:rPr>
                <w:sz w:val="1"/>
                <w:szCs w:val="1"/>
                <w:color w:val="auto"/>
              </w:rPr>
            </w:pPr>
          </w:p>
        </w:tc>
        <w:tc>
          <w:tcPr>
            <w:tcW w:w="32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194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4800" w:type="dxa"/>
            <w:vAlign w:val="bottom"/>
            <w:gridSpan w:val="2"/>
          </w:tcPr>
          <w:p>
            <w:pPr>
              <w:ind w:left="560"/>
              <w:spacing w:after="0"/>
              <w:rPr>
                <w:sz w:val="20"/>
                <w:szCs w:val="20"/>
                <w:color w:val="auto"/>
              </w:rPr>
            </w:pPr>
            <w:r>
              <w:rPr>
                <w:rFonts w:ascii="Arial" w:cs="Arial" w:eastAsia="Arial" w:hAnsi="Arial"/>
                <w:sz w:val="14"/>
                <w:szCs w:val="14"/>
                <w:b w:val="1"/>
                <w:bCs w:val="1"/>
                <w:color w:val="auto"/>
              </w:rPr>
              <w:t>Twelve Months Ended December 31, 2018</w:t>
            </w:r>
          </w:p>
        </w:tc>
        <w:tc>
          <w:tcPr>
            <w:tcW w:w="3320" w:type="dxa"/>
            <w:vAlign w:val="bottom"/>
          </w:tcPr>
          <w:p>
            <w:pPr>
              <w:jc w:val="center"/>
              <w:spacing w:after="0"/>
              <w:rPr>
                <w:sz w:val="20"/>
                <w:szCs w:val="20"/>
                <w:color w:val="auto"/>
              </w:rPr>
            </w:pPr>
            <w:r>
              <w:rPr>
                <w:rFonts w:ascii="Arial" w:cs="Arial" w:eastAsia="Arial" w:hAnsi="Arial"/>
                <w:sz w:val="14"/>
                <w:szCs w:val="14"/>
                <w:b w:val="1"/>
                <w:bCs w:val="1"/>
                <w:color w:val="auto"/>
                <w:w w:val="92"/>
              </w:rPr>
              <w:t>Twelve Months, Ended December 31, 2017</w:t>
            </w:r>
          </w:p>
        </w:tc>
        <w:tc>
          <w:tcPr>
            <w:tcW w:w="60" w:type="dxa"/>
            <w:vAlign w:val="bottom"/>
          </w:tcPr>
          <w:p>
            <w:pPr>
              <w:spacing w:after="0"/>
              <w:rPr>
                <w:sz w:val="16"/>
                <w:szCs w:val="16"/>
                <w:color w:val="auto"/>
              </w:rPr>
            </w:pPr>
          </w:p>
        </w:tc>
      </w:tr>
      <w:tr>
        <w:trPr>
          <w:trHeight w:val="468"/>
        </w:trPr>
        <w:tc>
          <w:tcPr>
            <w:tcW w:w="1940" w:type="dxa"/>
            <w:vAlign w:val="bottom"/>
          </w:tcPr>
          <w:p>
            <w:pPr>
              <w:spacing w:after="0"/>
              <w:rPr>
                <w:sz w:val="24"/>
                <w:szCs w:val="24"/>
                <w:color w:val="auto"/>
              </w:rPr>
            </w:pPr>
          </w:p>
        </w:tc>
        <w:tc>
          <w:tcPr>
            <w:tcW w:w="1040" w:type="dxa"/>
            <w:vAlign w:val="bottom"/>
            <w:tcBorders>
              <w:bottom w:val="single" w:sz="8" w:color="auto"/>
            </w:tcBorders>
          </w:tcPr>
          <w:p>
            <w:pPr>
              <w:jc w:val="center"/>
              <w:ind w:right="9"/>
              <w:spacing w:after="0"/>
              <w:rPr>
                <w:sz w:val="20"/>
                <w:szCs w:val="20"/>
                <w:color w:val="auto"/>
              </w:rPr>
            </w:pPr>
            <w:r>
              <w:rPr>
                <w:rFonts w:ascii="Arial" w:cs="Arial" w:eastAsia="Arial" w:hAnsi="Arial"/>
                <w:sz w:val="14"/>
                <w:szCs w:val="14"/>
                <w:b w:val="1"/>
                <w:bCs w:val="1"/>
                <w:color w:val="auto"/>
                <w:w w:val="91"/>
              </w:rPr>
              <w:t>As Reported</w:t>
            </w:r>
          </w:p>
        </w:tc>
        <w:tc>
          <w:tcPr>
            <w:tcW w:w="182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ASC 606 Adjustments</w:t>
            </w:r>
          </w:p>
        </w:tc>
        <w:tc>
          <w:tcPr>
            <w:tcW w:w="2980" w:type="dxa"/>
            <w:vAlign w:val="bottom"/>
            <w:tcBorders>
              <w:bottom w:val="single" w:sz="8" w:color="auto"/>
            </w:tcBorders>
          </w:tcPr>
          <w:p>
            <w:pPr>
              <w:jc w:val="center"/>
              <w:ind w:right="9"/>
              <w:spacing w:after="0"/>
              <w:rPr>
                <w:sz w:val="20"/>
                <w:szCs w:val="20"/>
                <w:color w:val="auto"/>
              </w:rPr>
            </w:pPr>
            <w:r>
              <w:rPr>
                <w:rFonts w:ascii="Arial" w:cs="Arial" w:eastAsia="Arial" w:hAnsi="Arial"/>
                <w:sz w:val="14"/>
                <w:szCs w:val="14"/>
                <w:b w:val="1"/>
                <w:bCs w:val="1"/>
                <w:color w:val="auto"/>
                <w:w w:val="91"/>
              </w:rPr>
              <w:t>Balances without adoption of ASC 606</w:t>
            </w:r>
          </w:p>
        </w:tc>
        <w:tc>
          <w:tcPr>
            <w:tcW w:w="3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As Reported</w:t>
            </w:r>
          </w:p>
        </w:tc>
        <w:tc>
          <w:tcPr>
            <w:tcW w:w="60" w:type="dxa"/>
            <w:vAlign w:val="bottom"/>
          </w:tcPr>
          <w:p>
            <w:pPr>
              <w:spacing w:after="0"/>
              <w:rPr>
                <w:sz w:val="24"/>
                <w:szCs w:val="24"/>
                <w:color w:val="auto"/>
              </w:rPr>
            </w:pPr>
          </w:p>
        </w:tc>
      </w:tr>
      <w:tr>
        <w:trPr>
          <w:trHeight w:val="163"/>
        </w:trPr>
        <w:tc>
          <w:tcPr>
            <w:tcW w:w="1940" w:type="dxa"/>
            <w:vAlign w:val="bottom"/>
          </w:tcPr>
          <w:p>
            <w:pPr>
              <w:spacing w:after="0"/>
              <w:rPr>
                <w:sz w:val="20"/>
                <w:szCs w:val="20"/>
                <w:color w:val="auto"/>
              </w:rPr>
            </w:pPr>
            <w:r>
              <w:rPr>
                <w:rFonts w:ascii="Arial" w:cs="Arial" w:eastAsia="Arial" w:hAnsi="Arial"/>
                <w:sz w:val="14"/>
                <w:szCs w:val="14"/>
                <w:b w:val="1"/>
                <w:bCs w:val="1"/>
                <w:color w:val="auto"/>
              </w:rPr>
              <w:t>Revenue:</w:t>
            </w:r>
          </w:p>
        </w:tc>
        <w:tc>
          <w:tcPr>
            <w:tcW w:w="104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298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74"/>
        </w:trPr>
        <w:tc>
          <w:tcPr>
            <w:tcW w:w="1940" w:type="dxa"/>
            <w:vAlign w:val="bottom"/>
          </w:tcPr>
          <w:p>
            <w:pPr>
              <w:ind w:left="140"/>
              <w:spacing w:after="0"/>
              <w:rPr>
                <w:sz w:val="20"/>
                <w:szCs w:val="20"/>
                <w:color w:val="auto"/>
              </w:rPr>
            </w:pPr>
            <w:r>
              <w:rPr>
                <w:rFonts w:ascii="Arial" w:cs="Arial" w:eastAsia="Arial" w:hAnsi="Arial"/>
                <w:sz w:val="14"/>
                <w:szCs w:val="14"/>
                <w:color w:val="auto"/>
              </w:rPr>
              <w:t>Revenue</w:t>
            </w:r>
          </w:p>
        </w:tc>
        <w:tc>
          <w:tcPr>
            <w:tcW w:w="1040" w:type="dxa"/>
            <w:vAlign w:val="bottom"/>
          </w:tcPr>
          <w:p>
            <w:pPr>
              <w:jc w:val="center"/>
              <w:ind w:right="9"/>
              <w:spacing w:after="0"/>
              <w:rPr>
                <w:sz w:val="20"/>
                <w:szCs w:val="20"/>
                <w:color w:val="auto"/>
              </w:rPr>
            </w:pPr>
            <w:r>
              <w:rPr>
                <w:rFonts w:ascii="Arial" w:cs="Arial" w:eastAsia="Arial" w:hAnsi="Arial"/>
                <w:sz w:val="14"/>
                <w:szCs w:val="14"/>
                <w:color w:val="auto"/>
                <w:w w:val="89"/>
              </w:rPr>
              <w:t>2,595,777</w:t>
            </w:r>
          </w:p>
        </w:tc>
        <w:tc>
          <w:tcPr>
            <w:tcW w:w="1820" w:type="dxa"/>
            <w:vAlign w:val="bottom"/>
          </w:tcPr>
          <w:p>
            <w:pPr>
              <w:jc w:val="center"/>
              <w:ind w:right="29"/>
              <w:spacing w:after="0"/>
              <w:rPr>
                <w:sz w:val="20"/>
                <w:szCs w:val="20"/>
                <w:color w:val="auto"/>
              </w:rPr>
            </w:pPr>
            <w:r>
              <w:rPr>
                <w:rFonts w:ascii="Arial" w:cs="Arial" w:eastAsia="Arial" w:hAnsi="Arial"/>
                <w:sz w:val="14"/>
                <w:szCs w:val="14"/>
                <w:color w:val="auto"/>
                <w:w w:val="91"/>
              </w:rPr>
              <w:t>4,657</w:t>
            </w:r>
          </w:p>
        </w:tc>
        <w:tc>
          <w:tcPr>
            <w:tcW w:w="2980" w:type="dxa"/>
            <w:vAlign w:val="bottom"/>
          </w:tcPr>
          <w:p>
            <w:pPr>
              <w:jc w:val="center"/>
              <w:ind w:right="9"/>
              <w:spacing w:after="0"/>
              <w:rPr>
                <w:sz w:val="20"/>
                <w:szCs w:val="20"/>
                <w:color w:val="auto"/>
              </w:rPr>
            </w:pPr>
            <w:r>
              <w:rPr>
                <w:rFonts w:ascii="Arial" w:cs="Arial" w:eastAsia="Arial" w:hAnsi="Arial"/>
                <w:sz w:val="14"/>
                <w:szCs w:val="14"/>
                <w:color w:val="auto"/>
                <w:w w:val="93"/>
              </w:rPr>
              <w:t>2,600,434</w:t>
            </w:r>
          </w:p>
        </w:tc>
        <w:tc>
          <w:tcPr>
            <w:tcW w:w="3320" w:type="dxa"/>
            <w:vAlign w:val="bottom"/>
          </w:tcPr>
          <w:p>
            <w:pPr>
              <w:jc w:val="center"/>
              <w:spacing w:after="0"/>
              <w:rPr>
                <w:sz w:val="20"/>
                <w:szCs w:val="20"/>
                <w:color w:val="auto"/>
              </w:rPr>
            </w:pPr>
            <w:r>
              <w:rPr>
                <w:rFonts w:ascii="Arial" w:cs="Arial" w:eastAsia="Arial" w:hAnsi="Arial"/>
                <w:sz w:val="14"/>
                <w:szCs w:val="14"/>
                <w:color w:val="auto"/>
                <w:w w:val="93"/>
              </w:rPr>
              <w:t>2,402,321</w:t>
            </w:r>
          </w:p>
        </w:tc>
        <w:tc>
          <w:tcPr>
            <w:tcW w:w="60" w:type="dxa"/>
            <w:vAlign w:val="bottom"/>
          </w:tcPr>
          <w:p>
            <w:pPr>
              <w:spacing w:after="0"/>
              <w:rPr>
                <w:sz w:val="15"/>
                <w:szCs w:val="15"/>
                <w:color w:val="auto"/>
              </w:rPr>
            </w:pPr>
          </w:p>
        </w:tc>
      </w:tr>
      <w:tr>
        <w:trPr>
          <w:trHeight w:val="180"/>
        </w:trPr>
        <w:tc>
          <w:tcPr>
            <w:tcW w:w="194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rPr>
              <w:t>Reimbursable expenses</w:t>
            </w:r>
          </w:p>
        </w:tc>
        <w:tc>
          <w:tcPr>
            <w:tcW w:w="1040" w:type="dxa"/>
            <w:vAlign w:val="bottom"/>
            <w:tcBorders>
              <w:bottom w:val="single" w:sz="8" w:color="auto"/>
            </w:tcBorders>
          </w:tcPr>
          <w:p>
            <w:pPr>
              <w:spacing w:after="0"/>
              <w:rPr>
                <w:sz w:val="15"/>
                <w:szCs w:val="15"/>
                <w:color w:val="auto"/>
              </w:rPr>
            </w:pPr>
          </w:p>
        </w:tc>
        <w:tc>
          <w:tcPr>
            <w:tcW w:w="1820" w:type="dxa"/>
            <w:vAlign w:val="bottom"/>
            <w:tcBorders>
              <w:bottom w:val="single" w:sz="8" w:color="auto"/>
            </w:tcBorders>
          </w:tcPr>
          <w:p>
            <w:pPr>
              <w:jc w:val="center"/>
              <w:ind w:right="29"/>
              <w:spacing w:after="0"/>
              <w:rPr>
                <w:sz w:val="20"/>
                <w:szCs w:val="20"/>
                <w:color w:val="auto"/>
              </w:rPr>
            </w:pPr>
            <w:r>
              <w:rPr>
                <w:rFonts w:ascii="Arial" w:cs="Arial" w:eastAsia="Arial" w:hAnsi="Arial"/>
                <w:sz w:val="14"/>
                <w:szCs w:val="14"/>
                <w:color w:val="auto"/>
                <w:w w:val="93"/>
              </w:rPr>
              <w:t>(702,812)</w:t>
            </w:r>
          </w:p>
        </w:tc>
        <w:tc>
          <w:tcPr>
            <w:tcW w:w="29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(702,812)</w:t>
            </w:r>
          </w:p>
        </w:tc>
        <w:tc>
          <w:tcPr>
            <w:tcW w:w="33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(643,882)</w:t>
            </w:r>
          </w:p>
        </w:tc>
        <w:tc>
          <w:tcPr>
            <w:tcW w:w="60" w:type="dxa"/>
            <w:vAlign w:val="bottom"/>
          </w:tcPr>
          <w:p>
            <w:pPr>
              <w:spacing w:after="0"/>
              <w:rPr>
                <w:sz w:val="15"/>
                <w:szCs w:val="15"/>
                <w:color w:val="auto"/>
              </w:rPr>
            </w:pPr>
          </w:p>
        </w:tc>
      </w:tr>
      <w:tr>
        <w:trPr>
          <w:trHeight w:val="168"/>
        </w:trPr>
        <w:tc>
          <w:tcPr>
            <w:tcW w:w="1940" w:type="dxa"/>
            <w:vAlign w:val="bottom"/>
          </w:tcPr>
          <w:p>
            <w:pPr>
              <w:spacing w:after="0"/>
              <w:rPr>
                <w:sz w:val="14"/>
                <w:szCs w:val="14"/>
                <w:color w:val="auto"/>
              </w:rPr>
            </w:pPr>
          </w:p>
        </w:tc>
        <w:tc>
          <w:tcPr>
            <w:tcW w:w="1040" w:type="dxa"/>
            <w:vAlign w:val="bottom"/>
            <w:tcBorders>
              <w:bottom w:val="single" w:sz="8" w:color="auto"/>
            </w:tcBorders>
          </w:tcPr>
          <w:p>
            <w:pPr>
              <w:jc w:val="center"/>
              <w:ind w:right="9"/>
              <w:spacing w:after="0"/>
              <w:rPr>
                <w:sz w:val="20"/>
                <w:szCs w:val="20"/>
                <w:color w:val="auto"/>
              </w:rPr>
            </w:pPr>
            <w:r>
              <w:rPr>
                <w:rFonts w:ascii="Arial" w:cs="Arial" w:eastAsia="Arial" w:hAnsi="Arial"/>
                <w:sz w:val="14"/>
                <w:szCs w:val="14"/>
                <w:b w:val="1"/>
                <w:bCs w:val="1"/>
                <w:color w:val="auto"/>
                <w:w w:val="89"/>
              </w:rPr>
              <w:t>2,595,777</w:t>
            </w:r>
          </w:p>
        </w:tc>
        <w:tc>
          <w:tcPr>
            <w:tcW w:w="1820" w:type="dxa"/>
            <w:vAlign w:val="bottom"/>
            <w:tcBorders>
              <w:bottom w:val="single" w:sz="8" w:color="auto"/>
            </w:tcBorders>
          </w:tcPr>
          <w:p>
            <w:pPr>
              <w:jc w:val="center"/>
              <w:ind w:right="29"/>
              <w:spacing w:after="0"/>
              <w:rPr>
                <w:sz w:val="20"/>
                <w:szCs w:val="20"/>
                <w:color w:val="auto"/>
              </w:rPr>
            </w:pPr>
            <w:r>
              <w:rPr>
                <w:rFonts w:ascii="Arial" w:cs="Arial" w:eastAsia="Arial" w:hAnsi="Arial"/>
                <w:sz w:val="14"/>
                <w:szCs w:val="14"/>
                <w:b w:val="1"/>
                <w:bCs w:val="1"/>
                <w:color w:val="auto"/>
                <w:w w:val="93"/>
              </w:rPr>
              <w:t>(698,155)</w:t>
            </w:r>
          </w:p>
        </w:tc>
        <w:tc>
          <w:tcPr>
            <w:tcW w:w="2980" w:type="dxa"/>
            <w:vAlign w:val="bottom"/>
            <w:tcBorders>
              <w:bottom w:val="single" w:sz="8" w:color="auto"/>
            </w:tcBorders>
          </w:tcPr>
          <w:p>
            <w:pPr>
              <w:jc w:val="center"/>
              <w:ind w:right="9"/>
              <w:spacing w:after="0"/>
              <w:rPr>
                <w:sz w:val="20"/>
                <w:szCs w:val="20"/>
                <w:color w:val="auto"/>
              </w:rPr>
            </w:pPr>
            <w:r>
              <w:rPr>
                <w:rFonts w:ascii="Arial" w:cs="Arial" w:eastAsia="Arial" w:hAnsi="Arial"/>
                <w:sz w:val="14"/>
                <w:szCs w:val="14"/>
                <w:b w:val="1"/>
                <w:bCs w:val="1"/>
                <w:color w:val="auto"/>
                <w:w w:val="93"/>
              </w:rPr>
              <w:t>1,897,622</w:t>
            </w:r>
          </w:p>
        </w:tc>
        <w:tc>
          <w:tcPr>
            <w:tcW w:w="3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1,758,439</w:t>
            </w:r>
          </w:p>
        </w:tc>
        <w:tc>
          <w:tcPr>
            <w:tcW w:w="60" w:type="dxa"/>
            <w:vAlign w:val="bottom"/>
          </w:tcPr>
          <w:p>
            <w:pPr>
              <w:spacing w:after="0"/>
              <w:rPr>
                <w:sz w:val="14"/>
                <w:szCs w:val="14"/>
                <w:color w:val="auto"/>
              </w:rPr>
            </w:pPr>
          </w:p>
        </w:tc>
      </w:tr>
      <w:tr>
        <w:trPr>
          <w:trHeight w:val="20"/>
        </w:trPr>
        <w:tc>
          <w:tcPr>
            <w:tcW w:w="194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2980" w:type="dxa"/>
            <w:vAlign w:val="bottom"/>
            <w:tcBorders>
              <w:bottom w:val="single" w:sz="8" w:color="auto"/>
            </w:tcBorders>
          </w:tcPr>
          <w:p>
            <w:pPr>
              <w:spacing w:after="0" w:line="20" w:lineRule="exact"/>
              <w:rPr>
                <w:sz w:val="1"/>
                <w:szCs w:val="1"/>
                <w:color w:val="auto"/>
              </w:rPr>
            </w:pPr>
          </w:p>
        </w:tc>
        <w:tc>
          <w:tcPr>
            <w:tcW w:w="33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89"/>
        </w:trPr>
        <w:tc>
          <w:tcPr>
            <w:tcW w:w="1940" w:type="dxa"/>
            <w:vAlign w:val="bottom"/>
            <w:tcBorders>
              <w:bottom w:val="single" w:sz="8" w:color="9A9A9A"/>
            </w:tcBorders>
          </w:tcPr>
          <w:p>
            <w:pPr>
              <w:spacing w:after="0"/>
              <w:rPr>
                <w:sz w:val="24"/>
                <w:szCs w:val="24"/>
                <w:color w:val="auto"/>
              </w:rPr>
            </w:pPr>
          </w:p>
        </w:tc>
        <w:tc>
          <w:tcPr>
            <w:tcW w:w="1040" w:type="dxa"/>
            <w:vAlign w:val="bottom"/>
            <w:tcBorders>
              <w:bottom w:val="single" w:sz="8" w:color="9A9A9A"/>
            </w:tcBorders>
          </w:tcPr>
          <w:p>
            <w:pPr>
              <w:spacing w:after="0"/>
              <w:rPr>
                <w:sz w:val="24"/>
                <w:szCs w:val="24"/>
                <w:color w:val="auto"/>
              </w:rPr>
            </w:pPr>
          </w:p>
        </w:tc>
        <w:tc>
          <w:tcPr>
            <w:tcW w:w="1820" w:type="dxa"/>
            <w:vAlign w:val="bottom"/>
            <w:tcBorders>
              <w:bottom w:val="single" w:sz="8" w:color="9A9A9A"/>
            </w:tcBorders>
          </w:tcPr>
          <w:p>
            <w:pPr>
              <w:spacing w:after="0"/>
              <w:rPr>
                <w:sz w:val="24"/>
                <w:szCs w:val="24"/>
                <w:color w:val="auto"/>
              </w:rPr>
            </w:pPr>
          </w:p>
        </w:tc>
        <w:tc>
          <w:tcPr>
            <w:tcW w:w="2980" w:type="dxa"/>
            <w:vAlign w:val="bottom"/>
            <w:tcBorders>
              <w:bottom w:val="single" w:sz="8" w:color="9A9A9A"/>
            </w:tcBorders>
          </w:tcPr>
          <w:p>
            <w:pPr>
              <w:spacing w:after="0"/>
              <w:rPr>
                <w:sz w:val="24"/>
                <w:szCs w:val="24"/>
                <w:color w:val="auto"/>
              </w:rPr>
            </w:pPr>
          </w:p>
        </w:tc>
        <w:tc>
          <w:tcPr>
            <w:tcW w:w="332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r>
      <w:tr>
        <w:trPr>
          <w:trHeight w:val="20"/>
        </w:trPr>
        <w:tc>
          <w:tcPr>
            <w:tcW w:w="1940" w:type="dxa"/>
            <w:vAlign w:val="bottom"/>
            <w:tcBorders>
              <w:bottom w:val="single" w:sz="8" w:color="EEEEEE"/>
            </w:tcBorders>
          </w:tcPr>
          <w:p>
            <w:pPr>
              <w:spacing w:after="0" w:line="20" w:lineRule="exact"/>
              <w:rPr>
                <w:sz w:val="1"/>
                <w:szCs w:val="1"/>
                <w:color w:val="auto"/>
              </w:rPr>
            </w:pPr>
          </w:p>
        </w:tc>
        <w:tc>
          <w:tcPr>
            <w:tcW w:w="1040" w:type="dxa"/>
            <w:vAlign w:val="bottom"/>
            <w:tcBorders>
              <w:bottom w:val="single" w:sz="8" w:color="EEEEEE"/>
            </w:tcBorders>
          </w:tcPr>
          <w:p>
            <w:pPr>
              <w:spacing w:after="0" w:line="20" w:lineRule="exact"/>
              <w:rPr>
                <w:sz w:val="1"/>
                <w:szCs w:val="1"/>
                <w:color w:val="auto"/>
              </w:rPr>
            </w:pPr>
          </w:p>
        </w:tc>
        <w:tc>
          <w:tcPr>
            <w:tcW w:w="1820" w:type="dxa"/>
            <w:vAlign w:val="bottom"/>
            <w:tcBorders>
              <w:bottom w:val="single" w:sz="8" w:color="EEEEEE"/>
            </w:tcBorders>
          </w:tcPr>
          <w:p>
            <w:pPr>
              <w:spacing w:after="0" w:line="20" w:lineRule="exact"/>
              <w:rPr>
                <w:sz w:val="1"/>
                <w:szCs w:val="1"/>
                <w:color w:val="auto"/>
              </w:rPr>
            </w:pPr>
          </w:p>
        </w:tc>
        <w:tc>
          <w:tcPr>
            <w:tcW w:w="2980" w:type="dxa"/>
            <w:vAlign w:val="bottom"/>
            <w:tcBorders>
              <w:bottom w:val="single" w:sz="8" w:color="EEEEEE"/>
            </w:tcBorders>
          </w:tcPr>
          <w:p>
            <w:pPr>
              <w:spacing w:after="0" w:line="20" w:lineRule="exact"/>
              <w:rPr>
                <w:sz w:val="1"/>
                <w:szCs w:val="1"/>
                <w:color w:val="auto"/>
              </w:rPr>
            </w:pPr>
          </w:p>
        </w:tc>
        <w:tc>
          <w:tcPr>
            <w:tcW w:w="332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20955" cy="596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0955" cy="59690"/>
                    </a:xfrm>
                    <a:prstGeom prst="rect">
                      <a:avLst/>
                    </a:prstGeom>
                    <a:noFill/>
                  </pic:spPr>
                </pic:pic>
              </a:graphicData>
            </a:graphic>
          </wp:anchor>
        </w:drawing>
      </w:r>
    </w:p>
    <w:p>
      <w:pPr>
        <w:sectPr>
          <w:pgSz w:w="12240" w:h="15840" w:orient="portrait"/>
          <w:cols w:equalWidth="0" w:num="1">
            <w:col w:w="11160"/>
          </w:cols>
          <w:pgMar w:left="520" w:top="0" w:right="560" w:bottom="1440" w:gutter="0" w:footer="0" w:header="0"/>
        </w:sectPr>
      </w:pPr>
    </w:p>
    <w:bookmarkStart w:id="9" w:name="page10"/>
    <w:bookmarkEnd w:id="9"/>
    <w:p>
      <w:pPr>
        <w:jc w:val="center"/>
        <w:ind w:right="-899"/>
        <w:spacing w:after="0"/>
        <w:rPr>
          <w:sz w:val="20"/>
          <w:szCs w:val="20"/>
          <w:color w:val="auto"/>
        </w:rPr>
      </w:pPr>
      <w:r>
        <w:rPr>
          <w:rFonts w:ascii="Arial" w:cs="Arial" w:eastAsia="Arial" w:hAnsi="Arial"/>
          <w:sz w:val="21"/>
          <w:szCs w:val="21"/>
          <w:b w:val="1"/>
          <w:bCs w:val="1"/>
          <w:color w:val="auto"/>
        </w:rPr>
        <w:t>ICON plc</w:t>
      </w:r>
    </w:p>
    <w:p>
      <w:pPr>
        <w:spacing w:after="0" w:line="187" w:lineRule="exact"/>
        <w:rPr>
          <w:sz w:val="20"/>
          <w:szCs w:val="20"/>
          <w:color w:val="auto"/>
        </w:rPr>
      </w:pPr>
    </w:p>
    <w:p>
      <w:pPr>
        <w:jc w:val="center"/>
        <w:ind w:right="-899"/>
        <w:spacing w:after="0"/>
        <w:rPr>
          <w:sz w:val="20"/>
          <w:szCs w:val="20"/>
          <w:color w:val="auto"/>
        </w:rPr>
      </w:pPr>
      <w:r>
        <w:rPr>
          <w:rFonts w:ascii="Arial" w:cs="Arial" w:eastAsia="Arial" w:hAnsi="Arial"/>
          <w:sz w:val="21"/>
          <w:szCs w:val="21"/>
          <w:b w:val="1"/>
          <w:bCs w:val="1"/>
          <w:color w:val="auto"/>
        </w:rPr>
        <w:t>Summary Balance Sheet Data</w:t>
      </w:r>
    </w:p>
    <w:p>
      <w:pPr>
        <w:spacing w:after="0" w:line="215" w:lineRule="exact"/>
        <w:rPr>
          <w:sz w:val="20"/>
          <w:szCs w:val="20"/>
          <w:color w:val="auto"/>
        </w:rPr>
      </w:pPr>
    </w:p>
    <w:p>
      <w:pPr>
        <w:jc w:val="center"/>
        <w:ind w:right="-899"/>
        <w:spacing w:after="0"/>
        <w:rPr>
          <w:sz w:val="20"/>
          <w:szCs w:val="20"/>
          <w:color w:val="auto"/>
        </w:rPr>
      </w:pPr>
      <w:r>
        <w:rPr>
          <w:rFonts w:ascii="Arial" w:cs="Arial" w:eastAsia="Arial" w:hAnsi="Arial"/>
          <w:sz w:val="21"/>
          <w:szCs w:val="21"/>
          <w:b w:val="1"/>
          <w:bCs w:val="1"/>
          <w:color w:val="auto"/>
        </w:rPr>
        <w:t>December 31, 2018 and December 31, 2017</w:t>
      </w:r>
    </w:p>
    <w:p>
      <w:pPr>
        <w:spacing w:after="0" w:line="215" w:lineRule="exact"/>
        <w:rPr>
          <w:sz w:val="20"/>
          <w:szCs w:val="20"/>
          <w:color w:val="auto"/>
        </w:rPr>
      </w:pPr>
    </w:p>
    <w:p>
      <w:pPr>
        <w:jc w:val="center"/>
        <w:ind w:right="-899"/>
        <w:spacing w:after="0"/>
        <w:rPr>
          <w:sz w:val="20"/>
          <w:szCs w:val="20"/>
          <w:color w:val="auto"/>
        </w:rPr>
      </w:pPr>
      <w:r>
        <w:rPr>
          <w:rFonts w:ascii="Arial" w:cs="Arial" w:eastAsia="Arial" w:hAnsi="Arial"/>
          <w:sz w:val="21"/>
          <w:szCs w:val="21"/>
          <w:b w:val="1"/>
          <w:bCs w:val="1"/>
          <w:color w:val="auto"/>
        </w:rPr>
        <w:t>(Dollars, in thousands)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4220" w:type="dxa"/>
            <w:vAlign w:val="bottom"/>
          </w:tcPr>
          <w:p>
            <w:pPr>
              <w:spacing w:after="0"/>
              <w:rPr>
                <w:sz w:val="15"/>
                <w:szCs w:val="15"/>
                <w:color w:val="auto"/>
              </w:rPr>
            </w:pPr>
          </w:p>
        </w:tc>
        <w:tc>
          <w:tcPr>
            <w:tcW w:w="4140" w:type="dxa"/>
            <w:vAlign w:val="bottom"/>
          </w:tcPr>
          <w:p>
            <w:pPr>
              <w:jc w:val="center"/>
              <w:ind w:left="1349"/>
              <w:spacing w:after="0"/>
              <w:rPr>
                <w:sz w:val="20"/>
                <w:szCs w:val="20"/>
                <w:color w:val="auto"/>
              </w:rPr>
            </w:pPr>
            <w:r>
              <w:rPr>
                <w:rFonts w:ascii="Arial" w:cs="Arial" w:eastAsia="Arial" w:hAnsi="Arial"/>
                <w:sz w:val="14"/>
                <w:szCs w:val="14"/>
                <w:b w:val="1"/>
                <w:bCs w:val="1"/>
                <w:color w:val="auto"/>
                <w:w w:val="92"/>
              </w:rPr>
              <w:t>December 31,</w:t>
            </w:r>
          </w:p>
        </w:tc>
        <w:tc>
          <w:tcPr>
            <w:tcW w:w="1760" w:type="dxa"/>
            <w:vAlign w:val="bottom"/>
          </w:tcPr>
          <w:p>
            <w:pPr>
              <w:jc w:val="center"/>
              <w:ind w:left="869"/>
              <w:spacing w:after="0"/>
              <w:rPr>
                <w:sz w:val="20"/>
                <w:szCs w:val="20"/>
                <w:color w:val="auto"/>
              </w:rPr>
            </w:pPr>
            <w:r>
              <w:rPr>
                <w:rFonts w:ascii="Arial" w:cs="Arial" w:eastAsia="Arial" w:hAnsi="Arial"/>
                <w:sz w:val="14"/>
                <w:szCs w:val="14"/>
                <w:b w:val="1"/>
                <w:bCs w:val="1"/>
                <w:color w:val="auto"/>
                <w:w w:val="90"/>
              </w:rPr>
              <w:t>December 31,</w:t>
            </w:r>
          </w:p>
        </w:tc>
      </w:tr>
      <w:tr>
        <w:trPr>
          <w:trHeight w:val="174"/>
        </w:trPr>
        <w:tc>
          <w:tcPr>
            <w:tcW w:w="4220" w:type="dxa"/>
            <w:vAlign w:val="bottom"/>
          </w:tcPr>
          <w:p>
            <w:pPr>
              <w:spacing w:after="0"/>
              <w:rPr>
                <w:sz w:val="15"/>
                <w:szCs w:val="15"/>
                <w:color w:val="auto"/>
              </w:rPr>
            </w:pPr>
          </w:p>
        </w:tc>
        <w:tc>
          <w:tcPr>
            <w:tcW w:w="4140" w:type="dxa"/>
            <w:vAlign w:val="bottom"/>
          </w:tcPr>
          <w:p>
            <w:pPr>
              <w:jc w:val="center"/>
              <w:ind w:left="1349"/>
              <w:spacing w:after="0"/>
              <w:rPr>
                <w:sz w:val="20"/>
                <w:szCs w:val="20"/>
                <w:color w:val="auto"/>
              </w:rPr>
            </w:pPr>
            <w:r>
              <w:rPr>
                <w:rFonts w:ascii="Arial" w:cs="Arial" w:eastAsia="Arial" w:hAnsi="Arial"/>
                <w:sz w:val="14"/>
                <w:szCs w:val="14"/>
                <w:b w:val="1"/>
                <w:bCs w:val="1"/>
                <w:color w:val="auto"/>
                <w:w w:val="89"/>
              </w:rPr>
              <w:t>2018</w:t>
            </w:r>
          </w:p>
        </w:tc>
        <w:tc>
          <w:tcPr>
            <w:tcW w:w="1760" w:type="dxa"/>
            <w:vAlign w:val="bottom"/>
          </w:tcPr>
          <w:p>
            <w:pPr>
              <w:jc w:val="center"/>
              <w:ind w:left="889"/>
              <w:spacing w:after="0"/>
              <w:rPr>
                <w:sz w:val="20"/>
                <w:szCs w:val="20"/>
                <w:color w:val="auto"/>
              </w:rPr>
            </w:pPr>
            <w:r>
              <w:rPr>
                <w:rFonts w:ascii="Arial" w:cs="Arial" w:eastAsia="Arial" w:hAnsi="Arial"/>
                <w:sz w:val="14"/>
                <w:szCs w:val="14"/>
                <w:b w:val="1"/>
                <w:bCs w:val="1"/>
                <w:color w:val="auto"/>
                <w:w w:val="89"/>
              </w:rPr>
              <w:t>2017</w:t>
            </w:r>
          </w:p>
        </w:tc>
      </w:tr>
      <w:tr>
        <w:trPr>
          <w:trHeight w:val="185"/>
        </w:trPr>
        <w:tc>
          <w:tcPr>
            <w:tcW w:w="4220" w:type="dxa"/>
            <w:vAlign w:val="bottom"/>
          </w:tcPr>
          <w:p>
            <w:pPr>
              <w:spacing w:after="0"/>
              <w:rPr>
                <w:sz w:val="16"/>
                <w:szCs w:val="16"/>
                <w:color w:val="auto"/>
              </w:rPr>
            </w:pPr>
          </w:p>
        </w:tc>
        <w:tc>
          <w:tcPr>
            <w:tcW w:w="4140" w:type="dxa"/>
            <w:vAlign w:val="bottom"/>
          </w:tcPr>
          <w:p>
            <w:pPr>
              <w:jc w:val="center"/>
              <w:ind w:left="1329"/>
              <w:spacing w:after="0"/>
              <w:rPr>
                <w:sz w:val="20"/>
                <w:szCs w:val="20"/>
                <w:color w:val="auto"/>
              </w:rPr>
            </w:pPr>
            <w:r>
              <w:rPr>
                <w:rFonts w:ascii="Arial" w:cs="Arial" w:eastAsia="Arial" w:hAnsi="Arial"/>
                <w:sz w:val="14"/>
                <w:szCs w:val="14"/>
                <w:b w:val="1"/>
                <w:bCs w:val="1"/>
                <w:color w:val="auto"/>
                <w:w w:val="95"/>
              </w:rPr>
              <w:t>(Unaudited)</w:t>
            </w:r>
          </w:p>
        </w:tc>
        <w:tc>
          <w:tcPr>
            <w:tcW w:w="1760" w:type="dxa"/>
            <w:vAlign w:val="bottom"/>
          </w:tcPr>
          <w:p>
            <w:pPr>
              <w:jc w:val="center"/>
              <w:ind w:left="869"/>
              <w:spacing w:after="0"/>
              <w:rPr>
                <w:sz w:val="20"/>
                <w:szCs w:val="20"/>
                <w:color w:val="auto"/>
              </w:rPr>
            </w:pPr>
            <w:r>
              <w:rPr>
                <w:rFonts w:ascii="Arial" w:cs="Arial" w:eastAsia="Arial" w:hAnsi="Arial"/>
                <w:sz w:val="14"/>
                <w:szCs w:val="14"/>
                <w:b w:val="1"/>
                <w:bCs w:val="1"/>
                <w:color w:val="auto"/>
                <w:w w:val="94"/>
              </w:rPr>
              <w:t>(Audited)</w:t>
            </w:r>
          </w:p>
        </w:tc>
      </w:tr>
      <w:tr>
        <w:trPr>
          <w:trHeight w:val="516"/>
        </w:trPr>
        <w:tc>
          <w:tcPr>
            <w:tcW w:w="4220" w:type="dxa"/>
            <w:vAlign w:val="bottom"/>
          </w:tcPr>
          <w:p>
            <w:pPr>
              <w:spacing w:after="0"/>
              <w:rPr>
                <w:sz w:val="20"/>
                <w:szCs w:val="20"/>
                <w:color w:val="auto"/>
              </w:rPr>
            </w:pPr>
            <w:r>
              <w:rPr>
                <w:rFonts w:ascii="Arial" w:cs="Arial" w:eastAsia="Arial" w:hAnsi="Arial"/>
                <w:sz w:val="14"/>
                <w:szCs w:val="14"/>
                <w:color w:val="auto"/>
              </w:rPr>
              <w:t>Cash and short-term investments</w:t>
            </w:r>
          </w:p>
        </w:tc>
        <w:tc>
          <w:tcPr>
            <w:tcW w:w="4140" w:type="dxa"/>
            <w:vAlign w:val="bottom"/>
          </w:tcPr>
          <w:p>
            <w:pPr>
              <w:jc w:val="center"/>
              <w:ind w:left="1369"/>
              <w:spacing w:after="0"/>
              <w:rPr>
                <w:sz w:val="20"/>
                <w:szCs w:val="20"/>
                <w:color w:val="auto"/>
              </w:rPr>
            </w:pPr>
            <w:r>
              <w:rPr>
                <w:rFonts w:ascii="Arial" w:cs="Arial" w:eastAsia="Arial" w:hAnsi="Arial"/>
                <w:sz w:val="14"/>
                <w:szCs w:val="14"/>
                <w:color w:val="auto"/>
                <w:w w:val="90"/>
              </w:rPr>
              <w:t>455,761</w:t>
            </w:r>
          </w:p>
        </w:tc>
        <w:tc>
          <w:tcPr>
            <w:tcW w:w="1760" w:type="dxa"/>
            <w:vAlign w:val="bottom"/>
          </w:tcPr>
          <w:p>
            <w:pPr>
              <w:jc w:val="center"/>
              <w:ind w:left="889"/>
              <w:spacing w:after="0"/>
              <w:rPr>
                <w:sz w:val="20"/>
                <w:szCs w:val="20"/>
                <w:color w:val="auto"/>
              </w:rPr>
            </w:pPr>
            <w:r>
              <w:rPr>
                <w:rFonts w:ascii="Arial" w:cs="Arial" w:eastAsia="Arial" w:hAnsi="Arial"/>
                <w:sz w:val="14"/>
                <w:szCs w:val="14"/>
                <w:color w:val="auto"/>
                <w:w w:val="94"/>
              </w:rPr>
              <w:t>360,448</w:t>
            </w:r>
          </w:p>
        </w:tc>
      </w:tr>
      <w:tr>
        <w:trPr>
          <w:trHeight w:val="174"/>
        </w:trPr>
        <w:tc>
          <w:tcPr>
            <w:tcW w:w="4220" w:type="dxa"/>
            <w:vAlign w:val="bottom"/>
          </w:tcPr>
          <w:p>
            <w:pPr>
              <w:spacing w:after="0"/>
              <w:rPr>
                <w:sz w:val="20"/>
                <w:szCs w:val="20"/>
                <w:color w:val="auto"/>
              </w:rPr>
            </w:pPr>
            <w:r>
              <w:rPr>
                <w:rFonts w:ascii="Arial" w:cs="Arial" w:eastAsia="Arial" w:hAnsi="Arial"/>
                <w:sz w:val="14"/>
                <w:szCs w:val="14"/>
                <w:color w:val="auto"/>
              </w:rPr>
              <w:t>Debt</w:t>
            </w:r>
          </w:p>
        </w:tc>
        <w:tc>
          <w:tcPr>
            <w:tcW w:w="4140" w:type="dxa"/>
            <w:vAlign w:val="bottom"/>
          </w:tcPr>
          <w:p>
            <w:pPr>
              <w:jc w:val="center"/>
              <w:ind w:left="1349"/>
              <w:spacing w:after="0"/>
              <w:rPr>
                <w:sz w:val="20"/>
                <w:szCs w:val="20"/>
                <w:color w:val="auto"/>
              </w:rPr>
            </w:pPr>
            <w:r>
              <w:rPr>
                <w:rFonts w:ascii="Arial" w:cs="Arial" w:eastAsia="Arial" w:hAnsi="Arial"/>
                <w:sz w:val="14"/>
                <w:szCs w:val="14"/>
                <w:color w:val="auto"/>
                <w:w w:val="93"/>
              </w:rPr>
              <w:t>(349,264)</w:t>
            </w:r>
          </w:p>
        </w:tc>
        <w:tc>
          <w:tcPr>
            <w:tcW w:w="1760" w:type="dxa"/>
            <w:vAlign w:val="bottom"/>
          </w:tcPr>
          <w:p>
            <w:pPr>
              <w:jc w:val="center"/>
              <w:ind w:left="889"/>
              <w:spacing w:after="0"/>
              <w:rPr>
                <w:sz w:val="20"/>
                <w:szCs w:val="20"/>
                <w:color w:val="auto"/>
              </w:rPr>
            </w:pPr>
            <w:r>
              <w:rPr>
                <w:rFonts w:ascii="Arial" w:cs="Arial" w:eastAsia="Arial" w:hAnsi="Arial"/>
                <w:sz w:val="14"/>
                <w:szCs w:val="14"/>
                <w:color w:val="auto"/>
                <w:w w:val="93"/>
              </w:rPr>
              <w:t>(348,888)</w:t>
            </w:r>
          </w:p>
        </w:tc>
      </w:tr>
      <w:tr>
        <w:trPr>
          <w:trHeight w:val="181"/>
        </w:trPr>
        <w:tc>
          <w:tcPr>
            <w:tcW w:w="4220" w:type="dxa"/>
            <w:vAlign w:val="bottom"/>
          </w:tcPr>
          <w:p>
            <w:pPr>
              <w:spacing w:after="0"/>
              <w:rPr>
                <w:sz w:val="20"/>
                <w:szCs w:val="20"/>
                <w:color w:val="auto"/>
              </w:rPr>
            </w:pPr>
            <w:r>
              <w:rPr>
                <w:rFonts w:ascii="Arial" w:cs="Arial" w:eastAsia="Arial" w:hAnsi="Arial"/>
                <w:sz w:val="14"/>
                <w:szCs w:val="14"/>
                <w:color w:val="auto"/>
              </w:rPr>
              <w:t>Net cash/(debt)</w:t>
            </w:r>
          </w:p>
        </w:tc>
        <w:tc>
          <w:tcPr>
            <w:tcW w:w="4140" w:type="dxa"/>
            <w:vAlign w:val="bottom"/>
          </w:tcPr>
          <w:p>
            <w:pPr>
              <w:jc w:val="center"/>
              <w:ind w:left="1369"/>
              <w:spacing w:after="0"/>
              <w:rPr>
                <w:sz w:val="20"/>
                <w:szCs w:val="20"/>
                <w:color w:val="auto"/>
              </w:rPr>
            </w:pPr>
            <w:r>
              <w:rPr>
                <w:rFonts w:ascii="Arial" w:cs="Arial" w:eastAsia="Arial" w:hAnsi="Arial"/>
                <w:sz w:val="14"/>
                <w:szCs w:val="14"/>
                <w:color w:val="auto"/>
                <w:w w:val="90"/>
              </w:rPr>
              <w:t>106,497</w:t>
            </w:r>
          </w:p>
        </w:tc>
        <w:tc>
          <w:tcPr>
            <w:tcW w:w="1760" w:type="dxa"/>
            <w:vAlign w:val="bottom"/>
          </w:tcPr>
          <w:p>
            <w:pPr>
              <w:jc w:val="center"/>
              <w:ind w:left="889"/>
              <w:spacing w:after="0"/>
              <w:rPr>
                <w:sz w:val="20"/>
                <w:szCs w:val="20"/>
                <w:color w:val="auto"/>
              </w:rPr>
            </w:pPr>
            <w:r>
              <w:rPr>
                <w:rFonts w:ascii="Arial" w:cs="Arial" w:eastAsia="Arial" w:hAnsi="Arial"/>
                <w:sz w:val="14"/>
                <w:szCs w:val="14"/>
                <w:color w:val="auto"/>
                <w:w w:val="93"/>
              </w:rPr>
              <w:t>11,560</w:t>
            </w:r>
          </w:p>
        </w:tc>
      </w:tr>
      <w:tr>
        <w:trPr>
          <w:trHeight w:val="349"/>
        </w:trPr>
        <w:tc>
          <w:tcPr>
            <w:tcW w:w="4220" w:type="dxa"/>
            <w:vAlign w:val="bottom"/>
          </w:tcPr>
          <w:p>
            <w:pPr>
              <w:spacing w:after="0"/>
              <w:rPr>
                <w:sz w:val="20"/>
                <w:szCs w:val="20"/>
                <w:color w:val="auto"/>
              </w:rPr>
            </w:pPr>
            <w:r>
              <w:rPr>
                <w:rFonts w:ascii="Arial" w:cs="Arial" w:eastAsia="Arial" w:hAnsi="Arial"/>
                <w:sz w:val="14"/>
                <w:szCs w:val="14"/>
                <w:color w:val="auto"/>
              </w:rPr>
              <w:t>Net Accounts Receivable</w:t>
            </w:r>
          </w:p>
        </w:tc>
        <w:tc>
          <w:tcPr>
            <w:tcW w:w="4140" w:type="dxa"/>
            <w:vAlign w:val="bottom"/>
          </w:tcPr>
          <w:p>
            <w:pPr>
              <w:jc w:val="center"/>
              <w:ind w:left="1369"/>
              <w:spacing w:after="0"/>
              <w:rPr>
                <w:sz w:val="20"/>
                <w:szCs w:val="20"/>
                <w:color w:val="auto"/>
              </w:rPr>
            </w:pPr>
            <w:r>
              <w:rPr>
                <w:rFonts w:ascii="Arial" w:cs="Arial" w:eastAsia="Arial" w:hAnsi="Arial"/>
                <w:sz w:val="14"/>
                <w:szCs w:val="14"/>
                <w:color w:val="auto"/>
                <w:w w:val="90"/>
              </w:rPr>
              <w:t>503,249</w:t>
            </w:r>
          </w:p>
        </w:tc>
        <w:tc>
          <w:tcPr>
            <w:tcW w:w="1760" w:type="dxa"/>
            <w:vAlign w:val="bottom"/>
          </w:tcPr>
          <w:p>
            <w:pPr>
              <w:jc w:val="center"/>
              <w:ind w:left="889"/>
              <w:spacing w:after="0"/>
              <w:rPr>
                <w:sz w:val="20"/>
                <w:szCs w:val="20"/>
                <w:color w:val="auto"/>
              </w:rPr>
            </w:pPr>
            <w:r>
              <w:rPr>
                <w:rFonts w:ascii="Arial" w:cs="Arial" w:eastAsia="Arial" w:hAnsi="Arial"/>
                <w:sz w:val="14"/>
                <w:szCs w:val="14"/>
                <w:color w:val="auto"/>
                <w:w w:val="94"/>
              </w:rPr>
              <w:t>349,018</w:t>
            </w:r>
          </w:p>
        </w:tc>
      </w:tr>
      <w:tr>
        <w:trPr>
          <w:trHeight w:val="349"/>
        </w:trPr>
        <w:tc>
          <w:tcPr>
            <w:tcW w:w="4220" w:type="dxa"/>
            <w:vAlign w:val="bottom"/>
          </w:tcPr>
          <w:p>
            <w:pPr>
              <w:spacing w:after="0"/>
              <w:rPr>
                <w:sz w:val="20"/>
                <w:szCs w:val="20"/>
                <w:color w:val="auto"/>
              </w:rPr>
            </w:pPr>
            <w:r>
              <w:rPr>
                <w:rFonts w:ascii="Arial" w:cs="Arial" w:eastAsia="Arial" w:hAnsi="Arial"/>
                <w:sz w:val="14"/>
                <w:szCs w:val="14"/>
                <w:color w:val="auto"/>
              </w:rPr>
              <w:t>Working Capital</w:t>
            </w:r>
          </w:p>
        </w:tc>
        <w:tc>
          <w:tcPr>
            <w:tcW w:w="4140" w:type="dxa"/>
            <w:vAlign w:val="bottom"/>
          </w:tcPr>
          <w:p>
            <w:pPr>
              <w:jc w:val="center"/>
              <w:ind w:left="1369"/>
              <w:spacing w:after="0"/>
              <w:rPr>
                <w:sz w:val="20"/>
                <w:szCs w:val="20"/>
                <w:color w:val="auto"/>
              </w:rPr>
            </w:pPr>
            <w:r>
              <w:rPr>
                <w:rFonts w:ascii="Arial" w:cs="Arial" w:eastAsia="Arial" w:hAnsi="Arial"/>
                <w:sz w:val="14"/>
                <w:szCs w:val="14"/>
                <w:color w:val="auto"/>
                <w:w w:val="90"/>
              </w:rPr>
              <w:t>719,560</w:t>
            </w:r>
          </w:p>
        </w:tc>
        <w:tc>
          <w:tcPr>
            <w:tcW w:w="1760" w:type="dxa"/>
            <w:vAlign w:val="bottom"/>
          </w:tcPr>
          <w:p>
            <w:pPr>
              <w:jc w:val="center"/>
              <w:ind w:left="889"/>
              <w:spacing w:after="0"/>
              <w:rPr>
                <w:sz w:val="20"/>
                <w:szCs w:val="20"/>
                <w:color w:val="auto"/>
              </w:rPr>
            </w:pPr>
            <w:r>
              <w:rPr>
                <w:rFonts w:ascii="Arial" w:cs="Arial" w:eastAsia="Arial" w:hAnsi="Arial"/>
                <w:sz w:val="14"/>
                <w:szCs w:val="14"/>
                <w:color w:val="auto"/>
                <w:w w:val="94"/>
              </w:rPr>
              <w:t>534,960</w:t>
            </w:r>
          </w:p>
        </w:tc>
      </w:tr>
      <w:tr>
        <w:trPr>
          <w:trHeight w:val="349"/>
        </w:trPr>
        <w:tc>
          <w:tcPr>
            <w:tcW w:w="4220" w:type="dxa"/>
            <w:vAlign w:val="bottom"/>
          </w:tcPr>
          <w:p>
            <w:pPr>
              <w:spacing w:after="0"/>
              <w:rPr>
                <w:sz w:val="20"/>
                <w:szCs w:val="20"/>
                <w:color w:val="auto"/>
              </w:rPr>
            </w:pPr>
            <w:r>
              <w:rPr>
                <w:rFonts w:ascii="Arial" w:cs="Arial" w:eastAsia="Arial" w:hAnsi="Arial"/>
                <w:sz w:val="14"/>
                <w:szCs w:val="14"/>
                <w:color w:val="auto"/>
              </w:rPr>
              <w:t>Total Assets</w:t>
            </w:r>
          </w:p>
        </w:tc>
        <w:tc>
          <w:tcPr>
            <w:tcW w:w="4140" w:type="dxa"/>
            <w:vAlign w:val="bottom"/>
          </w:tcPr>
          <w:p>
            <w:pPr>
              <w:jc w:val="center"/>
              <w:ind w:left="1349"/>
              <w:spacing w:after="0"/>
              <w:rPr>
                <w:sz w:val="20"/>
                <w:szCs w:val="20"/>
                <w:color w:val="auto"/>
              </w:rPr>
            </w:pPr>
            <w:r>
              <w:rPr>
                <w:rFonts w:ascii="Arial" w:cs="Arial" w:eastAsia="Arial" w:hAnsi="Arial"/>
                <w:sz w:val="14"/>
                <w:szCs w:val="14"/>
                <w:color w:val="auto"/>
                <w:w w:val="89"/>
              </w:rPr>
              <w:t>2,354,255</w:t>
            </w:r>
          </w:p>
        </w:tc>
        <w:tc>
          <w:tcPr>
            <w:tcW w:w="1760" w:type="dxa"/>
            <w:vAlign w:val="bottom"/>
          </w:tcPr>
          <w:p>
            <w:pPr>
              <w:jc w:val="center"/>
              <w:ind w:left="889"/>
              <w:spacing w:after="0"/>
              <w:rPr>
                <w:sz w:val="20"/>
                <w:szCs w:val="20"/>
                <w:color w:val="auto"/>
              </w:rPr>
            </w:pPr>
            <w:r>
              <w:rPr>
                <w:rFonts w:ascii="Arial" w:cs="Arial" w:eastAsia="Arial" w:hAnsi="Arial"/>
                <w:sz w:val="14"/>
                <w:szCs w:val="14"/>
                <w:color w:val="auto"/>
                <w:w w:val="89"/>
              </w:rPr>
              <w:t>2,146,618</w:t>
            </w:r>
          </w:p>
        </w:tc>
      </w:tr>
      <w:tr>
        <w:trPr>
          <w:trHeight w:val="349"/>
        </w:trPr>
        <w:tc>
          <w:tcPr>
            <w:tcW w:w="4220" w:type="dxa"/>
            <w:vAlign w:val="bottom"/>
          </w:tcPr>
          <w:p>
            <w:pPr>
              <w:spacing w:after="0"/>
              <w:rPr>
                <w:sz w:val="20"/>
                <w:szCs w:val="20"/>
                <w:color w:val="auto"/>
              </w:rPr>
            </w:pPr>
            <w:r>
              <w:rPr>
                <w:rFonts w:ascii="Arial" w:cs="Arial" w:eastAsia="Arial" w:hAnsi="Arial"/>
                <w:sz w:val="14"/>
                <w:szCs w:val="14"/>
                <w:color w:val="auto"/>
              </w:rPr>
              <w:t>Shareholder's Equity</w:t>
            </w:r>
          </w:p>
        </w:tc>
        <w:tc>
          <w:tcPr>
            <w:tcW w:w="4140" w:type="dxa"/>
            <w:vAlign w:val="bottom"/>
          </w:tcPr>
          <w:p>
            <w:pPr>
              <w:jc w:val="center"/>
              <w:ind w:left="1349"/>
              <w:spacing w:after="0"/>
              <w:rPr>
                <w:sz w:val="20"/>
                <w:szCs w:val="20"/>
                <w:color w:val="auto"/>
              </w:rPr>
            </w:pPr>
            <w:r>
              <w:rPr>
                <w:rFonts w:ascii="Arial" w:cs="Arial" w:eastAsia="Arial" w:hAnsi="Arial"/>
                <w:sz w:val="14"/>
                <w:szCs w:val="14"/>
                <w:color w:val="auto"/>
                <w:w w:val="89"/>
              </w:rPr>
              <w:t>1,354,281</w:t>
            </w:r>
          </w:p>
        </w:tc>
        <w:tc>
          <w:tcPr>
            <w:tcW w:w="1760" w:type="dxa"/>
            <w:vAlign w:val="bottom"/>
          </w:tcPr>
          <w:p>
            <w:pPr>
              <w:jc w:val="center"/>
              <w:ind w:left="889"/>
              <w:spacing w:after="0"/>
              <w:rPr>
                <w:sz w:val="20"/>
                <w:szCs w:val="20"/>
                <w:color w:val="auto"/>
              </w:rPr>
            </w:pPr>
            <w:r>
              <w:rPr>
                <w:rFonts w:ascii="Arial" w:cs="Arial" w:eastAsia="Arial" w:hAnsi="Arial"/>
                <w:sz w:val="14"/>
                <w:szCs w:val="14"/>
                <w:color w:val="auto"/>
                <w:w w:val="89"/>
              </w:rPr>
              <w:t>1,191,000</w:t>
            </w:r>
          </w:p>
        </w:tc>
      </w:tr>
    </w:tbl>
    <w:p>
      <w:pPr>
        <w:spacing w:after="0" w:line="366" w:lineRule="exact"/>
        <w:rPr>
          <w:sz w:val="20"/>
          <w:szCs w:val="20"/>
          <w:color w:val="auto"/>
        </w:rPr>
      </w:pPr>
    </w:p>
    <w:p>
      <w:pPr>
        <w:spacing w:after="0"/>
        <w:rPr>
          <w:sz w:val="20"/>
          <w:szCs w:val="20"/>
          <w:color w:val="auto"/>
        </w:rPr>
      </w:pPr>
      <w:r>
        <w:rPr>
          <w:rFonts w:ascii="Arial" w:cs="Arial" w:eastAsia="Arial" w:hAnsi="Arial"/>
          <w:sz w:val="21"/>
          <w:szCs w:val="21"/>
          <w:color w:val="auto"/>
        </w:rPr>
        <w:t>ICON plc</w:t>
      </w:r>
    </w:p>
    <w:p>
      <w:pPr>
        <w:spacing w:after="0" w:line="215" w:lineRule="exact"/>
        <w:rPr>
          <w:sz w:val="20"/>
          <w:szCs w:val="20"/>
          <w:color w:val="auto"/>
        </w:rPr>
      </w:pPr>
    </w:p>
    <w:p>
      <w:pPr>
        <w:spacing w:after="0"/>
        <w:rPr>
          <w:sz w:val="20"/>
          <w:szCs w:val="20"/>
          <w:color w:val="auto"/>
        </w:rPr>
      </w:pPr>
      <w:r>
        <w:rPr>
          <w:rFonts w:ascii="Arial" w:cs="Arial" w:eastAsia="Arial" w:hAnsi="Arial"/>
          <w:sz w:val="21"/>
          <w:szCs w:val="21"/>
          <w:color w:val="auto"/>
        </w:rPr>
        <w:t>Contact: Investor Relations +1 888 381 7923 or</w:t>
      </w:r>
    </w:p>
    <w:p>
      <w:pPr>
        <w:spacing w:after="0" w:line="215" w:lineRule="exact"/>
        <w:rPr>
          <w:sz w:val="20"/>
          <w:szCs w:val="20"/>
          <w:color w:val="auto"/>
        </w:rPr>
      </w:pPr>
    </w:p>
    <w:p>
      <w:pPr>
        <w:spacing w:after="0"/>
        <w:rPr>
          <w:sz w:val="20"/>
          <w:szCs w:val="20"/>
          <w:color w:val="auto"/>
        </w:rPr>
      </w:pPr>
      <w:r>
        <w:rPr>
          <w:rFonts w:ascii="Arial" w:cs="Arial" w:eastAsia="Arial" w:hAnsi="Arial"/>
          <w:sz w:val="21"/>
          <w:szCs w:val="21"/>
          <w:color w:val="auto"/>
        </w:rPr>
        <w:t>Brendan Brennan Chief Financial Officer +353 1 291 2000</w:t>
      </w:r>
    </w:p>
    <w:p>
      <w:pPr>
        <w:spacing w:after="0" w:line="215" w:lineRule="exact"/>
        <w:rPr>
          <w:sz w:val="20"/>
          <w:szCs w:val="20"/>
          <w:color w:val="auto"/>
        </w:rPr>
      </w:pPr>
    </w:p>
    <w:p>
      <w:pPr>
        <w:spacing w:after="0"/>
        <w:rPr>
          <w:sz w:val="20"/>
          <w:szCs w:val="20"/>
          <w:color w:val="auto"/>
        </w:rPr>
      </w:pPr>
      <w:r>
        <w:rPr>
          <w:rFonts w:ascii="Arial" w:cs="Arial" w:eastAsia="Arial" w:hAnsi="Arial"/>
          <w:sz w:val="21"/>
          <w:szCs w:val="21"/>
          <w:color w:val="auto"/>
        </w:rPr>
        <w:t>Jonathan Curtain Vice President Corporate Finance &amp; Investor Relations +1 215 616 3000</w:t>
      </w:r>
    </w:p>
    <w:p>
      <w:pPr>
        <w:spacing w:after="0" w:line="215" w:lineRule="exact"/>
        <w:rPr>
          <w:sz w:val="20"/>
          <w:szCs w:val="20"/>
          <w:color w:val="auto"/>
        </w:rPr>
      </w:pPr>
    </w:p>
    <w:p>
      <w:pPr>
        <w:spacing w:after="0"/>
        <w:rPr>
          <w:sz w:val="20"/>
          <w:szCs w:val="20"/>
          <w:color w:val="auto"/>
        </w:rPr>
      </w:pPr>
      <w:r>
        <w:rPr>
          <w:rFonts w:ascii="Arial" w:cs="Arial" w:eastAsia="Arial" w:hAnsi="Arial"/>
          <w:sz w:val="21"/>
          <w:szCs w:val="21"/>
          <w:u w:val="single" w:color="auto"/>
          <w:color w:val="auto"/>
        </w:rPr>
        <w:t>http://www.iconplc.com</w:t>
      </w:r>
    </w:p>
    <w:p>
      <w:pPr>
        <w:spacing w:after="0" w:line="20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ICON/ICLR-F</w:t>
      </w:r>
    </w:p>
    <w:p>
      <w:pPr>
        <w:spacing w:after="0" w:line="221" w:lineRule="exact"/>
        <w:rPr>
          <w:sz w:val="20"/>
          <w:szCs w:val="20"/>
          <w:color w:val="auto"/>
        </w:rPr>
      </w:pPr>
    </w:p>
    <w:p>
      <w:pPr>
        <w:spacing w:after="0"/>
        <w:rPr>
          <w:sz w:val="20"/>
          <w:szCs w:val="20"/>
          <w:color w:val="auto"/>
        </w:rPr>
      </w:pPr>
      <w:r>
        <w:rPr>
          <w:rFonts w:ascii="Arial" w:cs="Arial" w:eastAsia="Arial" w:hAnsi="Arial"/>
          <w:sz w:val="21"/>
          <w:szCs w:val="21"/>
          <w:color w:val="auto"/>
        </w:rPr>
        <w:t>CONTACT:</w:t>
      </w:r>
    </w:p>
    <w:p>
      <w:pPr>
        <w:spacing w:after="0" w:line="18" w:lineRule="exact"/>
        <w:rPr>
          <w:sz w:val="20"/>
          <w:szCs w:val="20"/>
          <w:color w:val="auto"/>
        </w:rPr>
      </w:pPr>
    </w:p>
    <w:p>
      <w:pPr>
        <w:spacing w:after="0"/>
        <w:rPr>
          <w:sz w:val="20"/>
          <w:szCs w:val="20"/>
          <w:color w:val="auto"/>
        </w:rPr>
      </w:pPr>
      <w:r>
        <w:rPr>
          <w:rFonts w:ascii="Arial" w:cs="Arial" w:eastAsia="Arial" w:hAnsi="Arial"/>
          <w:sz w:val="21"/>
          <w:szCs w:val="21"/>
          <w:color w:val="auto"/>
        </w:rPr>
        <w:t>ICON plc</w:t>
      </w:r>
    </w:p>
    <w:p>
      <w:pPr>
        <w:spacing w:after="0"/>
        <w:rPr>
          <w:sz w:val="20"/>
          <w:szCs w:val="20"/>
          <w:color w:val="auto"/>
        </w:rPr>
      </w:pPr>
      <w:r>
        <w:rPr>
          <w:rFonts w:ascii="Arial" w:cs="Arial" w:eastAsia="Arial" w:hAnsi="Arial"/>
          <w:sz w:val="21"/>
          <w:szCs w:val="21"/>
          <w:color w:val="auto"/>
        </w:rPr>
        <w:t>Investor Relations</w:t>
      </w:r>
    </w:p>
    <w:p>
      <w:pPr>
        <w:spacing w:after="0"/>
        <w:rPr>
          <w:sz w:val="20"/>
          <w:szCs w:val="20"/>
          <w:color w:val="auto"/>
        </w:rPr>
      </w:pPr>
      <w:r>
        <w:rPr>
          <w:rFonts w:ascii="Arial" w:cs="Arial" w:eastAsia="Arial" w:hAnsi="Arial"/>
          <w:sz w:val="21"/>
          <w:szCs w:val="21"/>
          <w:color w:val="auto"/>
        </w:rPr>
        <w:t>+1 888 381 7923</w:t>
      </w:r>
    </w:p>
    <w:p>
      <w:pPr>
        <w:spacing w:after="0"/>
        <w:rPr>
          <w:sz w:val="20"/>
          <w:szCs w:val="20"/>
          <w:color w:val="auto"/>
        </w:rPr>
      </w:pPr>
      <w:r>
        <w:rPr>
          <w:rFonts w:ascii="Arial" w:cs="Arial" w:eastAsia="Arial" w:hAnsi="Arial"/>
          <w:sz w:val="21"/>
          <w:szCs w:val="21"/>
          <w:color w:val="auto"/>
        </w:rPr>
        <w:t>or</w:t>
      </w:r>
    </w:p>
    <w:p>
      <w:pPr>
        <w:spacing w:after="0"/>
        <w:rPr>
          <w:sz w:val="20"/>
          <w:szCs w:val="20"/>
          <w:color w:val="auto"/>
        </w:rPr>
      </w:pPr>
      <w:r>
        <w:rPr>
          <w:rFonts w:ascii="Arial" w:cs="Arial" w:eastAsia="Arial" w:hAnsi="Arial"/>
          <w:sz w:val="21"/>
          <w:szCs w:val="21"/>
          <w:color w:val="auto"/>
        </w:rPr>
        <w:t>Brendan Brennan</w:t>
      </w:r>
    </w:p>
    <w:p>
      <w:pPr>
        <w:spacing w:after="0"/>
        <w:rPr>
          <w:sz w:val="20"/>
          <w:szCs w:val="20"/>
          <w:color w:val="auto"/>
        </w:rPr>
      </w:pPr>
      <w:r>
        <w:rPr>
          <w:rFonts w:ascii="Arial" w:cs="Arial" w:eastAsia="Arial" w:hAnsi="Arial"/>
          <w:sz w:val="21"/>
          <w:szCs w:val="21"/>
          <w:color w:val="auto"/>
        </w:rPr>
        <w:t>Chief Financial Officer</w:t>
      </w:r>
    </w:p>
    <w:p>
      <w:pPr>
        <w:spacing w:after="0"/>
        <w:rPr>
          <w:sz w:val="20"/>
          <w:szCs w:val="20"/>
          <w:color w:val="auto"/>
        </w:rPr>
      </w:pPr>
      <w:r>
        <w:rPr>
          <w:rFonts w:ascii="Arial" w:cs="Arial" w:eastAsia="Arial" w:hAnsi="Arial"/>
          <w:sz w:val="21"/>
          <w:szCs w:val="21"/>
          <w:color w:val="auto"/>
        </w:rPr>
        <w:t>+353 1 291 2000</w:t>
      </w:r>
    </w:p>
    <w:p>
      <w:pPr>
        <w:spacing w:after="0"/>
        <w:rPr>
          <w:sz w:val="20"/>
          <w:szCs w:val="20"/>
          <w:color w:val="auto"/>
        </w:rPr>
      </w:pPr>
      <w:r>
        <w:rPr>
          <w:rFonts w:ascii="Arial" w:cs="Arial" w:eastAsia="Arial" w:hAnsi="Arial"/>
          <w:sz w:val="21"/>
          <w:szCs w:val="21"/>
          <w:color w:val="auto"/>
        </w:rPr>
        <w:t>or</w:t>
      </w:r>
    </w:p>
    <w:p>
      <w:pPr>
        <w:spacing w:after="0"/>
        <w:rPr>
          <w:sz w:val="20"/>
          <w:szCs w:val="20"/>
          <w:color w:val="auto"/>
        </w:rPr>
      </w:pPr>
      <w:r>
        <w:rPr>
          <w:rFonts w:ascii="Arial" w:cs="Arial" w:eastAsia="Arial" w:hAnsi="Arial"/>
          <w:sz w:val="21"/>
          <w:szCs w:val="21"/>
          <w:color w:val="auto"/>
        </w:rPr>
        <w:t>Jonathan Curtain</w:t>
      </w:r>
    </w:p>
    <w:p>
      <w:pPr>
        <w:spacing w:after="0"/>
        <w:rPr>
          <w:sz w:val="20"/>
          <w:szCs w:val="20"/>
          <w:color w:val="auto"/>
        </w:rPr>
      </w:pPr>
      <w:r>
        <w:rPr>
          <w:rFonts w:ascii="Arial" w:cs="Arial" w:eastAsia="Arial" w:hAnsi="Arial"/>
          <w:sz w:val="21"/>
          <w:szCs w:val="21"/>
          <w:color w:val="auto"/>
        </w:rPr>
        <w:t>Vice President Corporate Finance &amp; Investor Relations</w:t>
      </w:r>
    </w:p>
    <w:p>
      <w:pPr>
        <w:spacing w:after="0"/>
        <w:rPr>
          <w:sz w:val="20"/>
          <w:szCs w:val="20"/>
          <w:color w:val="auto"/>
        </w:rPr>
      </w:pPr>
      <w:r>
        <w:rPr>
          <w:rFonts w:ascii="Arial" w:cs="Arial" w:eastAsia="Arial" w:hAnsi="Arial"/>
          <w:sz w:val="21"/>
          <w:szCs w:val="21"/>
          <w:color w:val="auto"/>
        </w:rPr>
        <w:t>+1 215 616 3000</w:t>
      </w:r>
    </w:p>
    <w:p>
      <w:pPr>
        <w:spacing w:after="0"/>
        <w:rPr>
          <w:sz w:val="20"/>
          <w:szCs w:val="20"/>
          <w:color w:val="auto"/>
        </w:rPr>
      </w:pPr>
      <w:r>
        <w:rPr>
          <w:rFonts w:ascii="Arial" w:cs="Arial" w:eastAsia="Arial" w:hAnsi="Arial"/>
          <w:sz w:val="21"/>
          <w:szCs w:val="21"/>
          <w:u w:val="single" w:color="auto"/>
          <w:color w:val="auto"/>
        </w:rPr>
        <w:t>http://www.iconplc.com</w:t>
      </w:r>
    </w:p>
    <w:sectPr>
      <w:pgSz w:w="12240" w:h="15840" w:orient="portrait"/>
      <w:cols w:equalWidth="0" w:num="1">
        <w:col w:w="10280"/>
      </w:cols>
      <w:pgMar w:left="520" w:top="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2019-12-14T19:20:47Z</dcterms:created>
  <dcterms:modified xsi:type="dcterms:W3CDTF">2019-12-14T19:20:47Z</dcterms:modified>
</cp:coreProperties>
</file>