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FORM 6-K</w:t>
      </w:r>
    </w:p>
    <w:p>
      <w:pPr>
        <w:spacing w:after="0" w:line="24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1"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Washington, D.C. 20549</w:t>
      </w:r>
    </w:p>
    <w:p>
      <w:pPr>
        <w:spacing w:after="0" w:line="235"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Report of Foreign Private Issuer</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Pursuant to Rule 13a-16 under</w:t>
      </w:r>
    </w:p>
    <w:p>
      <w:pPr>
        <w:jc w:val="center"/>
        <w:ind w:right="-139"/>
        <w:spacing w:after="0"/>
        <w:rPr>
          <w:sz w:val="20"/>
          <w:szCs w:val="20"/>
          <w:color w:val="auto"/>
        </w:rPr>
      </w:pPr>
      <w:r>
        <w:rPr>
          <w:rFonts w:ascii="Arial" w:cs="Arial" w:eastAsia="Arial" w:hAnsi="Arial"/>
          <w:sz w:val="21"/>
          <w:szCs w:val="21"/>
          <w:b w:val="1"/>
          <w:bCs w:val="1"/>
          <w:color w:val="auto"/>
        </w:rPr>
        <w:t>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 xml:space="preserve">For the month ended </w:t>
      </w:r>
      <w:r>
        <w:rPr>
          <w:rFonts w:ascii="Arial" w:cs="Arial" w:eastAsia="Arial" w:hAnsi="Arial"/>
          <w:sz w:val="17"/>
          <w:szCs w:val="17"/>
          <w:color w:val="auto"/>
        </w:rPr>
        <w:t>February, 2019</w:t>
      </w:r>
    </w:p>
    <w:p>
      <w:pPr>
        <w:spacing w:after="0" w:line="200" w:lineRule="exact"/>
        <w:rPr>
          <w:sz w:val="24"/>
          <w:szCs w:val="24"/>
          <w:color w:val="auto"/>
        </w:rPr>
      </w:pP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ICON plc</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(R</w:t>
      </w:r>
      <w:r>
        <w:rPr>
          <w:rFonts w:ascii="Arial" w:cs="Arial" w:eastAsia="Arial" w:hAnsi="Arial"/>
          <w:sz w:val="17"/>
          <w:szCs w:val="17"/>
          <w:color w:val="auto"/>
        </w:rPr>
        <w:t>egistrant's name)</w:t>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333-08704</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(Commission file number)</w:t>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South County Business Park, Leopardstown, Dublin 18, Ireland</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(Address of principal executive offices)</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Brendan Brennan, CFO</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South County Business Park, Leopardstown, Dublin 18, Ireland.</w:t>
      </w:r>
    </w:p>
    <w:p>
      <w:pPr>
        <w:jc w:val="center"/>
        <w:ind w:right="-139"/>
        <w:spacing w:after="0"/>
        <w:rPr>
          <w:sz w:val="20"/>
          <w:szCs w:val="20"/>
          <w:color w:val="auto"/>
        </w:rPr>
      </w:pPr>
      <w:r>
        <w:rPr>
          <w:rFonts w:ascii="Arial" w:cs="Arial" w:eastAsia="Arial" w:hAnsi="Arial"/>
          <w:sz w:val="21"/>
          <w:szCs w:val="21"/>
          <w:color w:val="auto"/>
        </w:rPr>
        <w:t>Brendan.Brennan@iconplc.com</w:t>
      </w:r>
    </w:p>
    <w:p>
      <w:pPr>
        <w:jc w:val="center"/>
        <w:ind w:right="-139"/>
        <w:spacing w:after="0"/>
        <w:rPr>
          <w:sz w:val="20"/>
          <w:szCs w:val="20"/>
          <w:color w:val="auto"/>
        </w:rPr>
      </w:pPr>
      <w:r>
        <w:rPr>
          <w:rFonts w:ascii="Arial" w:cs="Arial" w:eastAsia="Arial" w:hAnsi="Arial"/>
          <w:sz w:val="21"/>
          <w:szCs w:val="21"/>
          <w:color w:val="auto"/>
        </w:rPr>
        <w:t>00-353-1-291-2000</w:t>
      </w:r>
    </w:p>
    <w:p>
      <w:pPr>
        <w:jc w:val="center"/>
        <w:ind w:right="-139"/>
        <w:spacing w:after="0"/>
        <w:rPr>
          <w:sz w:val="20"/>
          <w:szCs w:val="20"/>
          <w:color w:val="auto"/>
        </w:rPr>
      </w:pPr>
      <w:r>
        <w:rPr>
          <w:rFonts w:ascii="Arial" w:cs="Arial" w:eastAsia="Arial" w:hAnsi="Arial"/>
          <w:sz w:val="21"/>
          <w:szCs w:val="21"/>
          <w:color w:val="auto"/>
        </w:rPr>
        <w:t>(Name, telephone number, email and/or facsimile number and address of Company contact person)</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09" w:lineRule="exact"/>
        <w:rPr>
          <w:sz w:val="24"/>
          <w:szCs w:val="24"/>
          <w:color w:val="auto"/>
        </w:rPr>
      </w:pPr>
    </w:p>
    <w:p>
      <w:pPr>
        <w:ind w:left="3960"/>
        <w:spacing w:after="0"/>
        <w:tabs>
          <w:tab w:leader="none" w:pos="6940" w:val="left"/>
        </w:tabs>
        <w:rPr>
          <w:sz w:val="20"/>
          <w:szCs w:val="20"/>
          <w:color w:val="auto"/>
        </w:rPr>
      </w:pPr>
      <w:r>
        <w:rPr>
          <w:rFonts w:ascii="Arial" w:cs="Arial" w:eastAsia="Arial" w:hAnsi="Arial"/>
          <w:sz w:val="21"/>
          <w:szCs w:val="21"/>
          <w:color w:val="auto"/>
        </w:rPr>
        <w:t>Yes___</w:t>
      </w:r>
      <w:r>
        <w:rPr>
          <w:rFonts w:ascii="Arial" w:cs="Arial" w:eastAsia="Arial" w:hAnsi="Arial"/>
          <w:sz w:val="21"/>
          <w:szCs w:val="21"/>
          <w:b w:val="1"/>
          <w:bCs w:val="1"/>
          <w:u w:val="single" w:color="auto"/>
          <w:color w:val="auto"/>
        </w:rPr>
        <w:t>X</w:t>
      </w:r>
      <w:r>
        <w:rPr>
          <w:rFonts w:ascii="Arial" w:cs="Arial" w:eastAsia="Arial" w:hAnsi="Arial"/>
          <w:sz w:val="21"/>
          <w:szCs w:val="21"/>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Arial" w:cs="Arial" w:eastAsia="Arial" w:hAnsi="Arial"/>
          <w:sz w:val="21"/>
          <w:szCs w:val="21"/>
          <w:color w:val="auto"/>
        </w:rPr>
        <w:t>(1):</w:t>
      </w:r>
    </w:p>
    <w:p>
      <w:pPr>
        <w:spacing w:after="0" w:line="191" w:lineRule="exact"/>
        <w:rPr>
          <w:sz w:val="24"/>
          <w:szCs w:val="24"/>
          <w:color w:val="auto"/>
        </w:rPr>
      </w:pPr>
    </w:p>
    <w:p>
      <w:pPr>
        <w:ind w:left="4000"/>
        <w:spacing w:after="0"/>
        <w:tabs>
          <w:tab w:leader="none" w:pos="6860" w:val="left"/>
        </w:tabs>
        <w:rPr>
          <w:sz w:val="20"/>
          <w:szCs w:val="20"/>
          <w:color w:val="auto"/>
        </w:rPr>
      </w:pPr>
      <w:r>
        <w:rPr>
          <w:rFonts w:ascii="Arial" w:cs="Arial" w:eastAsia="Arial" w:hAnsi="Arial"/>
          <w:sz w:val="21"/>
          <w:szCs w:val="21"/>
          <w:color w:val="auto"/>
        </w:rPr>
        <w:t>Yes______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Arial" w:cs="Arial" w:eastAsia="Arial" w:hAnsi="Arial"/>
          <w:sz w:val="21"/>
          <w:szCs w:val="21"/>
          <w:color w:val="auto"/>
        </w:rPr>
        <w:t>(7):</w:t>
      </w:r>
    </w:p>
    <w:p>
      <w:pPr>
        <w:spacing w:after="0" w:line="191" w:lineRule="exact"/>
        <w:rPr>
          <w:sz w:val="24"/>
          <w:szCs w:val="24"/>
          <w:color w:val="auto"/>
        </w:rPr>
      </w:pPr>
    </w:p>
    <w:p>
      <w:pPr>
        <w:ind w:left="4000"/>
        <w:spacing w:after="0"/>
        <w:tabs>
          <w:tab w:leader="none" w:pos="6860" w:val="left"/>
        </w:tabs>
        <w:rPr>
          <w:sz w:val="20"/>
          <w:szCs w:val="20"/>
          <w:color w:val="auto"/>
        </w:rPr>
      </w:pPr>
      <w:r>
        <w:rPr>
          <w:rFonts w:ascii="Arial" w:cs="Arial" w:eastAsia="Arial" w:hAnsi="Arial"/>
          <w:sz w:val="21"/>
          <w:szCs w:val="21"/>
          <w:color w:val="auto"/>
        </w:rPr>
        <w:t>Yes______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pacing w:after="0" w:line="200" w:lineRule="exact"/>
        <w:rPr>
          <w:sz w:val="24"/>
          <w:szCs w:val="24"/>
          <w:color w:val="auto"/>
        </w:rPr>
      </w:pPr>
    </w:p>
    <w:p>
      <w:pPr>
        <w:spacing w:after="0" w:line="262" w:lineRule="exact"/>
        <w:rPr>
          <w:sz w:val="24"/>
          <w:szCs w:val="24"/>
          <w:color w:val="auto"/>
        </w:rPr>
      </w:pPr>
    </w:p>
    <w:p>
      <w:pPr>
        <w:spacing w:after="0" w:line="27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6" w:lineRule="exact"/>
        <w:rPr>
          <w:sz w:val="24"/>
          <w:szCs w:val="24"/>
          <w:color w:val="auto"/>
        </w:rPr>
      </w:pPr>
    </w:p>
    <w:p>
      <w:pPr>
        <w:ind w:left="3960"/>
        <w:spacing w:after="0"/>
        <w:tabs>
          <w:tab w:leader="none" w:pos="6880" w:val="left"/>
        </w:tabs>
        <w:rPr>
          <w:sz w:val="20"/>
          <w:szCs w:val="20"/>
          <w:color w:val="auto"/>
        </w:rPr>
      </w:pPr>
      <w:r>
        <w:rPr>
          <w:rFonts w:ascii="Arial" w:cs="Arial" w:eastAsia="Arial" w:hAnsi="Arial"/>
          <w:sz w:val="21"/>
          <w:szCs w:val="21"/>
          <w:color w:val="auto"/>
        </w:rPr>
        <w:t>Yes___</w:t>
      </w:r>
      <w:r>
        <w:rPr>
          <w:rFonts w:ascii="Arial" w:cs="Arial" w:eastAsia="Arial" w:hAnsi="Arial"/>
          <w:sz w:val="21"/>
          <w:szCs w:val="21"/>
          <w:b w:val="1"/>
          <w:bCs w:val="1"/>
          <w:color w:val="auto"/>
        </w:rPr>
        <w:t>_</w:t>
      </w:r>
      <w:r>
        <w:rPr>
          <w:rFonts w:ascii="Arial" w:cs="Arial" w:eastAsia="Arial" w:hAnsi="Arial"/>
          <w:sz w:val="21"/>
          <w:szCs w:val="21"/>
          <w:color w:val="auto"/>
        </w:rPr>
        <w:t>___</w:t>
      </w:r>
      <w:r>
        <w:rPr>
          <w:sz w:val="20"/>
          <w:szCs w:val="20"/>
          <w:color w:val="auto"/>
        </w:rPr>
        <w:tab/>
      </w:r>
      <w:r>
        <w:rPr>
          <w:rFonts w:ascii="Arial" w:cs="Arial" w:eastAsia="Arial" w:hAnsi="Arial"/>
          <w:sz w:val="20"/>
          <w:szCs w:val="20"/>
          <w:color w:val="auto"/>
        </w:rPr>
        <w:t>No___</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___</w:t>
      </w:r>
    </w:p>
    <w:p>
      <w:pPr>
        <w:sectPr>
          <w:pgSz w:w="12240" w:h="15840" w:orient="portrait"/>
          <w:cols w:equalWidth="0" w:num="1">
            <w:col w:w="11060"/>
          </w:cols>
          <w:pgMar w:left="520" w:top="218" w:right="660" w:bottom="1440" w:gutter="0" w:footer="0" w:header="0"/>
        </w:sectPr>
      </w:pPr>
    </w:p>
    <w:p>
      <w:pPr>
        <w:spacing w:after="0" w:line="200" w:lineRule="exact"/>
        <w:rPr>
          <w:sz w:val="24"/>
          <w:szCs w:val="24"/>
          <w:color w:val="auto"/>
        </w:rPr>
      </w:pPr>
    </w:p>
    <w:p>
      <w:pPr>
        <w:spacing w:after="0" w:line="256" w:lineRule="exact"/>
        <w:rPr>
          <w:sz w:val="24"/>
          <w:szCs w:val="24"/>
          <w:color w:val="auto"/>
        </w:rPr>
      </w:pPr>
    </w:p>
    <w:p>
      <w:pPr>
        <w:spacing w:after="0"/>
        <w:tabs>
          <w:tab w:leader="none" w:pos="1010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20"/>
          <w:szCs w:val="20"/>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708660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1060"/>
          </w:cols>
          <w:pgMar w:left="520" w:top="218" w:right="660" w:bottom="1440" w:gutter="0" w:footer="0" w:header="0"/>
          <w:type w:val="continuous"/>
        </w:sectPr>
      </w:pPr>
    </w:p>
    <w:bookmarkStart w:id="1" w:name="page2"/>
    <w:bookmarkEnd w:id="1"/>
    <w:p>
      <w:pPr>
        <w:ind w:left="498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February 20, 2019 - ICON Reports Fourth Quarter and Full Year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08660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0280"/>
          </w:cols>
          <w:pgMar w:left="520" w:top="223"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720"/>
        <w:spacing w:after="0"/>
        <w:rPr>
          <w:sz w:val="20"/>
          <w:szCs w:val="20"/>
          <w:color w:val="auto"/>
        </w:rPr>
      </w:pPr>
      <w:r>
        <w:rPr>
          <w:rFonts w:ascii="Arial" w:cs="Arial" w:eastAsia="Arial" w:hAnsi="Arial"/>
          <w:sz w:val="18"/>
          <w:szCs w:val="18"/>
          <w:u w:val="single" w:color="auto"/>
          <w:color w:val="auto"/>
        </w:rPr>
        <w:t>/s/ Brendan Brennan</w:t>
      </w:r>
    </w:p>
    <w:p>
      <w:pPr>
        <w:spacing w:after="0" w:line="34" w:lineRule="exact"/>
        <w:rPr>
          <w:sz w:val="20"/>
          <w:szCs w:val="20"/>
          <w:color w:val="auto"/>
        </w:rPr>
      </w:pPr>
    </w:p>
    <w:p>
      <w:pPr>
        <w:ind w:left="560" w:right="2780" w:hanging="6720"/>
        <w:spacing w:after="0" w:line="272" w:lineRule="auto"/>
        <w:tabs>
          <w:tab w:leader="none" w:pos="540" w:val="left"/>
        </w:tabs>
        <w:rPr>
          <w:sz w:val="20"/>
          <w:szCs w:val="20"/>
          <w:color w:val="auto"/>
        </w:rPr>
      </w:pPr>
      <w:r>
        <w:rPr>
          <w:rFonts w:ascii="Arial" w:cs="Arial" w:eastAsia="Arial" w:hAnsi="Arial"/>
          <w:sz w:val="18"/>
          <w:szCs w:val="18"/>
          <w:color w:val="auto"/>
        </w:rPr>
        <w:t>Date:</w:t>
        <w:tab/>
        <w:t>February 20, 2019 Brendan Brennan Chief Financial Officer</w:t>
      </w:r>
    </w:p>
    <w:p>
      <w:pPr>
        <w:sectPr>
          <w:pgSz w:w="12240" w:h="15840" w:orient="portrait"/>
          <w:cols w:equalWidth="0" w:num="1">
            <w:col w:w="11160"/>
          </w:cols>
          <w:pgMar w:left="520" w:top="223" w:right="560"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ICON Reports Fourth Quarter and Full Year 2018 Results</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Highlights</w:t>
      </w:r>
    </w:p>
    <w:p>
      <w:pPr>
        <w:spacing w:after="0" w:line="215" w:lineRule="exact"/>
        <w:rPr>
          <w:sz w:val="20"/>
          <w:szCs w:val="20"/>
          <w:color w:val="auto"/>
        </w:rPr>
      </w:pPr>
    </w:p>
    <w:p>
      <w:pPr>
        <w:ind w:left="540" w:right="180"/>
        <w:spacing w:after="0" w:line="277" w:lineRule="auto"/>
        <w:rPr>
          <w:sz w:val="20"/>
          <w:szCs w:val="20"/>
          <w:color w:val="auto"/>
        </w:rPr>
      </w:pPr>
      <w:r>
        <w:rPr>
          <w:rFonts w:ascii="Arial" w:cs="Arial" w:eastAsia="Arial" w:hAnsi="Arial"/>
          <w:sz w:val="21"/>
          <w:szCs w:val="21"/>
          <w:b w:val="1"/>
          <w:bCs w:val="1"/>
          <w:color w:val="auto"/>
        </w:rPr>
        <w:t>Record net business wins* in the quarter of $607 million, a book to bill of 1.25. Full year net business wins* of $2.4 billion, a net book to bill of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-288925</wp:posOffset>
            </wp:positionV>
            <wp:extent cx="67945" cy="67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0"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Record closing backlog* of $5.4 billion, an increase of 9.7%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-88265</wp:posOffset>
            </wp:positionV>
            <wp:extent cx="67945" cy="67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right="160"/>
        <w:spacing w:after="0" w:line="277" w:lineRule="auto"/>
        <w:rPr>
          <w:sz w:val="20"/>
          <w:szCs w:val="20"/>
          <w:color w:val="auto"/>
        </w:rPr>
      </w:pPr>
      <w:r>
        <w:rPr>
          <w:rFonts w:ascii="Arial" w:cs="Arial" w:eastAsia="Arial" w:hAnsi="Arial"/>
          <w:sz w:val="21"/>
          <w:szCs w:val="21"/>
          <w:b w:val="1"/>
          <w:bCs w:val="1"/>
          <w:color w:val="auto"/>
        </w:rPr>
        <w:t>Quarter 4 reported revenue of $679.0 million. Full year reported revenue of $2,596 million. This represents a 6.5% increase year on year for Quarter 4* and a full year revenue increase of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-288925</wp:posOffset>
            </wp:positionV>
            <wp:extent cx="67945" cy="67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0" w:lineRule="exact"/>
        <w:rPr>
          <w:sz w:val="20"/>
          <w:szCs w:val="20"/>
          <w:color w:val="auto"/>
        </w:rPr>
      </w:pPr>
    </w:p>
    <w:p>
      <w:pPr>
        <w:ind w:left="540" w:right="60"/>
        <w:spacing w:after="0" w:line="258" w:lineRule="auto"/>
        <w:rPr>
          <w:sz w:val="20"/>
          <w:szCs w:val="20"/>
          <w:color w:val="auto"/>
        </w:rPr>
      </w:pPr>
      <w:r>
        <w:rPr>
          <w:rFonts w:ascii="Arial" w:cs="Arial" w:eastAsia="Arial" w:hAnsi="Arial"/>
          <w:sz w:val="21"/>
          <w:szCs w:val="21"/>
          <w:b w:val="1"/>
          <w:bCs w:val="1"/>
          <w:color w:val="auto"/>
        </w:rPr>
        <w:t>Quarter 4 reported income from operations was $101.8 million, or 15.0% of revenue. Full year reported income from operations before non-recurring charges was $385.8 million or 14.9% of revenue. This represents an increase* for the quarter and full year of 14.2% and 12.7%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-429260</wp:posOffset>
            </wp:positionV>
            <wp:extent cx="67945" cy="67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60" w:lineRule="exact"/>
        <w:rPr>
          <w:sz w:val="20"/>
          <w:szCs w:val="20"/>
          <w:color w:val="auto"/>
        </w:rPr>
      </w:pPr>
    </w:p>
    <w:p>
      <w:pPr>
        <w:ind w:left="540" w:right="60"/>
        <w:spacing w:after="0" w:line="303" w:lineRule="auto"/>
        <w:rPr>
          <w:sz w:val="20"/>
          <w:szCs w:val="20"/>
          <w:color w:val="auto"/>
        </w:rPr>
      </w:pPr>
      <w:r>
        <w:rPr>
          <w:rFonts w:ascii="Arial" w:cs="Arial" w:eastAsia="Arial" w:hAnsi="Arial"/>
          <w:sz w:val="20"/>
          <w:szCs w:val="20"/>
          <w:b w:val="1"/>
          <w:bCs w:val="1"/>
          <w:color w:val="auto"/>
        </w:rPr>
        <w:t>Quarter 4 reported earnings per share of $1.62. Full year reported earnings per share before non-recurring charges of $6.09. This represents an increase* for the quarter and full year of 13.8% and 14.2%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-303530</wp:posOffset>
            </wp:positionV>
            <wp:extent cx="67945" cy="67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6" w:lineRule="exact"/>
        <w:rPr>
          <w:sz w:val="20"/>
          <w:szCs w:val="20"/>
          <w:color w:val="auto"/>
        </w:rPr>
      </w:pPr>
    </w:p>
    <w:p>
      <w:pPr>
        <w:ind w:left="540" w:right="240"/>
        <w:spacing w:after="0" w:line="258" w:lineRule="auto"/>
        <w:rPr>
          <w:sz w:val="20"/>
          <w:szCs w:val="20"/>
          <w:color w:val="auto"/>
        </w:rPr>
      </w:pPr>
      <w:r>
        <w:rPr>
          <w:rFonts w:ascii="Arial" w:cs="Arial" w:eastAsia="Arial" w:hAnsi="Arial"/>
          <w:sz w:val="21"/>
          <w:szCs w:val="21"/>
          <w:b w:val="1"/>
          <w:bCs w:val="1"/>
          <w:color w:val="auto"/>
        </w:rPr>
        <w:t>In January 2019, ICON signed an agreement to acquire MolecularMD, a specialist laboratory, which expands our current lab capabilities into molecular testing, immunohistochemistry and companion diagnostics for precision medicine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-429260</wp:posOffset>
            </wp:positionV>
            <wp:extent cx="67945" cy="67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60"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The extension of ICON’s master services agreement with Pfizer Inc. (NYSE:PFE).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-88265</wp:posOffset>
            </wp:positionV>
            <wp:extent cx="67945" cy="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4" w:lineRule="exact"/>
        <w:rPr>
          <w:sz w:val="20"/>
          <w:szCs w:val="20"/>
          <w:color w:val="auto"/>
        </w:rPr>
      </w:pPr>
    </w:p>
    <w:p>
      <w:pPr>
        <w:ind w:left="540" w:right="640"/>
        <w:spacing w:after="0" w:line="277" w:lineRule="auto"/>
        <w:rPr>
          <w:sz w:val="20"/>
          <w:szCs w:val="20"/>
          <w:color w:val="auto"/>
        </w:rPr>
      </w:pPr>
      <w:r>
        <w:rPr>
          <w:rFonts w:ascii="Arial" w:cs="Arial" w:eastAsia="Arial" w:hAnsi="Arial"/>
          <w:sz w:val="21"/>
          <w:szCs w:val="21"/>
          <w:b w:val="1"/>
          <w:bCs w:val="1"/>
          <w:color w:val="auto"/>
        </w:rPr>
        <w:t>2019 outlook reaffirmed with revenue guidance in the range of $2,735 - $2,835 million and earnings per share guidance in the range of $6.69 – $6.89 a year over year increase of 9.9% - 13.1%.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-288925</wp:posOffset>
            </wp:positionV>
            <wp:extent cx="67945" cy="67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*Excluding the impact of ASC 606</w:t>
      </w:r>
    </w:p>
    <w:p>
      <w:pPr>
        <w:spacing w:after="0" w:line="215"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DUBLIN--(BUSINESS WIRE)--February 20, 2019--</w:t>
      </w:r>
      <w:r>
        <w:rPr>
          <w:rFonts w:ascii="Arial" w:cs="Arial" w:eastAsia="Arial" w:hAnsi="Arial"/>
          <w:sz w:val="21"/>
          <w:szCs w:val="21"/>
          <w:b w:val="1"/>
          <w:bCs w:val="1"/>
          <w:color w:val="auto"/>
        </w:rPr>
        <w:t>ICON plc (NASDAQ: ICLR),</w:t>
      </w:r>
      <w:r>
        <w:rPr>
          <w:rFonts w:ascii="Arial" w:cs="Arial" w:eastAsia="Arial" w:hAnsi="Arial"/>
          <w:sz w:val="21"/>
          <w:szCs w:val="21"/>
          <w:color w:val="auto"/>
        </w:rPr>
        <w:t xml:space="preserve"> a global provider of drug development solutions and services to the pharmaceutical, biotechnology and medical device industries, today reported its financial results for the fourth quarter and full year ended December 31, 2018.</w:t>
      </w:r>
    </w:p>
    <w:p>
      <w:pPr>
        <w:spacing w:after="0" w:line="166" w:lineRule="exact"/>
        <w:rPr>
          <w:sz w:val="20"/>
          <w:szCs w:val="20"/>
          <w:color w:val="auto"/>
        </w:rPr>
      </w:pPr>
    </w:p>
    <w:p>
      <w:pPr>
        <w:ind w:right="20"/>
        <w:spacing w:after="0" w:line="295" w:lineRule="auto"/>
        <w:rPr>
          <w:sz w:val="20"/>
          <w:szCs w:val="20"/>
          <w:color w:val="auto"/>
        </w:rPr>
      </w:pPr>
      <w:r>
        <w:rPr>
          <w:rFonts w:ascii="Arial" w:cs="Arial" w:eastAsia="Arial" w:hAnsi="Arial"/>
          <w:sz w:val="19"/>
          <w:szCs w:val="19"/>
          <w:color w:val="auto"/>
        </w:rPr>
        <w:t>CEO Dr. Steve Cutler commented, “</w:t>
      </w:r>
      <w:r>
        <w:rPr>
          <w:rFonts w:ascii="Arial" w:cs="Arial" w:eastAsia="Arial" w:hAnsi="Arial"/>
          <w:sz w:val="19"/>
          <w:szCs w:val="19"/>
          <w:i w:val="1"/>
          <w:iCs w:val="1"/>
          <w:color w:val="auto"/>
        </w:rPr>
        <w:t>During 2018, ICON’s operational excellence and market leading service offerings resulted in</w:t>
      </w:r>
      <w:r>
        <w:rPr>
          <w:rFonts w:ascii="Arial" w:cs="Arial" w:eastAsia="Arial" w:hAnsi="Arial"/>
          <w:sz w:val="19"/>
          <w:szCs w:val="19"/>
          <w:color w:val="auto"/>
        </w:rPr>
        <w:t xml:space="preserve"> </w:t>
      </w:r>
      <w:r>
        <w:rPr>
          <w:rFonts w:ascii="Arial" w:cs="Arial" w:eastAsia="Arial" w:hAnsi="Arial"/>
          <w:sz w:val="19"/>
          <w:szCs w:val="19"/>
          <w:i w:val="1"/>
          <w:iCs w:val="1"/>
          <w:color w:val="auto"/>
        </w:rPr>
        <w:t>net business bookings of over $2.4 billion and the expansion of our backlog by 10% to $5.4 billion. Our revenues grew by 8% year over year and our continued focus on pro-active cost saving efficiencies enabled us to grow EPS by over 14% to $6.16.</w:t>
      </w:r>
    </w:p>
    <w:p>
      <w:pPr>
        <w:spacing w:after="0" w:line="133"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i w:val="1"/>
          <w:iCs w:val="1"/>
          <w:color w:val="auto"/>
        </w:rPr>
        <w:t>Today we are delighted to announce the acquisition of MolecularMD. MolecularMD enhances our laboratory offering in molecular diagnostic testing, a key area in oncology research, and also brings to ICON expanded testing platforms, including next generation sequencing and immunohistochemistry. MolecularMD’s services also include companion diagnostic development which will further enhance the competitiveness of our overall lab offering.</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i w:val="1"/>
          <w:iCs w:val="1"/>
          <w:color w:val="auto"/>
        </w:rPr>
        <w:t>We are also delighted to announce the extension of ICON’s master services agreement with Pfizer. The extension of the agreement reflects our strong working relationship with Pfizer and we look forward to continuing to help Pfizer advance its development pipeline rapidly and efficiently.</w:t>
      </w:r>
    </w:p>
    <w:p>
      <w:pPr>
        <w:spacing w:after="0" w:line="169" w:lineRule="exact"/>
        <w:rPr>
          <w:sz w:val="20"/>
          <w:szCs w:val="20"/>
          <w:color w:val="auto"/>
        </w:rPr>
      </w:pPr>
    </w:p>
    <w:p>
      <w:pPr>
        <w:jc w:val="both"/>
        <w:ind w:right="160"/>
        <w:spacing w:after="0" w:line="255" w:lineRule="auto"/>
        <w:rPr>
          <w:sz w:val="20"/>
          <w:szCs w:val="20"/>
          <w:color w:val="auto"/>
        </w:rPr>
      </w:pPr>
      <w:r>
        <w:rPr>
          <w:rFonts w:ascii="Arial" w:cs="Arial" w:eastAsia="Arial" w:hAnsi="Arial"/>
          <w:sz w:val="21"/>
          <w:szCs w:val="21"/>
          <w:i w:val="1"/>
          <w:iCs w:val="1"/>
          <w:color w:val="auto"/>
        </w:rPr>
        <w:t>As we look forward, we expect 2019 to be another year of robust revenue and earnings growth and we reaffirm our outlook with revenue guidance in the range of $2,735 - $2,835 million and earnings per share guidance in the range of $6.69 - $6.89, a year over year increase of 10%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08660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Fourth Quarter 2018 Results</w:t>
      </w:r>
    </w:p>
    <w:p>
      <w:pPr>
        <w:spacing w:after="0" w:line="193" w:lineRule="exact"/>
        <w:rPr>
          <w:sz w:val="20"/>
          <w:szCs w:val="20"/>
          <w:color w:val="auto"/>
        </w:rPr>
      </w:pPr>
    </w:p>
    <w:p>
      <w:pPr>
        <w:ind w:right="560"/>
        <w:spacing w:after="0" w:line="271" w:lineRule="auto"/>
        <w:rPr>
          <w:sz w:val="20"/>
          <w:szCs w:val="20"/>
          <w:color w:val="auto"/>
        </w:rPr>
      </w:pPr>
      <w:r>
        <w:rPr>
          <w:rFonts w:ascii="Arial" w:cs="Arial" w:eastAsia="Arial" w:hAnsi="Arial"/>
          <w:sz w:val="21"/>
          <w:szCs w:val="21"/>
          <w:color w:val="auto"/>
        </w:rPr>
        <w:t>Excluding the impact of ASC 606, gross business wins in the fourth quarter were $722 million and cancellations were $115 million. This resulted in net business wins of $607 million, a book to bill of 1.25.</w:t>
      </w:r>
    </w:p>
    <w:p>
      <w:pPr>
        <w:spacing w:after="0" w:line="152" w:lineRule="exact"/>
        <w:rPr>
          <w:sz w:val="20"/>
          <w:szCs w:val="20"/>
          <w:color w:val="auto"/>
        </w:rPr>
      </w:pPr>
    </w:p>
    <w:p>
      <w:pPr>
        <w:ind w:right="440"/>
        <w:spacing w:after="0" w:line="271" w:lineRule="auto"/>
        <w:rPr>
          <w:sz w:val="20"/>
          <w:szCs w:val="20"/>
          <w:color w:val="auto"/>
        </w:rPr>
      </w:pPr>
      <w:r>
        <w:rPr>
          <w:rFonts w:ascii="Arial" w:cs="Arial" w:eastAsia="Arial" w:hAnsi="Arial"/>
          <w:sz w:val="21"/>
          <w:szCs w:val="21"/>
          <w:color w:val="auto"/>
        </w:rPr>
        <w:t>Reported revenue for quarter 4 was $679.0 million. Excluding the impact of ASC 606, quarter 4 revenue increased to $484.7 million from $455.1 million in the same quarter last year, an increase of 6.5%.</w:t>
      </w:r>
    </w:p>
    <w:p>
      <w:pPr>
        <w:spacing w:after="0" w:line="152" w:lineRule="exact"/>
        <w:rPr>
          <w:sz w:val="20"/>
          <w:szCs w:val="20"/>
          <w:color w:val="auto"/>
        </w:rPr>
      </w:pPr>
    </w:p>
    <w:p>
      <w:pPr>
        <w:ind w:right="120"/>
        <w:spacing w:after="0" w:line="255" w:lineRule="auto"/>
        <w:rPr>
          <w:sz w:val="20"/>
          <w:szCs w:val="20"/>
          <w:color w:val="auto"/>
        </w:rPr>
      </w:pPr>
      <w:r>
        <w:rPr>
          <w:rFonts w:ascii="Arial" w:cs="Arial" w:eastAsia="Arial" w:hAnsi="Arial"/>
          <w:sz w:val="21"/>
          <w:szCs w:val="21"/>
          <w:color w:val="auto"/>
        </w:rPr>
        <w:t>Reported income from operations in the quarter was $101.8 million or 15.0% of revenue. Excluding the impact of ASC 606, income from operations increased by 14.2% to $102.4 million, or 21.1% of revenue, compared to $89.7 million or 19.7% for the same quarter last year.</w:t>
      </w:r>
    </w:p>
    <w:p>
      <w:pPr>
        <w:spacing w:after="0" w:line="169" w:lineRule="exact"/>
        <w:rPr>
          <w:sz w:val="20"/>
          <w:szCs w:val="20"/>
          <w:color w:val="auto"/>
        </w:rPr>
      </w:pPr>
    </w:p>
    <w:p>
      <w:pPr>
        <w:ind w:right="600"/>
        <w:spacing w:after="0" w:line="271" w:lineRule="auto"/>
        <w:rPr>
          <w:sz w:val="20"/>
          <w:szCs w:val="20"/>
          <w:color w:val="auto"/>
        </w:rPr>
      </w:pPr>
      <w:r>
        <w:rPr>
          <w:rFonts w:ascii="Arial" w:cs="Arial" w:eastAsia="Arial" w:hAnsi="Arial"/>
          <w:sz w:val="21"/>
          <w:szCs w:val="21"/>
          <w:color w:val="auto"/>
        </w:rPr>
        <w:t>Reported net income for the quarter was $88.2 million or 13.0% of revenue. Excluding the impact of ASC 606, net income increased by 13.0% to $88.7 million, compared with $78.5 million in the same quarter last year.</w:t>
      </w:r>
    </w:p>
    <w:p>
      <w:pPr>
        <w:spacing w:after="0" w:line="152" w:lineRule="exact"/>
        <w:rPr>
          <w:sz w:val="20"/>
          <w:szCs w:val="20"/>
          <w:color w:val="auto"/>
        </w:rPr>
      </w:pPr>
    </w:p>
    <w:p>
      <w:pPr>
        <w:ind w:right="80"/>
        <w:spacing w:after="0" w:line="271" w:lineRule="auto"/>
        <w:rPr>
          <w:sz w:val="20"/>
          <w:szCs w:val="20"/>
          <w:color w:val="auto"/>
        </w:rPr>
      </w:pPr>
      <w:r>
        <w:rPr>
          <w:rFonts w:ascii="Arial" w:cs="Arial" w:eastAsia="Arial" w:hAnsi="Arial"/>
          <w:sz w:val="21"/>
          <w:szCs w:val="21"/>
          <w:color w:val="auto"/>
        </w:rPr>
        <w:t>Reported earnings per share on a diluted basis was $1.62. Excluding the impact of ASC 606, diluted earnings per share increased by 13.8% to $1.63, compared to $1.43 per share for the same quarter last year.</w:t>
      </w:r>
    </w:p>
    <w:p>
      <w:pPr>
        <w:spacing w:after="0" w:line="152" w:lineRule="exact"/>
        <w:rPr>
          <w:sz w:val="20"/>
          <w:szCs w:val="20"/>
          <w:color w:val="auto"/>
        </w:rPr>
      </w:pPr>
    </w:p>
    <w:p>
      <w:pPr>
        <w:ind w:right="220"/>
        <w:spacing w:after="0" w:line="271" w:lineRule="auto"/>
        <w:rPr>
          <w:sz w:val="20"/>
          <w:szCs w:val="20"/>
          <w:color w:val="auto"/>
        </w:rPr>
      </w:pPr>
      <w:r>
        <w:rPr>
          <w:rFonts w:ascii="Arial" w:cs="Arial" w:eastAsia="Arial" w:hAnsi="Arial"/>
          <w:sz w:val="21"/>
          <w:szCs w:val="21"/>
          <w:color w:val="auto"/>
        </w:rPr>
        <w:t>Days sales outstanding on a 605 basis, comprising accounts receivable and unbilled revenue less payments on account, were 57 days at December 31, 2018, compared with 49 days at the end of December 2017.</w:t>
      </w:r>
    </w:p>
    <w:p>
      <w:pPr>
        <w:spacing w:after="0" w:line="152" w:lineRule="exact"/>
        <w:rPr>
          <w:sz w:val="20"/>
          <w:szCs w:val="20"/>
          <w:color w:val="auto"/>
        </w:rPr>
      </w:pPr>
    </w:p>
    <w:p>
      <w:pPr>
        <w:ind w:right="300"/>
        <w:spacing w:after="0" w:line="250" w:lineRule="auto"/>
        <w:rPr>
          <w:sz w:val="20"/>
          <w:szCs w:val="20"/>
          <w:color w:val="auto"/>
        </w:rPr>
      </w:pPr>
      <w:r>
        <w:rPr>
          <w:rFonts w:ascii="Arial" w:cs="Arial" w:eastAsia="Arial" w:hAnsi="Arial"/>
          <w:sz w:val="21"/>
          <w:szCs w:val="21"/>
          <w:color w:val="auto"/>
        </w:rPr>
        <w:t>Cash generated from operating activities for the quarter was $60.9 million. During the quarter, capital expenditure was $20.0 million and $72 million worth of stock was repurchased at an average price of $137.66. As a result, at December 31, 2018, the company had net cash of $106.5 million, compared to net cash of $142.3 million at September 30, 2018 and net cash of $11.6 million at the end of December 2017.</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Full Year 2018 Results</w:t>
      </w:r>
    </w:p>
    <w:p>
      <w:pPr>
        <w:spacing w:after="0" w:line="221" w:lineRule="exact"/>
        <w:rPr>
          <w:sz w:val="20"/>
          <w:szCs w:val="20"/>
          <w:color w:val="auto"/>
        </w:rPr>
      </w:pPr>
    </w:p>
    <w:p>
      <w:pPr>
        <w:ind w:right="220"/>
        <w:spacing w:after="0" w:line="271" w:lineRule="auto"/>
        <w:rPr>
          <w:sz w:val="20"/>
          <w:szCs w:val="20"/>
          <w:color w:val="auto"/>
        </w:rPr>
      </w:pPr>
      <w:r>
        <w:rPr>
          <w:rFonts w:ascii="Arial" w:cs="Arial" w:eastAsia="Arial" w:hAnsi="Arial"/>
          <w:sz w:val="21"/>
          <w:szCs w:val="21"/>
          <w:color w:val="auto"/>
        </w:rPr>
        <w:t>Excluding the impact of ASC 606, full year gross business wins were $2,860 million and cancellations were $459 million. This resulted in net business wins of $2,401 million, a book to bill of 1.27.</w:t>
      </w:r>
    </w:p>
    <w:p>
      <w:pPr>
        <w:spacing w:after="0" w:line="152" w:lineRule="exact"/>
        <w:rPr>
          <w:sz w:val="20"/>
          <w:szCs w:val="20"/>
          <w:color w:val="auto"/>
        </w:rPr>
      </w:pPr>
    </w:p>
    <w:p>
      <w:pPr>
        <w:ind w:right="540"/>
        <w:spacing w:after="0" w:line="271" w:lineRule="auto"/>
        <w:rPr>
          <w:sz w:val="20"/>
          <w:szCs w:val="20"/>
          <w:color w:val="auto"/>
        </w:rPr>
      </w:pPr>
      <w:r>
        <w:rPr>
          <w:rFonts w:ascii="Arial" w:cs="Arial" w:eastAsia="Arial" w:hAnsi="Arial"/>
          <w:sz w:val="21"/>
          <w:szCs w:val="21"/>
          <w:color w:val="auto"/>
        </w:rPr>
        <w:t>Full year reported revenue was $2,595.8 million. Excluding the impact of ASC 606, full year revenue increased to $1,897.6 million from $1,758.4 million in 2017, an increase of 7.9%.</w:t>
      </w:r>
    </w:p>
    <w:p>
      <w:pPr>
        <w:spacing w:after="0" w:line="152" w:lineRule="exact"/>
        <w:rPr>
          <w:sz w:val="20"/>
          <w:szCs w:val="20"/>
          <w:color w:val="auto"/>
        </w:rPr>
      </w:pPr>
    </w:p>
    <w:p>
      <w:pPr>
        <w:ind w:right="160"/>
        <w:spacing w:after="0" w:line="255" w:lineRule="auto"/>
        <w:rPr>
          <w:sz w:val="20"/>
          <w:szCs w:val="20"/>
          <w:color w:val="auto"/>
        </w:rPr>
      </w:pPr>
      <w:r>
        <w:rPr>
          <w:rFonts w:ascii="Arial" w:cs="Arial" w:eastAsia="Arial" w:hAnsi="Arial"/>
          <w:sz w:val="21"/>
          <w:szCs w:val="21"/>
          <w:color w:val="auto"/>
        </w:rPr>
        <w:t>Full year reported income from operations before non-recurring charges was $385.8 million or 14.9% of revenue. Excluding the impact of ASC 606, income from operations before non-recurring charges increased by 12.7% to $390.0 million, or 20.6% of revenue, compared to $346.1 million or 19.7% of revenue in the previous year.</w:t>
      </w:r>
    </w:p>
    <w:p>
      <w:pPr>
        <w:spacing w:after="0" w:line="169" w:lineRule="exact"/>
        <w:rPr>
          <w:sz w:val="20"/>
          <w:szCs w:val="20"/>
          <w:color w:val="auto"/>
        </w:rPr>
      </w:pPr>
    </w:p>
    <w:p>
      <w:pPr>
        <w:jc w:val="both"/>
        <w:ind w:right="400"/>
        <w:spacing w:after="0" w:line="255" w:lineRule="auto"/>
        <w:rPr>
          <w:sz w:val="20"/>
          <w:szCs w:val="20"/>
          <w:color w:val="auto"/>
        </w:rPr>
      </w:pPr>
      <w:r>
        <w:rPr>
          <w:rFonts w:ascii="Arial" w:cs="Arial" w:eastAsia="Arial" w:hAnsi="Arial"/>
          <w:sz w:val="21"/>
          <w:szCs w:val="21"/>
          <w:color w:val="auto"/>
        </w:rPr>
        <w:t>Full year reported net income before non-recurring charges was $333.7 million or 12.9% of revenue. Excluding the impact of ASC 606, net income before non-recurring charges increased by 14.1% to $337.4 million, compared with $295.7 million last year.</w:t>
      </w:r>
    </w:p>
    <w:p>
      <w:pPr>
        <w:spacing w:after="0" w:line="169" w:lineRule="exact"/>
        <w:rPr>
          <w:sz w:val="20"/>
          <w:szCs w:val="20"/>
          <w:color w:val="auto"/>
        </w:rPr>
      </w:pPr>
    </w:p>
    <w:p>
      <w:pPr>
        <w:ind w:right="120"/>
        <w:spacing w:after="0" w:line="325" w:lineRule="auto"/>
        <w:rPr>
          <w:sz w:val="20"/>
          <w:szCs w:val="20"/>
          <w:color w:val="auto"/>
        </w:rPr>
      </w:pPr>
      <w:r>
        <w:rPr>
          <w:rFonts w:ascii="Arial" w:cs="Arial" w:eastAsia="Arial" w:hAnsi="Arial"/>
          <w:sz w:val="19"/>
          <w:szCs w:val="19"/>
          <w:color w:val="auto"/>
        </w:rPr>
        <w:t>Full year reported earnings per share on a diluted basis before non-recurring charges was $6.09. Excluding the impact of ASC 606, diluted earnings per share before non-recurring charges increased by 14.2% to $6.16, compared to $5.39 per share last year.</w:t>
      </w:r>
    </w:p>
    <w:p>
      <w:pPr>
        <w:spacing w:after="0" w:line="1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Pfizer Master Services Agreement extension</w:t>
      </w:r>
    </w:p>
    <w:p>
      <w:pPr>
        <w:spacing w:after="0" w:line="221" w:lineRule="exact"/>
        <w:rPr>
          <w:sz w:val="20"/>
          <w:szCs w:val="20"/>
          <w:color w:val="auto"/>
        </w:rPr>
      </w:pPr>
    </w:p>
    <w:p>
      <w:pPr>
        <w:spacing w:after="0" w:line="297" w:lineRule="auto"/>
        <w:rPr>
          <w:sz w:val="20"/>
          <w:szCs w:val="20"/>
          <w:color w:val="auto"/>
        </w:rPr>
      </w:pPr>
      <w:r>
        <w:rPr>
          <w:rFonts w:ascii="Arial" w:cs="Arial" w:eastAsia="Arial" w:hAnsi="Arial"/>
          <w:sz w:val="20"/>
          <w:szCs w:val="20"/>
          <w:color w:val="auto"/>
        </w:rPr>
        <w:t>The extension extends the term of the agreement signed in June 2016 from a 3 year term with Pfizer having the right to extend the term by a further 2 years, to a term of 4 years with Pfizer retaining the right to extend the term by a further 2 years.</w:t>
      </w:r>
    </w:p>
    <w:p>
      <w:pPr>
        <w:spacing w:after="0" w:line="1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Information</w:t>
      </w:r>
    </w:p>
    <w:p>
      <w:pPr>
        <w:spacing w:after="0" w:line="221"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The new revenue recognition standard (ASU No. 2014-09) ‘Revenue from Contracts with Customers’ was effective for ICON plc from January 1, 2018. ICON has elected to adopt the new standard under the cumulative effect transition method. Under this transition method, the new standard is applied from January 1, 2018 without restatement of comparative period amounts. The cumulative effect of initially applying the new standard is reflected as an adjustment to opening equity at the date of application. Results for the three and twelve months ended December 2017 are therefore presented under the previous revenue recognition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08660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5" w:name="page6"/>
    <w:bookmarkEnd w:id="5"/>
    <w:p>
      <w:pPr>
        <w:jc w:val="both"/>
        <w:ind w:right="180"/>
        <w:spacing w:after="0" w:line="27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57"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ICON will hold its fourth quarter conference call tomorrow, February 21</w:t>
      </w:r>
      <w:r>
        <w:rPr>
          <w:rFonts w:ascii="Arial" w:cs="Arial" w:eastAsia="Arial" w:hAnsi="Arial"/>
          <w:sz w:val="33"/>
          <w:szCs w:val="33"/>
          <w:color w:val="auto"/>
          <w:vertAlign w:val="superscript"/>
        </w:rPr>
        <w:t>st</w:t>
      </w:r>
      <w:r>
        <w:rPr>
          <w:rFonts w:ascii="Arial" w:cs="Arial" w:eastAsia="Arial" w:hAnsi="Arial"/>
          <w:sz w:val="20"/>
          <w:szCs w:val="20"/>
          <w:color w:val="auto"/>
        </w:rPr>
        <w:t xml:space="preserve">, 2019 at 09:00 EST [14:00 Ireland &amp; UK]. This call and linked slide presentation can be accessed live from our website at </w:t>
      </w:r>
      <w:r>
        <w:rPr>
          <w:rFonts w:ascii="Arial" w:cs="Arial" w:eastAsia="Arial" w:hAnsi="Arial"/>
          <w:sz w:val="20"/>
          <w:szCs w:val="20"/>
          <w:u w:val="single" w:color="auto"/>
          <w:color w:val="auto"/>
        </w:rPr>
        <w:t>http://investor.iconplc.com</w:t>
      </w:r>
      <w:r>
        <w:rPr>
          <w:rFonts w:ascii="Arial" w:cs="Arial" w:eastAsia="Arial" w:hAnsi="Arial"/>
          <w:sz w:val="20"/>
          <w:szCs w:val="20"/>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7" w:lineRule="exact"/>
        <w:rPr>
          <w:sz w:val="20"/>
          <w:szCs w:val="20"/>
          <w:color w:val="auto"/>
        </w:rPr>
      </w:pPr>
    </w:p>
    <w:p>
      <w:pPr>
        <w:jc w:val="both"/>
        <w:ind w:right="480"/>
        <w:spacing w:after="0" w:line="247" w:lineRule="auto"/>
        <w:rPr>
          <w:sz w:val="20"/>
          <w:szCs w:val="20"/>
          <w:color w:val="auto"/>
        </w:rPr>
      </w:pPr>
      <w:r>
        <w:rPr>
          <w:rFonts w:ascii="Arial" w:cs="Arial" w:eastAsia="Arial" w:hAnsi="Arial"/>
          <w:sz w:val="21"/>
          <w:szCs w:val="21"/>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employed approximately 13,670 employees in 89 locations in 37 countries as at December 31, 2018. Further information is available at </w:t>
      </w:r>
      <w:r>
        <w:rPr>
          <w:rFonts w:ascii="Arial" w:cs="Arial" w:eastAsia="Arial" w:hAnsi="Arial"/>
          <w:sz w:val="21"/>
          <w:szCs w:val="21"/>
          <w:u w:val="single" w:color="auto"/>
          <w:color w:val="auto"/>
        </w:rPr>
        <w:t>www.iconplc.com</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08660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1"/>
          <w:szCs w:val="21"/>
          <w:b w:val="1"/>
          <w:bCs w:val="1"/>
          <w:color w:val="auto"/>
        </w:rPr>
        <w:t>ICON plc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(Before restructuring and other items)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Three and Twelve Months ended December 31, 2018 and December 31, 2017</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(Dollars, in thousands, except share and per share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Twelve Months Ended</w:t>
            </w:r>
          </w:p>
        </w:tc>
        <w:tc>
          <w:tcPr>
            <w:tcW w:w="100" w:type="dxa"/>
            <w:vAlign w:val="bottom"/>
          </w:tcPr>
          <w:p>
            <w:pPr>
              <w:spacing w:after="0"/>
              <w:rPr>
                <w:sz w:val="15"/>
                <w:szCs w:val="15"/>
                <w:color w:val="auto"/>
              </w:rPr>
            </w:pPr>
          </w:p>
        </w:tc>
      </w:tr>
      <w:tr>
        <w:trPr>
          <w:trHeight w:val="184"/>
        </w:trPr>
        <w:tc>
          <w:tcPr>
            <w:tcW w:w="6060" w:type="dxa"/>
            <w:vAlign w:val="bottom"/>
          </w:tcPr>
          <w:p>
            <w:pPr>
              <w:spacing w:after="0"/>
              <w:rPr>
                <w:sz w:val="15"/>
                <w:szCs w:val="15"/>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December</w:t>
            </w: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December</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5"/>
                <w:szCs w:val="15"/>
                <w:color w:val="auto"/>
              </w:rPr>
            </w:pPr>
          </w:p>
        </w:tc>
      </w:tr>
      <w:tr>
        <w:trPr>
          <w:trHeight w:val="168"/>
        </w:trPr>
        <w:tc>
          <w:tcPr>
            <w:tcW w:w="6060" w:type="dxa"/>
            <w:vAlign w:val="bottom"/>
          </w:tcPr>
          <w:p>
            <w:pPr>
              <w:spacing w:after="0"/>
              <w:rPr>
                <w:sz w:val="14"/>
                <w:szCs w:val="14"/>
                <w:color w:val="auto"/>
              </w:rPr>
            </w:pPr>
          </w:p>
        </w:tc>
        <w:tc>
          <w:tcPr>
            <w:tcW w:w="98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1"/>
              </w:rPr>
              <w:t>31, 2018</w:t>
            </w:r>
          </w:p>
        </w:tc>
        <w:tc>
          <w:tcPr>
            <w:tcW w:w="140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b w:val="1"/>
                <w:bCs w:val="1"/>
                <w:color w:val="auto"/>
                <w:w w:val="91"/>
              </w:rPr>
              <w:t>31, 2017</w:t>
            </w:r>
          </w:p>
        </w:tc>
        <w:tc>
          <w:tcPr>
            <w:tcW w:w="1140" w:type="dxa"/>
            <w:vAlign w:val="bottom"/>
            <w:tcBorders>
              <w:bottom w:val="single" w:sz="8" w:color="auto"/>
            </w:tcBorders>
            <w:gridSpan w:val="2"/>
          </w:tcPr>
          <w:p>
            <w:pPr>
              <w:jc w:val="center"/>
              <w:ind w:left="209"/>
              <w:spacing w:after="0"/>
              <w:rPr>
                <w:sz w:val="20"/>
                <w:szCs w:val="20"/>
                <w:color w:val="auto"/>
              </w:rPr>
            </w:pPr>
            <w:r>
              <w:rPr>
                <w:rFonts w:ascii="Arial" w:cs="Arial" w:eastAsia="Arial" w:hAnsi="Arial"/>
                <w:sz w:val="14"/>
                <w:szCs w:val="14"/>
                <w:b w:val="1"/>
                <w:bCs w:val="1"/>
                <w:color w:val="auto"/>
                <w:w w:val="91"/>
              </w:rPr>
              <w:t>31, 2018</w:t>
            </w:r>
          </w:p>
        </w:tc>
        <w:tc>
          <w:tcPr>
            <w:tcW w:w="1480" w:type="dxa"/>
            <w:vAlign w:val="bottom"/>
            <w:tcBorders>
              <w:bottom w:val="single" w:sz="8" w:color="auto"/>
            </w:tcBorders>
            <w:gridSpan w:val="3"/>
          </w:tcPr>
          <w:p>
            <w:pPr>
              <w:jc w:val="center"/>
              <w:ind w:left="229"/>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Pr>
          <w:p>
            <w:pPr>
              <w:spacing w:after="0"/>
              <w:rPr>
                <w:sz w:val="14"/>
                <w:szCs w:val="14"/>
                <w:color w:val="auto"/>
              </w:rPr>
            </w:pPr>
          </w:p>
        </w:tc>
      </w:tr>
      <w:tr>
        <w:trPr>
          <w:trHeight w:val="163"/>
        </w:trPr>
        <w:tc>
          <w:tcPr>
            <w:tcW w:w="6060" w:type="dxa"/>
            <w:vAlign w:val="bottom"/>
          </w:tcPr>
          <w:p>
            <w:pPr>
              <w:spacing w:after="0"/>
              <w:rPr>
                <w:sz w:val="20"/>
                <w:szCs w:val="20"/>
                <w:color w:val="auto"/>
              </w:rPr>
            </w:pPr>
            <w:r>
              <w:rPr>
                <w:rFonts w:ascii="Arial" w:cs="Arial" w:eastAsia="Arial" w:hAnsi="Arial"/>
                <w:sz w:val="14"/>
                <w:szCs w:val="14"/>
                <w:b w:val="1"/>
                <w:bCs w:val="1"/>
                <w:color w:val="auto"/>
              </w:rPr>
              <w:t>Revenue:</w:t>
            </w: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6060" w:type="dxa"/>
            <w:vAlign w:val="bottom"/>
          </w:tcPr>
          <w:p>
            <w:pPr>
              <w:ind w:left="460"/>
              <w:spacing w:after="0"/>
              <w:rPr>
                <w:sz w:val="20"/>
                <w:szCs w:val="20"/>
                <w:color w:val="auto"/>
              </w:rPr>
            </w:pPr>
            <w:r>
              <w:rPr>
                <w:rFonts w:ascii="Arial" w:cs="Arial" w:eastAsia="Arial" w:hAnsi="Arial"/>
                <w:sz w:val="14"/>
                <w:szCs w:val="14"/>
                <w:color w:val="auto"/>
              </w:rPr>
              <w:t>Revenue</w:t>
            </w:r>
          </w:p>
        </w:tc>
        <w:tc>
          <w:tcPr>
            <w:tcW w:w="980" w:type="dxa"/>
            <w:vAlign w:val="bottom"/>
          </w:tcPr>
          <w:p>
            <w:pPr>
              <w:jc w:val="center"/>
              <w:ind w:left="89"/>
              <w:spacing w:after="0"/>
              <w:rPr>
                <w:sz w:val="20"/>
                <w:szCs w:val="20"/>
                <w:color w:val="auto"/>
              </w:rPr>
            </w:pPr>
            <w:r>
              <w:rPr>
                <w:rFonts w:ascii="Arial" w:cs="Arial" w:eastAsia="Arial" w:hAnsi="Arial"/>
                <w:sz w:val="14"/>
                <w:szCs w:val="14"/>
                <w:color w:val="auto"/>
                <w:w w:val="90"/>
              </w:rPr>
              <w:t>679,025</w:t>
            </w: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90"/>
              </w:rPr>
              <w:t>636,305</w:t>
            </w:r>
          </w:p>
        </w:tc>
        <w:tc>
          <w:tcPr>
            <w:tcW w:w="1140" w:type="dxa"/>
            <w:vAlign w:val="bottom"/>
            <w:gridSpan w:val="2"/>
          </w:tcPr>
          <w:p>
            <w:pPr>
              <w:jc w:val="center"/>
              <w:ind w:left="189"/>
              <w:spacing w:after="0"/>
              <w:rPr>
                <w:sz w:val="20"/>
                <w:szCs w:val="20"/>
                <w:color w:val="auto"/>
              </w:rPr>
            </w:pPr>
            <w:r>
              <w:rPr>
                <w:rFonts w:ascii="Arial" w:cs="Arial" w:eastAsia="Arial" w:hAnsi="Arial"/>
                <w:sz w:val="14"/>
                <w:szCs w:val="14"/>
                <w:color w:val="auto"/>
                <w:w w:val="89"/>
              </w:rPr>
              <w:t>2,595,777</w:t>
            </w:r>
          </w:p>
        </w:tc>
        <w:tc>
          <w:tcPr>
            <w:tcW w:w="1480" w:type="dxa"/>
            <w:vAlign w:val="bottom"/>
            <w:gridSpan w:val="3"/>
          </w:tcPr>
          <w:p>
            <w:pPr>
              <w:jc w:val="center"/>
              <w:ind w:left="209"/>
              <w:spacing w:after="0"/>
              <w:rPr>
                <w:sz w:val="20"/>
                <w:szCs w:val="20"/>
                <w:color w:val="auto"/>
              </w:rPr>
            </w:pPr>
            <w:r>
              <w:rPr>
                <w:rFonts w:ascii="Arial" w:cs="Arial" w:eastAsia="Arial" w:hAnsi="Arial"/>
                <w:sz w:val="14"/>
                <w:szCs w:val="14"/>
                <w:color w:val="auto"/>
                <w:w w:val="89"/>
              </w:rPr>
              <w:t>2,402,321</w:t>
            </w:r>
          </w:p>
        </w:tc>
        <w:tc>
          <w:tcPr>
            <w:tcW w:w="100" w:type="dxa"/>
            <w:vAlign w:val="bottom"/>
          </w:tcPr>
          <w:p>
            <w:pPr>
              <w:spacing w:after="0"/>
              <w:rPr>
                <w:sz w:val="15"/>
                <w:szCs w:val="15"/>
                <w:color w:val="auto"/>
              </w:rPr>
            </w:pPr>
          </w:p>
        </w:tc>
      </w:tr>
      <w:tr>
        <w:trPr>
          <w:trHeight w:val="180"/>
        </w:trPr>
        <w:tc>
          <w:tcPr>
            <w:tcW w:w="60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Reimbursable expenses</w:t>
            </w:r>
          </w:p>
        </w:tc>
        <w:tc>
          <w:tcPr>
            <w:tcW w:w="9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3"/>
              </w:rPr>
              <w:t>(181,166)</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209"/>
              <w:spacing w:after="0"/>
              <w:rPr>
                <w:sz w:val="20"/>
                <w:szCs w:val="20"/>
                <w:color w:val="auto"/>
              </w:rPr>
            </w:pPr>
            <w:r>
              <w:rPr>
                <w:rFonts w:ascii="Arial" w:cs="Arial" w:eastAsia="Arial" w:hAnsi="Arial"/>
                <w:sz w:val="14"/>
                <w:szCs w:val="14"/>
                <w:color w:val="auto"/>
                <w:w w:val="93"/>
              </w:rPr>
              <w:t>(643,882)</w:t>
            </w:r>
          </w:p>
        </w:tc>
        <w:tc>
          <w:tcPr>
            <w:tcW w:w="100" w:type="dxa"/>
            <w:vAlign w:val="bottom"/>
          </w:tcPr>
          <w:p>
            <w:pPr>
              <w:spacing w:after="0"/>
              <w:rPr>
                <w:sz w:val="15"/>
                <w:szCs w:val="15"/>
                <w:color w:val="auto"/>
              </w:rPr>
            </w:pPr>
          </w:p>
        </w:tc>
      </w:tr>
      <w:tr>
        <w:trPr>
          <w:trHeight w:val="344"/>
        </w:trPr>
        <w:tc>
          <w:tcPr>
            <w:tcW w:w="6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90"/>
              </w:rPr>
              <w:t>455,139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3"/>
          </w:tcPr>
          <w:p>
            <w:pPr>
              <w:jc w:val="center"/>
              <w:ind w:left="209"/>
              <w:spacing w:after="0"/>
              <w:rPr>
                <w:sz w:val="20"/>
                <w:szCs w:val="20"/>
                <w:color w:val="auto"/>
              </w:rPr>
            </w:pPr>
            <w:r>
              <w:rPr>
                <w:rFonts w:ascii="Arial" w:cs="Arial" w:eastAsia="Arial" w:hAnsi="Arial"/>
                <w:sz w:val="14"/>
                <w:szCs w:val="14"/>
                <w:color w:val="auto"/>
                <w:w w:val="89"/>
              </w:rPr>
              <w:t>1,758,439</w:t>
            </w:r>
          </w:p>
        </w:tc>
        <w:tc>
          <w:tcPr>
            <w:tcW w:w="100" w:type="dxa"/>
            <w:vAlign w:val="bottom"/>
          </w:tcPr>
          <w:p>
            <w:pPr>
              <w:spacing w:after="0"/>
              <w:rPr>
                <w:sz w:val="24"/>
                <w:szCs w:val="24"/>
                <w:color w:val="auto"/>
              </w:rPr>
            </w:pPr>
          </w:p>
        </w:tc>
      </w:tr>
      <w:tr>
        <w:trPr>
          <w:trHeight w:val="342"/>
        </w:trPr>
        <w:tc>
          <w:tcPr>
            <w:tcW w:w="606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6060" w:type="dxa"/>
            <w:vAlign w:val="bottom"/>
          </w:tcPr>
          <w:p>
            <w:pPr>
              <w:spacing w:after="0"/>
              <w:rPr>
                <w:sz w:val="20"/>
                <w:szCs w:val="20"/>
                <w:color w:val="auto"/>
              </w:rPr>
            </w:pPr>
            <w:r>
              <w:rPr>
                <w:rFonts w:ascii="Arial" w:cs="Arial" w:eastAsia="Arial" w:hAnsi="Arial"/>
                <w:sz w:val="14"/>
                <w:szCs w:val="14"/>
                <w:color w:val="auto"/>
              </w:rPr>
              <w:t>Direct costs</w:t>
            </w:r>
          </w:p>
        </w:tc>
        <w:tc>
          <w:tcPr>
            <w:tcW w:w="980" w:type="dxa"/>
            <w:vAlign w:val="bottom"/>
          </w:tcPr>
          <w:p>
            <w:pPr>
              <w:jc w:val="center"/>
              <w:ind w:left="69"/>
              <w:spacing w:after="0"/>
              <w:rPr>
                <w:sz w:val="20"/>
                <w:szCs w:val="20"/>
                <w:color w:val="auto"/>
              </w:rPr>
            </w:pPr>
            <w:r>
              <w:rPr>
                <w:rFonts w:ascii="Arial" w:cs="Arial" w:eastAsia="Arial" w:hAnsi="Arial"/>
                <w:sz w:val="14"/>
                <w:szCs w:val="14"/>
                <w:color w:val="auto"/>
                <w:w w:val="93"/>
              </w:rPr>
              <w:t>(479,206)</w:t>
            </w:r>
          </w:p>
        </w:tc>
        <w:tc>
          <w:tcPr>
            <w:tcW w:w="1400" w:type="dxa"/>
            <w:vAlign w:val="bottom"/>
          </w:tcPr>
          <w:p>
            <w:pPr>
              <w:jc w:val="center"/>
              <w:ind w:left="169"/>
              <w:spacing w:after="0"/>
              <w:rPr>
                <w:sz w:val="20"/>
                <w:szCs w:val="20"/>
                <w:color w:val="auto"/>
              </w:rPr>
            </w:pPr>
            <w:r>
              <w:rPr>
                <w:rFonts w:ascii="Arial" w:cs="Arial" w:eastAsia="Arial" w:hAnsi="Arial"/>
                <w:sz w:val="14"/>
                <w:szCs w:val="14"/>
                <w:color w:val="auto"/>
                <w:w w:val="93"/>
              </w:rPr>
              <w:t>(267,135)</w:t>
            </w:r>
          </w:p>
        </w:tc>
        <w:tc>
          <w:tcPr>
            <w:tcW w:w="1140" w:type="dxa"/>
            <w:vAlign w:val="bottom"/>
            <w:gridSpan w:val="2"/>
          </w:tcPr>
          <w:p>
            <w:pPr>
              <w:jc w:val="center"/>
              <w:ind w:left="189"/>
              <w:spacing w:after="0"/>
              <w:rPr>
                <w:sz w:val="20"/>
                <w:szCs w:val="20"/>
                <w:color w:val="auto"/>
              </w:rPr>
            </w:pPr>
            <w:r>
              <w:rPr>
                <w:rFonts w:ascii="Arial" w:cs="Arial" w:eastAsia="Arial" w:hAnsi="Arial"/>
                <w:sz w:val="14"/>
                <w:szCs w:val="14"/>
                <w:color w:val="auto"/>
                <w:w w:val="94"/>
              </w:rPr>
              <w:t>(1,818,220)</w:t>
            </w:r>
          </w:p>
        </w:tc>
        <w:tc>
          <w:tcPr>
            <w:tcW w:w="1480" w:type="dxa"/>
            <w:vAlign w:val="bottom"/>
            <w:gridSpan w:val="3"/>
          </w:tcPr>
          <w:p>
            <w:pPr>
              <w:jc w:val="center"/>
              <w:ind w:left="209"/>
              <w:spacing w:after="0"/>
              <w:rPr>
                <w:sz w:val="20"/>
                <w:szCs w:val="20"/>
                <w:color w:val="auto"/>
              </w:rPr>
            </w:pPr>
            <w:r>
              <w:rPr>
                <w:rFonts w:ascii="Arial" w:cs="Arial" w:eastAsia="Arial" w:hAnsi="Arial"/>
                <w:sz w:val="14"/>
                <w:szCs w:val="14"/>
                <w:color w:val="auto"/>
                <w:w w:val="94"/>
              </w:rPr>
              <w:t>(1,027,310)</w:t>
            </w:r>
          </w:p>
        </w:tc>
        <w:tc>
          <w:tcPr>
            <w:tcW w:w="100" w:type="dxa"/>
            <w:vAlign w:val="bottom"/>
          </w:tcPr>
          <w:p>
            <w:pPr>
              <w:spacing w:after="0"/>
              <w:rPr>
                <w:sz w:val="15"/>
                <w:szCs w:val="15"/>
                <w:color w:val="auto"/>
              </w:rPr>
            </w:pPr>
          </w:p>
        </w:tc>
      </w:tr>
      <w:tr>
        <w:trPr>
          <w:trHeight w:val="174"/>
        </w:trPr>
        <w:tc>
          <w:tcPr>
            <w:tcW w:w="606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980" w:type="dxa"/>
            <w:vAlign w:val="bottom"/>
          </w:tcPr>
          <w:p>
            <w:pPr>
              <w:jc w:val="center"/>
              <w:ind w:left="89"/>
              <w:spacing w:after="0"/>
              <w:rPr>
                <w:sz w:val="20"/>
                <w:szCs w:val="20"/>
                <w:color w:val="auto"/>
              </w:rPr>
            </w:pPr>
            <w:r>
              <w:rPr>
                <w:rFonts w:ascii="Arial" w:cs="Arial" w:eastAsia="Arial" w:hAnsi="Arial"/>
                <w:sz w:val="14"/>
                <w:szCs w:val="14"/>
                <w:color w:val="auto"/>
                <w:w w:val="95"/>
              </w:rPr>
              <w:t>(83,124)</w:t>
            </w: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95"/>
              </w:rPr>
              <w:t>(82,086)</w:t>
            </w:r>
          </w:p>
        </w:tc>
        <w:tc>
          <w:tcPr>
            <w:tcW w:w="1140" w:type="dxa"/>
            <w:vAlign w:val="bottom"/>
            <w:gridSpan w:val="2"/>
          </w:tcPr>
          <w:p>
            <w:pPr>
              <w:jc w:val="center"/>
              <w:ind w:left="189"/>
              <w:spacing w:after="0"/>
              <w:rPr>
                <w:sz w:val="20"/>
                <w:szCs w:val="20"/>
                <w:color w:val="auto"/>
              </w:rPr>
            </w:pPr>
            <w:r>
              <w:rPr>
                <w:rFonts w:ascii="Arial" w:cs="Arial" w:eastAsia="Arial" w:hAnsi="Arial"/>
                <w:sz w:val="14"/>
                <w:szCs w:val="14"/>
                <w:color w:val="auto"/>
                <w:w w:val="93"/>
              </w:rPr>
              <w:t>(325,794)</w:t>
            </w:r>
          </w:p>
        </w:tc>
        <w:tc>
          <w:tcPr>
            <w:tcW w:w="1480" w:type="dxa"/>
            <w:vAlign w:val="bottom"/>
            <w:gridSpan w:val="3"/>
          </w:tcPr>
          <w:p>
            <w:pPr>
              <w:jc w:val="center"/>
              <w:ind w:left="209"/>
              <w:spacing w:after="0"/>
              <w:rPr>
                <w:sz w:val="20"/>
                <w:szCs w:val="20"/>
                <w:color w:val="auto"/>
              </w:rPr>
            </w:pPr>
            <w:r>
              <w:rPr>
                <w:rFonts w:ascii="Arial" w:cs="Arial" w:eastAsia="Arial" w:hAnsi="Arial"/>
                <w:sz w:val="14"/>
                <w:szCs w:val="14"/>
                <w:color w:val="auto"/>
                <w:w w:val="93"/>
              </w:rPr>
              <w:t>(323,741)</w:t>
            </w:r>
          </w:p>
        </w:tc>
        <w:tc>
          <w:tcPr>
            <w:tcW w:w="100" w:type="dxa"/>
            <w:vAlign w:val="bottom"/>
          </w:tcPr>
          <w:p>
            <w:pPr>
              <w:spacing w:after="0"/>
              <w:rPr>
                <w:sz w:val="15"/>
                <w:szCs w:val="15"/>
                <w:color w:val="auto"/>
              </w:rPr>
            </w:pPr>
          </w:p>
        </w:tc>
      </w:tr>
      <w:tr>
        <w:trPr>
          <w:trHeight w:val="180"/>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98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color w:val="auto"/>
                <w:w w:val="95"/>
              </w:rPr>
              <w:t>(14,910)</w:t>
            </w:r>
          </w:p>
        </w:tc>
        <w:tc>
          <w:tcPr>
            <w:tcW w:w="140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w w:val="95"/>
              </w:rPr>
              <w:t>(16,174)</w:t>
            </w:r>
          </w:p>
        </w:tc>
        <w:tc>
          <w:tcPr>
            <w:tcW w:w="114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4"/>
                <w:szCs w:val="14"/>
                <w:color w:val="auto"/>
                <w:w w:val="91"/>
              </w:rPr>
              <w:t>(65,916)</w:t>
            </w:r>
          </w:p>
        </w:tc>
        <w:tc>
          <w:tcPr>
            <w:tcW w:w="1480" w:type="dxa"/>
            <w:vAlign w:val="bottom"/>
            <w:tcBorders>
              <w:bottom w:val="single" w:sz="8" w:color="auto"/>
            </w:tcBorders>
            <w:gridSpan w:val="3"/>
          </w:tcPr>
          <w:p>
            <w:pPr>
              <w:jc w:val="center"/>
              <w:ind w:left="209"/>
              <w:spacing w:after="0"/>
              <w:rPr>
                <w:sz w:val="20"/>
                <w:szCs w:val="20"/>
                <w:color w:val="auto"/>
              </w:rPr>
            </w:pPr>
            <w:r>
              <w:rPr>
                <w:rFonts w:ascii="Arial" w:cs="Arial" w:eastAsia="Arial" w:hAnsi="Arial"/>
                <w:sz w:val="14"/>
                <w:szCs w:val="14"/>
                <w:color w:val="auto"/>
                <w:w w:val="91"/>
              </w:rPr>
              <w:t>(61,297)</w:t>
            </w:r>
          </w:p>
        </w:tc>
        <w:tc>
          <w:tcPr>
            <w:tcW w:w="100" w:type="dxa"/>
            <w:vAlign w:val="bottom"/>
          </w:tcPr>
          <w:p>
            <w:pPr>
              <w:spacing w:after="0"/>
              <w:rPr>
                <w:sz w:val="15"/>
                <w:szCs w:val="15"/>
                <w:color w:val="auto"/>
              </w:rPr>
            </w:pPr>
          </w:p>
        </w:tc>
      </w:tr>
      <w:tr>
        <w:trPr>
          <w:trHeight w:val="342"/>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98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color w:val="auto"/>
                <w:w w:val="93"/>
              </w:rPr>
              <w:t>(577,240)</w:t>
            </w:r>
          </w:p>
        </w:tc>
        <w:tc>
          <w:tcPr>
            <w:tcW w:w="140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3"/>
              </w:rPr>
              <w:t>(365,395)</w:t>
            </w:r>
          </w:p>
        </w:tc>
        <w:tc>
          <w:tcPr>
            <w:tcW w:w="114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4"/>
                <w:szCs w:val="14"/>
                <w:color w:val="auto"/>
                <w:w w:val="94"/>
              </w:rPr>
              <w:t>(2,209,930)</w:t>
            </w:r>
          </w:p>
        </w:tc>
        <w:tc>
          <w:tcPr>
            <w:tcW w:w="1480" w:type="dxa"/>
            <w:vAlign w:val="bottom"/>
            <w:tcBorders>
              <w:bottom w:val="single" w:sz="8" w:color="auto"/>
            </w:tcBorders>
            <w:gridSpan w:val="3"/>
          </w:tcPr>
          <w:p>
            <w:pPr>
              <w:jc w:val="center"/>
              <w:ind w:left="209"/>
              <w:spacing w:after="0"/>
              <w:rPr>
                <w:sz w:val="20"/>
                <w:szCs w:val="20"/>
                <w:color w:val="auto"/>
              </w:rPr>
            </w:pPr>
            <w:r>
              <w:rPr>
                <w:rFonts w:ascii="Arial" w:cs="Arial" w:eastAsia="Arial" w:hAnsi="Arial"/>
                <w:sz w:val="14"/>
                <w:szCs w:val="14"/>
                <w:color w:val="auto"/>
                <w:w w:val="94"/>
              </w:rPr>
              <w:t>(1,412,348)</w:t>
            </w:r>
          </w:p>
        </w:tc>
        <w:tc>
          <w:tcPr>
            <w:tcW w:w="100" w:type="dxa"/>
            <w:vAlign w:val="bottom"/>
          </w:tcPr>
          <w:p>
            <w:pPr>
              <w:spacing w:after="0"/>
              <w:rPr>
                <w:sz w:val="24"/>
                <w:szCs w:val="24"/>
                <w:color w:val="auto"/>
              </w:rPr>
            </w:pPr>
          </w:p>
        </w:tc>
      </w:tr>
      <w:tr>
        <w:trPr>
          <w:trHeight w:val="344"/>
        </w:trPr>
        <w:tc>
          <w:tcPr>
            <w:tcW w:w="60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980" w:type="dxa"/>
            <w:vAlign w:val="bottom"/>
          </w:tcPr>
          <w:p>
            <w:pPr>
              <w:jc w:val="center"/>
              <w:ind w:left="89"/>
              <w:spacing w:after="0"/>
              <w:rPr>
                <w:sz w:val="20"/>
                <w:szCs w:val="20"/>
                <w:color w:val="auto"/>
              </w:rPr>
            </w:pPr>
            <w:r>
              <w:rPr>
                <w:rFonts w:ascii="Arial" w:cs="Arial" w:eastAsia="Arial" w:hAnsi="Arial"/>
                <w:sz w:val="14"/>
                <w:szCs w:val="14"/>
                <w:color w:val="auto"/>
                <w:w w:val="90"/>
              </w:rPr>
              <w:t>101,785</w:t>
            </w: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88"/>
              </w:rPr>
              <w:t>89,744</w:t>
            </w:r>
          </w:p>
        </w:tc>
        <w:tc>
          <w:tcPr>
            <w:tcW w:w="1140" w:type="dxa"/>
            <w:vAlign w:val="bottom"/>
            <w:gridSpan w:val="2"/>
          </w:tcPr>
          <w:p>
            <w:pPr>
              <w:jc w:val="center"/>
              <w:ind w:left="189"/>
              <w:spacing w:after="0"/>
              <w:rPr>
                <w:sz w:val="20"/>
                <w:szCs w:val="20"/>
                <w:color w:val="auto"/>
              </w:rPr>
            </w:pPr>
            <w:r>
              <w:rPr>
                <w:rFonts w:ascii="Arial" w:cs="Arial" w:eastAsia="Arial" w:hAnsi="Arial"/>
                <w:sz w:val="14"/>
                <w:szCs w:val="14"/>
                <w:color w:val="auto"/>
                <w:w w:val="94"/>
              </w:rPr>
              <w:t>385,847</w:t>
            </w:r>
          </w:p>
        </w:tc>
        <w:tc>
          <w:tcPr>
            <w:tcW w:w="1480" w:type="dxa"/>
            <w:vAlign w:val="bottom"/>
            <w:gridSpan w:val="3"/>
          </w:tcPr>
          <w:p>
            <w:pPr>
              <w:jc w:val="center"/>
              <w:ind w:left="229"/>
              <w:spacing w:after="0"/>
              <w:rPr>
                <w:sz w:val="20"/>
                <w:szCs w:val="20"/>
                <w:color w:val="auto"/>
              </w:rPr>
            </w:pPr>
            <w:r>
              <w:rPr>
                <w:rFonts w:ascii="Arial" w:cs="Arial" w:eastAsia="Arial" w:hAnsi="Arial"/>
                <w:sz w:val="14"/>
                <w:szCs w:val="14"/>
                <w:color w:val="auto"/>
                <w:w w:val="90"/>
              </w:rPr>
              <w:t>346,091</w:t>
            </w:r>
          </w:p>
        </w:tc>
        <w:tc>
          <w:tcPr>
            <w:tcW w:w="100" w:type="dxa"/>
            <w:vAlign w:val="bottom"/>
          </w:tcPr>
          <w:p>
            <w:pPr>
              <w:spacing w:after="0"/>
              <w:rPr>
                <w:sz w:val="24"/>
                <w:szCs w:val="24"/>
                <w:color w:val="auto"/>
              </w:rPr>
            </w:pPr>
          </w:p>
        </w:tc>
      </w:tr>
      <w:tr>
        <w:trPr>
          <w:trHeight w:val="347"/>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98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color w:val="auto"/>
                <w:w w:val="94"/>
              </w:rPr>
              <w:t>(1,599)</w:t>
            </w:r>
          </w:p>
        </w:tc>
        <w:tc>
          <w:tcPr>
            <w:tcW w:w="140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w w:val="94"/>
              </w:rPr>
              <w:t>(2,512)</w:t>
            </w:r>
          </w:p>
        </w:tc>
        <w:tc>
          <w:tcPr>
            <w:tcW w:w="1140" w:type="dxa"/>
            <w:vAlign w:val="bottom"/>
            <w:tcBorders>
              <w:bottom w:val="single" w:sz="8" w:color="auto"/>
            </w:tcBorders>
            <w:gridSpan w:val="2"/>
          </w:tcPr>
          <w:p>
            <w:pPr>
              <w:jc w:val="center"/>
              <w:ind w:left="209"/>
              <w:spacing w:after="0"/>
              <w:rPr>
                <w:sz w:val="20"/>
                <w:szCs w:val="20"/>
                <w:color w:val="auto"/>
              </w:rPr>
            </w:pPr>
            <w:r>
              <w:rPr>
                <w:rFonts w:ascii="Arial" w:cs="Arial" w:eastAsia="Arial" w:hAnsi="Arial"/>
                <w:sz w:val="14"/>
                <w:szCs w:val="14"/>
                <w:color w:val="auto"/>
                <w:w w:val="94"/>
              </w:rPr>
              <w:t>(8,743)</w:t>
            </w:r>
          </w:p>
        </w:tc>
        <w:tc>
          <w:tcPr>
            <w:tcW w:w="1480" w:type="dxa"/>
            <w:vAlign w:val="bottom"/>
            <w:tcBorders>
              <w:bottom w:val="single" w:sz="8" w:color="auto"/>
            </w:tcBorders>
            <w:gridSpan w:val="3"/>
          </w:tcPr>
          <w:p>
            <w:pPr>
              <w:jc w:val="center"/>
              <w:ind w:left="209"/>
              <w:spacing w:after="0"/>
              <w:rPr>
                <w:sz w:val="20"/>
                <w:szCs w:val="20"/>
                <w:color w:val="auto"/>
              </w:rPr>
            </w:pPr>
            <w:r>
              <w:rPr>
                <w:rFonts w:ascii="Arial" w:cs="Arial" w:eastAsia="Arial" w:hAnsi="Arial"/>
                <w:sz w:val="14"/>
                <w:szCs w:val="14"/>
                <w:color w:val="auto"/>
                <w:w w:val="91"/>
              </w:rPr>
              <w:t>(10,281)</w:t>
            </w:r>
          </w:p>
        </w:tc>
        <w:tc>
          <w:tcPr>
            <w:tcW w:w="100" w:type="dxa"/>
            <w:vAlign w:val="bottom"/>
          </w:tcPr>
          <w:p>
            <w:pPr>
              <w:spacing w:after="0"/>
              <w:rPr>
                <w:sz w:val="24"/>
                <w:szCs w:val="24"/>
                <w:color w:val="auto"/>
              </w:rPr>
            </w:pPr>
          </w:p>
        </w:tc>
      </w:tr>
      <w:tr>
        <w:trPr>
          <w:trHeight w:val="344"/>
        </w:trPr>
        <w:tc>
          <w:tcPr>
            <w:tcW w:w="606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980" w:type="dxa"/>
            <w:vAlign w:val="bottom"/>
          </w:tcPr>
          <w:p>
            <w:pPr>
              <w:jc w:val="center"/>
              <w:ind w:left="89"/>
              <w:spacing w:after="0"/>
              <w:rPr>
                <w:sz w:val="20"/>
                <w:szCs w:val="20"/>
                <w:color w:val="auto"/>
              </w:rPr>
            </w:pPr>
            <w:r>
              <w:rPr>
                <w:rFonts w:ascii="Arial" w:cs="Arial" w:eastAsia="Arial" w:hAnsi="Arial"/>
                <w:sz w:val="14"/>
                <w:szCs w:val="14"/>
                <w:color w:val="auto"/>
                <w:w w:val="90"/>
              </w:rPr>
              <w:t>100,186</w:t>
            </w: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88"/>
              </w:rPr>
              <w:t>87,232</w:t>
            </w:r>
          </w:p>
        </w:tc>
        <w:tc>
          <w:tcPr>
            <w:tcW w:w="1140" w:type="dxa"/>
            <w:vAlign w:val="bottom"/>
            <w:gridSpan w:val="2"/>
          </w:tcPr>
          <w:p>
            <w:pPr>
              <w:jc w:val="center"/>
              <w:ind w:left="189"/>
              <w:spacing w:after="0"/>
              <w:rPr>
                <w:sz w:val="20"/>
                <w:szCs w:val="20"/>
                <w:color w:val="auto"/>
              </w:rPr>
            </w:pPr>
            <w:r>
              <w:rPr>
                <w:rFonts w:ascii="Arial" w:cs="Arial" w:eastAsia="Arial" w:hAnsi="Arial"/>
                <w:sz w:val="14"/>
                <w:szCs w:val="14"/>
                <w:color w:val="auto"/>
                <w:w w:val="94"/>
              </w:rPr>
              <w:t>377,104</w:t>
            </w:r>
          </w:p>
        </w:tc>
        <w:tc>
          <w:tcPr>
            <w:tcW w:w="1480" w:type="dxa"/>
            <w:vAlign w:val="bottom"/>
            <w:gridSpan w:val="3"/>
          </w:tcPr>
          <w:p>
            <w:pPr>
              <w:jc w:val="center"/>
              <w:ind w:left="229"/>
              <w:spacing w:after="0"/>
              <w:rPr>
                <w:sz w:val="20"/>
                <w:szCs w:val="20"/>
                <w:color w:val="auto"/>
              </w:rPr>
            </w:pPr>
            <w:r>
              <w:rPr>
                <w:rFonts w:ascii="Arial" w:cs="Arial" w:eastAsia="Arial" w:hAnsi="Arial"/>
                <w:sz w:val="14"/>
                <w:szCs w:val="14"/>
                <w:color w:val="auto"/>
                <w:w w:val="90"/>
              </w:rPr>
              <w:t>335,810</w:t>
            </w:r>
          </w:p>
        </w:tc>
        <w:tc>
          <w:tcPr>
            <w:tcW w:w="100" w:type="dxa"/>
            <w:vAlign w:val="bottom"/>
          </w:tcPr>
          <w:p>
            <w:pPr>
              <w:spacing w:after="0"/>
              <w:rPr>
                <w:sz w:val="24"/>
                <w:szCs w:val="24"/>
                <w:color w:val="auto"/>
              </w:rPr>
            </w:pPr>
          </w:p>
        </w:tc>
      </w:tr>
      <w:tr>
        <w:trPr>
          <w:trHeight w:val="347"/>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98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color w:val="auto"/>
                <w:w w:val="95"/>
              </w:rPr>
              <w:t>(12,023)</w:t>
            </w:r>
          </w:p>
        </w:tc>
        <w:tc>
          <w:tcPr>
            <w:tcW w:w="140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w w:val="94"/>
              </w:rPr>
              <w:t>(8,724)</w:t>
            </w:r>
          </w:p>
        </w:tc>
        <w:tc>
          <w:tcPr>
            <w:tcW w:w="114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4"/>
                <w:szCs w:val="14"/>
                <w:color w:val="auto"/>
                <w:w w:val="91"/>
              </w:rPr>
              <w:t>(43,411)</w:t>
            </w:r>
          </w:p>
        </w:tc>
        <w:tc>
          <w:tcPr>
            <w:tcW w:w="1480" w:type="dxa"/>
            <w:vAlign w:val="bottom"/>
            <w:tcBorders>
              <w:bottom w:val="single" w:sz="8" w:color="auto"/>
            </w:tcBorders>
            <w:gridSpan w:val="3"/>
          </w:tcPr>
          <w:p>
            <w:pPr>
              <w:jc w:val="center"/>
              <w:ind w:left="209"/>
              <w:spacing w:after="0"/>
              <w:rPr>
                <w:sz w:val="20"/>
                <w:szCs w:val="20"/>
                <w:color w:val="auto"/>
              </w:rPr>
            </w:pPr>
            <w:r>
              <w:rPr>
                <w:rFonts w:ascii="Arial" w:cs="Arial" w:eastAsia="Arial" w:hAnsi="Arial"/>
                <w:sz w:val="14"/>
                <w:szCs w:val="14"/>
                <w:color w:val="auto"/>
                <w:w w:val="91"/>
              </w:rPr>
              <w:t>(40,137)</w:t>
            </w:r>
          </w:p>
        </w:tc>
        <w:tc>
          <w:tcPr>
            <w:tcW w:w="100" w:type="dxa"/>
            <w:vAlign w:val="bottom"/>
          </w:tcPr>
          <w:p>
            <w:pPr>
              <w:spacing w:after="0"/>
              <w:rPr>
                <w:sz w:val="24"/>
                <w:szCs w:val="24"/>
                <w:color w:val="auto"/>
              </w:rPr>
            </w:pPr>
          </w:p>
        </w:tc>
      </w:tr>
      <w:tr>
        <w:trPr>
          <w:trHeight w:val="342"/>
        </w:trPr>
        <w:tc>
          <w:tcPr>
            <w:tcW w:w="60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80" w:type="dxa"/>
            <w:vAlign w:val="bottom"/>
          </w:tcPr>
          <w:p>
            <w:pPr>
              <w:jc w:val="center"/>
              <w:ind w:left="89"/>
              <w:spacing w:after="0"/>
              <w:rPr>
                <w:sz w:val="20"/>
                <w:szCs w:val="20"/>
                <w:color w:val="auto"/>
              </w:rPr>
            </w:pPr>
            <w:r>
              <w:rPr>
                <w:rFonts w:ascii="Arial" w:cs="Arial" w:eastAsia="Arial" w:hAnsi="Arial"/>
                <w:sz w:val="14"/>
                <w:szCs w:val="14"/>
                <w:color w:val="auto"/>
                <w:w w:val="88"/>
              </w:rPr>
              <w:t>88,163</w:t>
            </w:r>
          </w:p>
        </w:tc>
        <w:tc>
          <w:tcPr>
            <w:tcW w:w="1400" w:type="dxa"/>
            <w:vAlign w:val="bottom"/>
          </w:tcPr>
          <w:p>
            <w:pPr>
              <w:jc w:val="center"/>
              <w:ind w:left="189"/>
              <w:spacing w:after="0"/>
              <w:rPr>
                <w:sz w:val="20"/>
                <w:szCs w:val="20"/>
                <w:color w:val="auto"/>
              </w:rPr>
            </w:pPr>
            <w:r>
              <w:rPr>
                <w:rFonts w:ascii="Arial" w:cs="Arial" w:eastAsia="Arial" w:hAnsi="Arial"/>
                <w:sz w:val="14"/>
                <w:szCs w:val="14"/>
                <w:color w:val="auto"/>
                <w:w w:val="88"/>
              </w:rPr>
              <w:t>78,508</w:t>
            </w:r>
          </w:p>
        </w:tc>
        <w:tc>
          <w:tcPr>
            <w:tcW w:w="1140" w:type="dxa"/>
            <w:vAlign w:val="bottom"/>
            <w:gridSpan w:val="2"/>
          </w:tcPr>
          <w:p>
            <w:pPr>
              <w:jc w:val="center"/>
              <w:ind w:left="189"/>
              <w:spacing w:after="0"/>
              <w:rPr>
                <w:sz w:val="20"/>
                <w:szCs w:val="20"/>
                <w:color w:val="auto"/>
              </w:rPr>
            </w:pPr>
            <w:r>
              <w:rPr>
                <w:rFonts w:ascii="Arial" w:cs="Arial" w:eastAsia="Arial" w:hAnsi="Arial"/>
                <w:sz w:val="14"/>
                <w:szCs w:val="14"/>
                <w:color w:val="auto"/>
                <w:w w:val="94"/>
              </w:rPr>
              <w:t>333,693</w:t>
            </w:r>
          </w:p>
        </w:tc>
        <w:tc>
          <w:tcPr>
            <w:tcW w:w="1480" w:type="dxa"/>
            <w:vAlign w:val="bottom"/>
            <w:gridSpan w:val="3"/>
          </w:tcPr>
          <w:p>
            <w:pPr>
              <w:jc w:val="center"/>
              <w:ind w:left="229"/>
              <w:spacing w:after="0"/>
              <w:rPr>
                <w:sz w:val="20"/>
                <w:szCs w:val="20"/>
                <w:color w:val="auto"/>
              </w:rPr>
            </w:pPr>
            <w:r>
              <w:rPr>
                <w:rFonts w:ascii="Arial" w:cs="Arial" w:eastAsia="Arial" w:hAnsi="Arial"/>
                <w:sz w:val="14"/>
                <w:szCs w:val="14"/>
                <w:color w:val="auto"/>
                <w:w w:val="90"/>
              </w:rPr>
              <w:t>295,673</w:t>
            </w:r>
          </w:p>
        </w:tc>
        <w:tc>
          <w:tcPr>
            <w:tcW w:w="100" w:type="dxa"/>
            <w:vAlign w:val="bottom"/>
          </w:tcPr>
          <w:p>
            <w:pPr>
              <w:spacing w:after="0"/>
              <w:rPr>
                <w:sz w:val="24"/>
                <w:szCs w:val="24"/>
                <w:color w:val="auto"/>
              </w:rPr>
            </w:pPr>
          </w:p>
        </w:tc>
      </w:tr>
      <w:tr>
        <w:trPr>
          <w:trHeight w:val="344"/>
        </w:trPr>
        <w:tc>
          <w:tcPr>
            <w:tcW w:w="60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Net income per Ordinary Share:</w:t>
            </w:r>
          </w:p>
        </w:tc>
        <w:tc>
          <w:tcPr>
            <w:tcW w:w="9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47"/>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98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color w:val="auto"/>
                <w:w w:val="91"/>
              </w:rPr>
              <w:t>$1.63</w:t>
            </w:r>
          </w:p>
        </w:tc>
        <w:tc>
          <w:tcPr>
            <w:tcW w:w="140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1"/>
              </w:rPr>
              <w:t>$1.45</w:t>
            </w:r>
          </w:p>
        </w:tc>
        <w:tc>
          <w:tcPr>
            <w:tcW w:w="114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4"/>
                <w:szCs w:val="14"/>
                <w:color w:val="auto"/>
                <w:w w:val="91"/>
              </w:rPr>
              <w:t>$6.17</w:t>
            </w:r>
          </w:p>
        </w:tc>
        <w:tc>
          <w:tcPr>
            <w:tcW w:w="1480" w:type="dxa"/>
            <w:vAlign w:val="bottom"/>
            <w:tcBorders>
              <w:bottom w:val="single" w:sz="8" w:color="auto"/>
            </w:tcBorders>
            <w:gridSpan w:val="3"/>
          </w:tcPr>
          <w:p>
            <w:pPr>
              <w:jc w:val="center"/>
              <w:ind w:left="209"/>
              <w:spacing w:after="0"/>
              <w:rPr>
                <w:sz w:val="20"/>
                <w:szCs w:val="20"/>
                <w:color w:val="auto"/>
              </w:rPr>
            </w:pPr>
            <w:r>
              <w:rPr>
                <w:rFonts w:ascii="Arial" w:cs="Arial" w:eastAsia="Arial" w:hAnsi="Arial"/>
                <w:sz w:val="14"/>
                <w:szCs w:val="14"/>
                <w:color w:val="auto"/>
                <w:w w:val="91"/>
              </w:rPr>
              <w:t>$5.46</w:t>
            </w:r>
          </w:p>
        </w:tc>
        <w:tc>
          <w:tcPr>
            <w:tcW w:w="100" w:type="dxa"/>
            <w:vAlign w:val="bottom"/>
          </w:tcPr>
          <w:p>
            <w:pPr>
              <w:spacing w:after="0"/>
              <w:rPr>
                <w:sz w:val="24"/>
                <w:szCs w:val="24"/>
                <w:color w:val="auto"/>
              </w:rPr>
            </w:pPr>
          </w:p>
        </w:tc>
      </w:tr>
      <w:tr>
        <w:trPr>
          <w:trHeight w:val="342"/>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98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color w:val="auto"/>
                <w:w w:val="91"/>
              </w:rPr>
              <w:t>$1.62</w:t>
            </w:r>
          </w:p>
        </w:tc>
        <w:tc>
          <w:tcPr>
            <w:tcW w:w="140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1"/>
              </w:rPr>
              <w:t>$1.43</w:t>
            </w:r>
          </w:p>
        </w:tc>
        <w:tc>
          <w:tcPr>
            <w:tcW w:w="114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4"/>
                <w:szCs w:val="14"/>
                <w:color w:val="auto"/>
                <w:w w:val="91"/>
              </w:rPr>
              <w:t>$6.09</w:t>
            </w:r>
          </w:p>
        </w:tc>
        <w:tc>
          <w:tcPr>
            <w:tcW w:w="1480" w:type="dxa"/>
            <w:vAlign w:val="bottom"/>
            <w:tcBorders>
              <w:bottom w:val="single" w:sz="8" w:color="auto"/>
            </w:tcBorders>
            <w:gridSpan w:val="3"/>
          </w:tcPr>
          <w:p>
            <w:pPr>
              <w:jc w:val="center"/>
              <w:ind w:left="209"/>
              <w:spacing w:after="0"/>
              <w:rPr>
                <w:sz w:val="20"/>
                <w:szCs w:val="20"/>
                <w:color w:val="auto"/>
              </w:rPr>
            </w:pPr>
            <w:r>
              <w:rPr>
                <w:rFonts w:ascii="Arial" w:cs="Arial" w:eastAsia="Arial" w:hAnsi="Arial"/>
                <w:sz w:val="14"/>
                <w:szCs w:val="14"/>
                <w:color w:val="auto"/>
                <w:w w:val="91"/>
              </w:rPr>
              <w:t>$5.39</w:t>
            </w:r>
          </w:p>
        </w:tc>
        <w:tc>
          <w:tcPr>
            <w:tcW w:w="100" w:type="dxa"/>
            <w:vAlign w:val="bottom"/>
          </w:tcPr>
          <w:p>
            <w:pPr>
              <w:spacing w:after="0"/>
              <w:rPr>
                <w:sz w:val="24"/>
                <w:szCs w:val="24"/>
                <w:color w:val="auto"/>
              </w:rPr>
            </w:pPr>
          </w:p>
        </w:tc>
      </w:tr>
      <w:tr>
        <w:trPr>
          <w:trHeight w:val="344"/>
        </w:trPr>
        <w:tc>
          <w:tcPr>
            <w:tcW w:w="606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7"/>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98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color w:val="auto"/>
                <w:w w:val="91"/>
              </w:rPr>
              <w:t>54,071,137</w:t>
            </w:r>
          </w:p>
        </w:tc>
        <w:tc>
          <w:tcPr>
            <w:tcW w:w="140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1"/>
              </w:rPr>
              <w:t>54,187,688</w:t>
            </w:r>
          </w:p>
        </w:tc>
        <w:tc>
          <w:tcPr>
            <w:tcW w:w="114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4"/>
                <w:szCs w:val="14"/>
                <w:color w:val="auto"/>
                <w:w w:val="91"/>
              </w:rPr>
              <w:t>54,118,764</w:t>
            </w:r>
          </w:p>
        </w:tc>
        <w:tc>
          <w:tcPr>
            <w:tcW w:w="1480" w:type="dxa"/>
            <w:vAlign w:val="bottom"/>
            <w:tcBorders>
              <w:bottom w:val="single" w:sz="8" w:color="auto"/>
            </w:tcBorders>
            <w:gridSpan w:val="3"/>
          </w:tcPr>
          <w:p>
            <w:pPr>
              <w:jc w:val="center"/>
              <w:ind w:left="209"/>
              <w:spacing w:after="0"/>
              <w:rPr>
                <w:sz w:val="20"/>
                <w:szCs w:val="20"/>
                <w:color w:val="auto"/>
              </w:rPr>
            </w:pPr>
            <w:r>
              <w:rPr>
                <w:rFonts w:ascii="Arial" w:cs="Arial" w:eastAsia="Arial" w:hAnsi="Arial"/>
                <w:sz w:val="14"/>
                <w:szCs w:val="14"/>
                <w:color w:val="auto"/>
                <w:w w:val="91"/>
              </w:rPr>
              <w:t>54,129,439</w:t>
            </w:r>
          </w:p>
        </w:tc>
        <w:tc>
          <w:tcPr>
            <w:tcW w:w="100" w:type="dxa"/>
            <w:vAlign w:val="bottom"/>
          </w:tcPr>
          <w:p>
            <w:pPr>
              <w:spacing w:after="0"/>
              <w:rPr>
                <w:sz w:val="24"/>
                <w:szCs w:val="24"/>
                <w:color w:val="auto"/>
              </w:rPr>
            </w:pPr>
          </w:p>
        </w:tc>
      </w:tr>
      <w:tr>
        <w:trPr>
          <w:trHeight w:val="342"/>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98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color w:val="auto"/>
                <w:w w:val="91"/>
              </w:rPr>
              <w:t>54,475,302</w:t>
            </w:r>
          </w:p>
        </w:tc>
        <w:tc>
          <w:tcPr>
            <w:tcW w:w="140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w w:val="91"/>
              </w:rPr>
              <w:t>54,844,232</w:t>
            </w:r>
          </w:p>
        </w:tc>
        <w:tc>
          <w:tcPr>
            <w:tcW w:w="114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4"/>
                <w:szCs w:val="14"/>
                <w:color w:val="auto"/>
                <w:w w:val="91"/>
              </w:rPr>
              <w:t>54,790,663</w:t>
            </w:r>
          </w:p>
        </w:tc>
        <w:tc>
          <w:tcPr>
            <w:tcW w:w="1480" w:type="dxa"/>
            <w:vAlign w:val="bottom"/>
            <w:tcBorders>
              <w:bottom w:val="single" w:sz="8" w:color="auto"/>
            </w:tcBorders>
            <w:gridSpan w:val="3"/>
          </w:tcPr>
          <w:p>
            <w:pPr>
              <w:jc w:val="center"/>
              <w:ind w:left="209"/>
              <w:spacing w:after="0"/>
              <w:rPr>
                <w:sz w:val="20"/>
                <w:szCs w:val="20"/>
                <w:color w:val="auto"/>
              </w:rPr>
            </w:pPr>
            <w:r>
              <w:rPr>
                <w:rFonts w:ascii="Arial" w:cs="Arial" w:eastAsia="Arial" w:hAnsi="Arial"/>
                <w:sz w:val="14"/>
                <w:szCs w:val="14"/>
                <w:color w:val="auto"/>
                <w:w w:val="91"/>
              </w:rPr>
              <w:t>54,849,046</w:t>
            </w:r>
          </w:p>
        </w:tc>
        <w:tc>
          <w:tcPr>
            <w:tcW w:w="100" w:type="dxa"/>
            <w:vAlign w:val="bottom"/>
          </w:tcPr>
          <w:p>
            <w:pPr>
              <w:spacing w:after="0"/>
              <w:rPr>
                <w:sz w:val="24"/>
                <w:szCs w:val="24"/>
                <w:color w:val="auto"/>
              </w:rPr>
            </w:pPr>
          </w:p>
        </w:tc>
      </w:tr>
      <w:tr>
        <w:trPr>
          <w:trHeight w:val="302"/>
        </w:trPr>
        <w:tc>
          <w:tcPr>
            <w:tcW w:w="60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r>
        <w:trPr>
          <w:trHeight w:val="20"/>
        </w:trPr>
        <w:tc>
          <w:tcPr>
            <w:tcW w:w="60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20955"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955"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1"/>
          <w:szCs w:val="21"/>
          <w:b w:val="1"/>
          <w:bCs w:val="1"/>
          <w:color w:val="auto"/>
        </w:rPr>
        <w:t>ICON plc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(US GAAP)</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Three and Twelve Months ended December 31, 2018 and December 31, 2017</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(Dollars, in thousands, except share and per share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2440" w:type="dxa"/>
            <w:vAlign w:val="bottom"/>
            <w:gridSpan w:val="2"/>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560" w:type="dxa"/>
            <w:vAlign w:val="bottom"/>
            <w:gridSpan w:val="2"/>
          </w:tcPr>
          <w:p>
            <w:pPr>
              <w:ind w:left="62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5"/>
                <w:szCs w:val="15"/>
                <w:color w:val="auto"/>
              </w:rPr>
            </w:pPr>
          </w:p>
        </w:tc>
      </w:tr>
      <w:tr>
        <w:trPr>
          <w:trHeight w:val="184"/>
        </w:trPr>
        <w:tc>
          <w:tcPr>
            <w:tcW w:w="6060" w:type="dxa"/>
            <w:vAlign w:val="bottom"/>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December</w:t>
            </w: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December</w:t>
            </w: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December</w:t>
            </w: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5"/>
                <w:szCs w:val="15"/>
                <w:color w:val="auto"/>
              </w:rPr>
            </w:pPr>
          </w:p>
        </w:tc>
      </w:tr>
      <w:tr>
        <w:trPr>
          <w:trHeight w:val="168"/>
        </w:trPr>
        <w:tc>
          <w:tcPr>
            <w:tcW w:w="60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31, 2018</w:t>
            </w:r>
          </w:p>
        </w:tc>
        <w:tc>
          <w:tcPr>
            <w:tcW w:w="126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Pr>
          <w:p>
            <w:pPr>
              <w:spacing w:after="0"/>
              <w:rPr>
                <w:sz w:val="14"/>
                <w:szCs w:val="14"/>
                <w:color w:val="auto"/>
              </w:rPr>
            </w:pPr>
          </w:p>
        </w:tc>
      </w:tr>
      <w:tr>
        <w:trPr>
          <w:trHeight w:val="163"/>
        </w:trPr>
        <w:tc>
          <w:tcPr>
            <w:tcW w:w="6060" w:type="dxa"/>
            <w:vAlign w:val="bottom"/>
          </w:tcPr>
          <w:p>
            <w:pPr>
              <w:spacing w:after="0"/>
              <w:rPr>
                <w:sz w:val="20"/>
                <w:szCs w:val="20"/>
                <w:color w:val="auto"/>
              </w:rPr>
            </w:pPr>
            <w:r>
              <w:rPr>
                <w:rFonts w:ascii="Arial" w:cs="Arial" w:eastAsia="Arial" w:hAnsi="Arial"/>
                <w:sz w:val="14"/>
                <w:szCs w:val="14"/>
                <w:b w:val="1"/>
                <w:bCs w:val="1"/>
                <w:color w:val="auto"/>
              </w:rPr>
              <w:t>Revenue:</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6060" w:type="dxa"/>
            <w:vAlign w:val="bottom"/>
          </w:tcPr>
          <w:p>
            <w:pPr>
              <w:ind w:left="460"/>
              <w:spacing w:after="0"/>
              <w:rPr>
                <w:sz w:val="20"/>
                <w:szCs w:val="20"/>
                <w:color w:val="auto"/>
              </w:rPr>
            </w:pPr>
            <w:r>
              <w:rPr>
                <w:rFonts w:ascii="Arial" w:cs="Arial" w:eastAsia="Arial" w:hAnsi="Arial"/>
                <w:sz w:val="14"/>
                <w:szCs w:val="14"/>
                <w:color w:val="auto"/>
              </w:rPr>
              <w:t>Revenue</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679,025</w:t>
            </w: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636,305</w:t>
            </w: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2,595,777</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2,402,321</w:t>
            </w:r>
          </w:p>
        </w:tc>
        <w:tc>
          <w:tcPr>
            <w:tcW w:w="100" w:type="dxa"/>
            <w:vAlign w:val="bottom"/>
          </w:tcPr>
          <w:p>
            <w:pPr>
              <w:spacing w:after="0"/>
              <w:rPr>
                <w:sz w:val="15"/>
                <w:szCs w:val="15"/>
                <w:color w:val="auto"/>
              </w:rPr>
            </w:pPr>
          </w:p>
        </w:tc>
      </w:tr>
      <w:tr>
        <w:trPr>
          <w:trHeight w:val="180"/>
        </w:trPr>
        <w:tc>
          <w:tcPr>
            <w:tcW w:w="60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Reimbursable expenses</w:t>
            </w: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(181,166)</w:t>
            </w:r>
          </w:p>
        </w:tc>
        <w:tc>
          <w:tcPr>
            <w:tcW w:w="1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(643,882)</w:t>
            </w:r>
          </w:p>
        </w:tc>
        <w:tc>
          <w:tcPr>
            <w:tcW w:w="100" w:type="dxa"/>
            <w:vAlign w:val="bottom"/>
          </w:tcPr>
          <w:p>
            <w:pPr>
              <w:spacing w:after="0"/>
              <w:rPr>
                <w:sz w:val="15"/>
                <w:szCs w:val="15"/>
                <w:color w:val="auto"/>
              </w:rPr>
            </w:pPr>
          </w:p>
        </w:tc>
      </w:tr>
      <w:tr>
        <w:trPr>
          <w:trHeight w:val="344"/>
        </w:trPr>
        <w:tc>
          <w:tcPr>
            <w:tcW w:w="6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455,139</w:t>
            </w:r>
          </w:p>
        </w:tc>
        <w:tc>
          <w:tcPr>
            <w:tcW w:w="13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1,758,439</w:t>
            </w:r>
          </w:p>
        </w:tc>
        <w:tc>
          <w:tcPr>
            <w:tcW w:w="100" w:type="dxa"/>
            <w:vAlign w:val="bottom"/>
          </w:tcPr>
          <w:p>
            <w:pPr>
              <w:spacing w:after="0"/>
              <w:rPr>
                <w:sz w:val="24"/>
                <w:szCs w:val="24"/>
                <w:color w:val="auto"/>
              </w:rPr>
            </w:pPr>
          </w:p>
        </w:tc>
      </w:tr>
      <w:tr>
        <w:trPr>
          <w:trHeight w:val="342"/>
        </w:trPr>
        <w:tc>
          <w:tcPr>
            <w:tcW w:w="606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6060" w:type="dxa"/>
            <w:vAlign w:val="bottom"/>
          </w:tcPr>
          <w:p>
            <w:pPr>
              <w:spacing w:after="0"/>
              <w:rPr>
                <w:sz w:val="20"/>
                <w:szCs w:val="20"/>
                <w:color w:val="auto"/>
              </w:rPr>
            </w:pPr>
            <w:r>
              <w:rPr>
                <w:rFonts w:ascii="Arial" w:cs="Arial" w:eastAsia="Arial" w:hAnsi="Arial"/>
                <w:sz w:val="14"/>
                <w:szCs w:val="14"/>
                <w:color w:val="auto"/>
              </w:rPr>
              <w:t>Direct costs</w:t>
            </w: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(479,206)</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(267,135)</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(1,818,220)</w:t>
            </w: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(1,027,310)</w:t>
            </w:r>
          </w:p>
        </w:tc>
        <w:tc>
          <w:tcPr>
            <w:tcW w:w="100" w:type="dxa"/>
            <w:vAlign w:val="bottom"/>
          </w:tcPr>
          <w:p>
            <w:pPr>
              <w:spacing w:after="0"/>
              <w:rPr>
                <w:sz w:val="15"/>
                <w:szCs w:val="15"/>
                <w:color w:val="auto"/>
              </w:rPr>
            </w:pPr>
          </w:p>
        </w:tc>
      </w:tr>
      <w:tr>
        <w:trPr>
          <w:trHeight w:val="174"/>
        </w:trPr>
        <w:tc>
          <w:tcPr>
            <w:tcW w:w="606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(83,124)</w:t>
            </w: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(82,086)</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(325,794)</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(323,741)</w:t>
            </w:r>
          </w:p>
        </w:tc>
        <w:tc>
          <w:tcPr>
            <w:tcW w:w="100" w:type="dxa"/>
            <w:vAlign w:val="bottom"/>
          </w:tcPr>
          <w:p>
            <w:pPr>
              <w:spacing w:after="0"/>
              <w:rPr>
                <w:sz w:val="15"/>
                <w:szCs w:val="15"/>
                <w:color w:val="auto"/>
              </w:rPr>
            </w:pPr>
          </w:p>
        </w:tc>
      </w:tr>
      <w:tr>
        <w:trPr>
          <w:trHeight w:val="174"/>
        </w:trPr>
        <w:tc>
          <w:tcPr>
            <w:tcW w:w="60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(14,910)</w:t>
            </w: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(16,174)</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(65,916)</w:t>
            </w: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(61,297)</w:t>
            </w:r>
          </w:p>
        </w:tc>
        <w:tc>
          <w:tcPr>
            <w:tcW w:w="100" w:type="dxa"/>
            <w:vAlign w:val="bottom"/>
          </w:tcPr>
          <w:p>
            <w:pPr>
              <w:spacing w:after="0"/>
              <w:rPr>
                <w:sz w:val="15"/>
                <w:szCs w:val="15"/>
                <w:color w:val="auto"/>
              </w:rPr>
            </w:pPr>
          </w:p>
        </w:tc>
      </w:tr>
      <w:tr>
        <w:trPr>
          <w:trHeight w:val="180"/>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costs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(12,490)</w:t>
            </w:r>
          </w:p>
        </w:tc>
        <w:tc>
          <w:tcPr>
            <w:tcW w:w="126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w w:val="94"/>
              </w:rPr>
              <w:t>(7,753)</w:t>
            </w:r>
          </w:p>
        </w:tc>
        <w:tc>
          <w:tcPr>
            <w:tcW w:w="100" w:type="dxa"/>
            <w:vAlign w:val="bottom"/>
          </w:tcPr>
          <w:p>
            <w:pPr>
              <w:spacing w:after="0"/>
              <w:rPr>
                <w:sz w:val="15"/>
                <w:szCs w:val="15"/>
                <w:color w:val="auto"/>
              </w:rPr>
            </w:pPr>
          </w:p>
        </w:tc>
      </w:tr>
      <w:tr>
        <w:trPr>
          <w:trHeight w:val="342"/>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(577,240)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(365,395)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(2,222,420)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(1,420,101)</w:t>
            </w:r>
          </w:p>
        </w:tc>
        <w:tc>
          <w:tcPr>
            <w:tcW w:w="100" w:type="dxa"/>
            <w:vAlign w:val="bottom"/>
          </w:tcPr>
          <w:p>
            <w:pPr>
              <w:spacing w:after="0"/>
              <w:rPr>
                <w:sz w:val="24"/>
                <w:szCs w:val="24"/>
                <w:color w:val="auto"/>
              </w:rPr>
            </w:pPr>
          </w:p>
        </w:tc>
      </w:tr>
      <w:tr>
        <w:trPr>
          <w:trHeight w:val="344"/>
        </w:trPr>
        <w:tc>
          <w:tcPr>
            <w:tcW w:w="60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101,785</w:t>
            </w:r>
          </w:p>
        </w:tc>
        <w:tc>
          <w:tcPr>
            <w:tcW w:w="1260" w:type="dxa"/>
            <w:vAlign w:val="bottom"/>
          </w:tcPr>
          <w:p>
            <w:pPr>
              <w:jc w:val="center"/>
              <w:spacing w:after="0"/>
              <w:rPr>
                <w:sz w:val="20"/>
                <w:szCs w:val="20"/>
                <w:color w:val="auto"/>
              </w:rPr>
            </w:pPr>
            <w:r>
              <w:rPr>
                <w:rFonts w:ascii="Arial" w:cs="Arial" w:eastAsia="Arial" w:hAnsi="Arial"/>
                <w:sz w:val="14"/>
                <w:szCs w:val="14"/>
                <w:color w:val="auto"/>
                <w:w w:val="88"/>
              </w:rPr>
              <w:t>89,744</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373,357</w:t>
            </w:r>
          </w:p>
        </w:tc>
        <w:tc>
          <w:tcPr>
            <w:tcW w:w="1260" w:type="dxa"/>
            <w:vAlign w:val="bottom"/>
          </w:tcPr>
          <w:p>
            <w:pPr>
              <w:jc w:val="center"/>
              <w:ind w:left="9"/>
              <w:spacing w:after="0"/>
              <w:rPr>
                <w:sz w:val="20"/>
                <w:szCs w:val="20"/>
                <w:color w:val="auto"/>
              </w:rPr>
            </w:pPr>
            <w:r>
              <w:rPr>
                <w:rFonts w:ascii="Arial" w:cs="Arial" w:eastAsia="Arial" w:hAnsi="Arial"/>
                <w:sz w:val="14"/>
                <w:szCs w:val="14"/>
                <w:color w:val="auto"/>
                <w:w w:val="90"/>
              </w:rPr>
              <w:t>338,338</w:t>
            </w:r>
          </w:p>
        </w:tc>
        <w:tc>
          <w:tcPr>
            <w:tcW w:w="100" w:type="dxa"/>
            <w:vAlign w:val="bottom"/>
          </w:tcPr>
          <w:p>
            <w:pPr>
              <w:spacing w:after="0"/>
              <w:rPr>
                <w:sz w:val="24"/>
                <w:szCs w:val="24"/>
                <w:color w:val="auto"/>
              </w:rPr>
            </w:pPr>
          </w:p>
        </w:tc>
      </w:tr>
      <w:tr>
        <w:trPr>
          <w:trHeight w:val="347"/>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(1,599)</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(2,512)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(8,743)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(10,281)</w:t>
            </w:r>
          </w:p>
        </w:tc>
        <w:tc>
          <w:tcPr>
            <w:tcW w:w="100" w:type="dxa"/>
            <w:vAlign w:val="bottom"/>
          </w:tcPr>
          <w:p>
            <w:pPr>
              <w:spacing w:after="0"/>
              <w:rPr>
                <w:sz w:val="24"/>
                <w:szCs w:val="24"/>
                <w:color w:val="auto"/>
              </w:rPr>
            </w:pPr>
          </w:p>
        </w:tc>
      </w:tr>
      <w:tr>
        <w:trPr>
          <w:trHeight w:val="344"/>
        </w:trPr>
        <w:tc>
          <w:tcPr>
            <w:tcW w:w="606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100,186</w:t>
            </w:r>
          </w:p>
        </w:tc>
        <w:tc>
          <w:tcPr>
            <w:tcW w:w="1260" w:type="dxa"/>
            <w:vAlign w:val="bottom"/>
          </w:tcPr>
          <w:p>
            <w:pPr>
              <w:jc w:val="center"/>
              <w:spacing w:after="0"/>
              <w:rPr>
                <w:sz w:val="20"/>
                <w:szCs w:val="20"/>
                <w:color w:val="auto"/>
              </w:rPr>
            </w:pPr>
            <w:r>
              <w:rPr>
                <w:rFonts w:ascii="Arial" w:cs="Arial" w:eastAsia="Arial" w:hAnsi="Arial"/>
                <w:sz w:val="14"/>
                <w:szCs w:val="14"/>
                <w:color w:val="auto"/>
                <w:w w:val="88"/>
              </w:rPr>
              <w:t>87,232</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364,614</w:t>
            </w:r>
          </w:p>
        </w:tc>
        <w:tc>
          <w:tcPr>
            <w:tcW w:w="1260" w:type="dxa"/>
            <w:vAlign w:val="bottom"/>
          </w:tcPr>
          <w:p>
            <w:pPr>
              <w:jc w:val="center"/>
              <w:ind w:left="9"/>
              <w:spacing w:after="0"/>
              <w:rPr>
                <w:sz w:val="20"/>
                <w:szCs w:val="20"/>
                <w:color w:val="auto"/>
              </w:rPr>
            </w:pPr>
            <w:r>
              <w:rPr>
                <w:rFonts w:ascii="Arial" w:cs="Arial" w:eastAsia="Arial" w:hAnsi="Arial"/>
                <w:sz w:val="14"/>
                <w:szCs w:val="14"/>
                <w:color w:val="auto"/>
                <w:w w:val="90"/>
              </w:rPr>
              <w:t>328,057</w:t>
            </w:r>
          </w:p>
        </w:tc>
        <w:tc>
          <w:tcPr>
            <w:tcW w:w="100" w:type="dxa"/>
            <w:vAlign w:val="bottom"/>
          </w:tcPr>
          <w:p>
            <w:pPr>
              <w:spacing w:after="0"/>
              <w:rPr>
                <w:sz w:val="24"/>
                <w:szCs w:val="24"/>
                <w:color w:val="auto"/>
              </w:rPr>
            </w:pPr>
          </w:p>
        </w:tc>
      </w:tr>
      <w:tr>
        <w:trPr>
          <w:trHeight w:val="347"/>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(12,023)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(16,124)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(41,958)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(46,569)</w:t>
            </w:r>
          </w:p>
        </w:tc>
        <w:tc>
          <w:tcPr>
            <w:tcW w:w="100" w:type="dxa"/>
            <w:vAlign w:val="bottom"/>
          </w:tcPr>
          <w:p>
            <w:pPr>
              <w:spacing w:after="0"/>
              <w:rPr>
                <w:sz w:val="24"/>
                <w:szCs w:val="24"/>
                <w:color w:val="auto"/>
              </w:rPr>
            </w:pPr>
          </w:p>
        </w:tc>
      </w:tr>
      <w:tr>
        <w:trPr>
          <w:trHeight w:val="342"/>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88,163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71,108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322,656</w:t>
            </w:r>
          </w:p>
        </w:tc>
        <w:tc>
          <w:tcPr>
            <w:tcW w:w="126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w w:val="90"/>
              </w:rPr>
              <w:t>281,488</w:t>
            </w:r>
          </w:p>
        </w:tc>
        <w:tc>
          <w:tcPr>
            <w:tcW w:w="100" w:type="dxa"/>
            <w:vAlign w:val="bottom"/>
          </w:tcPr>
          <w:p>
            <w:pPr>
              <w:spacing w:after="0"/>
              <w:rPr>
                <w:sz w:val="24"/>
                <w:szCs w:val="24"/>
                <w:color w:val="auto"/>
              </w:rPr>
            </w:pPr>
          </w:p>
        </w:tc>
      </w:tr>
      <w:tr>
        <w:trPr>
          <w:trHeight w:val="344"/>
        </w:trPr>
        <w:tc>
          <w:tcPr>
            <w:tcW w:w="606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7"/>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$1.63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$1.31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$5.96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$5.20</w:t>
            </w:r>
          </w:p>
        </w:tc>
        <w:tc>
          <w:tcPr>
            <w:tcW w:w="100" w:type="dxa"/>
            <w:vAlign w:val="bottom"/>
          </w:tcPr>
          <w:p>
            <w:pPr>
              <w:spacing w:after="0"/>
              <w:rPr>
                <w:sz w:val="24"/>
                <w:szCs w:val="24"/>
                <w:color w:val="auto"/>
              </w:rPr>
            </w:pPr>
          </w:p>
        </w:tc>
      </w:tr>
      <w:tr>
        <w:trPr>
          <w:trHeight w:val="342"/>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$1.62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$1.30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$5.89</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$5.13</w:t>
            </w:r>
          </w:p>
        </w:tc>
        <w:tc>
          <w:tcPr>
            <w:tcW w:w="100" w:type="dxa"/>
            <w:vAlign w:val="bottom"/>
          </w:tcPr>
          <w:p>
            <w:pPr>
              <w:spacing w:after="0"/>
              <w:rPr>
                <w:sz w:val="24"/>
                <w:szCs w:val="24"/>
                <w:color w:val="auto"/>
              </w:rPr>
            </w:pPr>
          </w:p>
        </w:tc>
      </w:tr>
      <w:tr>
        <w:trPr>
          <w:trHeight w:val="344"/>
        </w:trPr>
        <w:tc>
          <w:tcPr>
            <w:tcW w:w="606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7"/>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54,071,137</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54,187,688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54,118,764</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54,129,439</w:t>
            </w:r>
          </w:p>
        </w:tc>
        <w:tc>
          <w:tcPr>
            <w:tcW w:w="100" w:type="dxa"/>
            <w:vAlign w:val="bottom"/>
          </w:tcPr>
          <w:p>
            <w:pPr>
              <w:spacing w:after="0"/>
              <w:rPr>
                <w:sz w:val="24"/>
                <w:szCs w:val="24"/>
                <w:color w:val="auto"/>
              </w:rPr>
            </w:pPr>
          </w:p>
        </w:tc>
      </w:tr>
      <w:tr>
        <w:trPr>
          <w:trHeight w:val="342"/>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54,475,302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54,844,232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54,790,663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54,849,046</w:t>
            </w:r>
          </w:p>
        </w:tc>
        <w:tc>
          <w:tcPr>
            <w:tcW w:w="100" w:type="dxa"/>
            <w:vAlign w:val="bottom"/>
          </w:tcPr>
          <w:p>
            <w:pPr>
              <w:spacing w:after="0"/>
              <w:rPr>
                <w:sz w:val="24"/>
                <w:szCs w:val="24"/>
                <w:color w:val="auto"/>
              </w:rPr>
            </w:pPr>
          </w:p>
        </w:tc>
      </w:tr>
      <w:tr>
        <w:trPr>
          <w:trHeight w:val="302"/>
        </w:trPr>
        <w:tc>
          <w:tcPr>
            <w:tcW w:w="60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r>
        <w:trPr>
          <w:trHeight w:val="20"/>
        </w:trPr>
        <w:tc>
          <w:tcPr>
            <w:tcW w:w="60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20955"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55"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1"/>
          <w:szCs w:val="21"/>
          <w:b w:val="1"/>
          <w:bCs w:val="1"/>
          <w:color w:val="auto"/>
        </w:rPr>
        <w:t>ICON plc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Impact of the adoption of ASC 606 on revenue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Three and Twelve Months ended December 31, 2018 and December 31, 2017</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(Dollars, in thousands)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20" w:type="dxa"/>
            <w:vAlign w:val="bottom"/>
            <w:gridSpan w:val="2"/>
          </w:tcPr>
          <w:p>
            <w:pPr>
              <w:jc w:val="right"/>
              <w:ind w:right="1649"/>
              <w:spacing w:after="0"/>
              <w:rPr>
                <w:sz w:val="20"/>
                <w:szCs w:val="20"/>
                <w:color w:val="auto"/>
              </w:rPr>
            </w:pPr>
            <w:r>
              <w:rPr>
                <w:rFonts w:ascii="Arial" w:cs="Arial" w:eastAsia="Arial" w:hAnsi="Arial"/>
                <w:sz w:val="14"/>
                <w:szCs w:val="14"/>
                <w:b w:val="1"/>
                <w:bCs w:val="1"/>
                <w:color w:val="auto"/>
              </w:rPr>
              <w:t>Three Months Ended December 31, 2018</w:t>
            </w:r>
          </w:p>
        </w:tc>
        <w:tc>
          <w:tcPr>
            <w:tcW w:w="3260" w:type="dxa"/>
            <w:vAlign w:val="bottom"/>
          </w:tcPr>
          <w:p>
            <w:pPr>
              <w:jc w:val="right"/>
              <w:ind w:right="289"/>
              <w:spacing w:after="0"/>
              <w:rPr>
                <w:sz w:val="20"/>
                <w:szCs w:val="20"/>
                <w:color w:val="auto"/>
              </w:rPr>
            </w:pPr>
            <w:r>
              <w:rPr>
                <w:rFonts w:ascii="Arial" w:cs="Arial" w:eastAsia="Arial" w:hAnsi="Arial"/>
                <w:sz w:val="14"/>
                <w:szCs w:val="14"/>
                <w:b w:val="1"/>
                <w:bCs w:val="1"/>
                <w:color w:val="auto"/>
              </w:rPr>
              <w:t>Three Months, Ended December 31, 2017</w:t>
            </w:r>
          </w:p>
        </w:tc>
      </w:tr>
      <w:tr>
        <w:trPr>
          <w:trHeight w:val="468"/>
        </w:trPr>
        <w:tc>
          <w:tcPr>
            <w:tcW w:w="1960" w:type="dxa"/>
            <w:vAlign w:val="bottom"/>
          </w:tcPr>
          <w:p>
            <w:pPr>
              <w:spacing w:after="0"/>
              <w:rPr>
                <w:sz w:val="24"/>
                <w:szCs w:val="24"/>
                <w:color w:val="auto"/>
              </w:rPr>
            </w:pPr>
          </w:p>
        </w:tc>
        <w:tc>
          <w:tcPr>
            <w:tcW w:w="10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As Reported</w:t>
            </w:r>
          </w:p>
        </w:tc>
        <w:tc>
          <w:tcPr>
            <w:tcW w:w="1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ASC 606 Adjustments</w:t>
            </w:r>
          </w:p>
        </w:tc>
        <w:tc>
          <w:tcPr>
            <w:tcW w:w="30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Balances without adoption of ASC 606</w:t>
            </w:r>
          </w:p>
        </w:tc>
        <w:tc>
          <w:tcPr>
            <w:tcW w:w="3260" w:type="dxa"/>
            <w:vAlign w:val="bottom"/>
            <w:tcBorders>
              <w:bottom w:val="single" w:sz="8" w:color="auto"/>
            </w:tcBorders>
          </w:tcPr>
          <w:p>
            <w:pPr>
              <w:jc w:val="right"/>
              <w:ind w:right="1169"/>
              <w:spacing w:after="0"/>
              <w:rPr>
                <w:sz w:val="20"/>
                <w:szCs w:val="20"/>
                <w:color w:val="auto"/>
              </w:rPr>
            </w:pPr>
            <w:r>
              <w:rPr>
                <w:rFonts w:ascii="Arial" w:cs="Arial" w:eastAsia="Arial" w:hAnsi="Arial"/>
                <w:sz w:val="14"/>
                <w:szCs w:val="14"/>
                <w:b w:val="1"/>
                <w:bCs w:val="1"/>
                <w:color w:val="auto"/>
              </w:rPr>
              <w:t>As Reported</w:t>
            </w:r>
          </w:p>
        </w:tc>
      </w:tr>
      <w:tr>
        <w:trPr>
          <w:trHeight w:val="163"/>
        </w:trPr>
        <w:tc>
          <w:tcPr>
            <w:tcW w:w="1960" w:type="dxa"/>
            <w:vAlign w:val="bottom"/>
          </w:tcPr>
          <w:p>
            <w:pPr>
              <w:spacing w:after="0"/>
              <w:rPr>
                <w:sz w:val="20"/>
                <w:szCs w:val="20"/>
                <w:color w:val="auto"/>
              </w:rPr>
            </w:pPr>
            <w:r>
              <w:rPr>
                <w:rFonts w:ascii="Arial" w:cs="Arial" w:eastAsia="Arial" w:hAnsi="Arial"/>
                <w:sz w:val="14"/>
                <w:szCs w:val="14"/>
                <w:b w:val="1"/>
                <w:bCs w:val="1"/>
                <w:color w:val="auto"/>
              </w:rPr>
              <w:t>Revenue:</w:t>
            </w:r>
          </w:p>
        </w:tc>
        <w:tc>
          <w:tcPr>
            <w:tcW w:w="1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74"/>
        </w:trPr>
        <w:tc>
          <w:tcPr>
            <w:tcW w:w="1960" w:type="dxa"/>
            <w:vAlign w:val="bottom"/>
          </w:tcPr>
          <w:p>
            <w:pPr>
              <w:ind w:left="140"/>
              <w:spacing w:after="0"/>
              <w:rPr>
                <w:sz w:val="20"/>
                <w:szCs w:val="20"/>
                <w:color w:val="auto"/>
              </w:rPr>
            </w:pPr>
            <w:r>
              <w:rPr>
                <w:rFonts w:ascii="Arial" w:cs="Arial" w:eastAsia="Arial" w:hAnsi="Arial"/>
                <w:sz w:val="14"/>
                <w:szCs w:val="14"/>
                <w:color w:val="auto"/>
              </w:rPr>
              <w:t>Revenue</w:t>
            </w:r>
          </w:p>
        </w:tc>
        <w:tc>
          <w:tcPr>
            <w:tcW w:w="1060" w:type="dxa"/>
            <w:vAlign w:val="bottom"/>
          </w:tcPr>
          <w:p>
            <w:pPr>
              <w:jc w:val="center"/>
              <w:ind w:right="9"/>
              <w:spacing w:after="0"/>
              <w:rPr>
                <w:sz w:val="20"/>
                <w:szCs w:val="20"/>
                <w:color w:val="auto"/>
              </w:rPr>
            </w:pPr>
            <w:r>
              <w:rPr>
                <w:rFonts w:ascii="Arial" w:cs="Arial" w:eastAsia="Arial" w:hAnsi="Arial"/>
                <w:sz w:val="14"/>
                <w:szCs w:val="14"/>
                <w:color w:val="auto"/>
                <w:w w:val="90"/>
              </w:rPr>
              <w:t>679,025</w:t>
            </w:r>
          </w:p>
        </w:tc>
        <w:tc>
          <w:tcPr>
            <w:tcW w:w="1820" w:type="dxa"/>
            <w:vAlign w:val="bottom"/>
          </w:tcPr>
          <w:p>
            <w:pPr>
              <w:jc w:val="center"/>
              <w:ind w:right="9"/>
              <w:spacing w:after="0"/>
              <w:rPr>
                <w:sz w:val="20"/>
                <w:szCs w:val="20"/>
                <w:color w:val="auto"/>
              </w:rPr>
            </w:pPr>
            <w:r>
              <w:rPr>
                <w:rFonts w:ascii="Arial" w:cs="Arial" w:eastAsia="Arial" w:hAnsi="Arial"/>
                <w:sz w:val="14"/>
                <w:szCs w:val="14"/>
                <w:color w:val="auto"/>
                <w:w w:val="94"/>
              </w:rPr>
              <w:t>790</w:t>
            </w:r>
          </w:p>
        </w:tc>
        <w:tc>
          <w:tcPr>
            <w:tcW w:w="3000" w:type="dxa"/>
            <w:vAlign w:val="bottom"/>
          </w:tcPr>
          <w:p>
            <w:pPr>
              <w:jc w:val="right"/>
              <w:ind w:right="1229"/>
              <w:spacing w:after="0"/>
              <w:rPr>
                <w:sz w:val="20"/>
                <w:szCs w:val="20"/>
                <w:color w:val="auto"/>
              </w:rPr>
            </w:pPr>
            <w:r>
              <w:rPr>
                <w:rFonts w:ascii="Arial" w:cs="Arial" w:eastAsia="Arial" w:hAnsi="Arial"/>
                <w:sz w:val="14"/>
                <w:szCs w:val="14"/>
                <w:color w:val="auto"/>
              </w:rPr>
              <w:t>679,815</w:t>
            </w:r>
          </w:p>
        </w:tc>
        <w:tc>
          <w:tcPr>
            <w:tcW w:w="3260" w:type="dxa"/>
            <w:vAlign w:val="bottom"/>
          </w:tcPr>
          <w:p>
            <w:pPr>
              <w:jc w:val="right"/>
              <w:ind w:right="1309"/>
              <w:spacing w:after="0"/>
              <w:rPr>
                <w:sz w:val="20"/>
                <w:szCs w:val="20"/>
                <w:color w:val="auto"/>
              </w:rPr>
            </w:pPr>
            <w:r>
              <w:rPr>
                <w:rFonts w:ascii="Arial" w:cs="Arial" w:eastAsia="Arial" w:hAnsi="Arial"/>
                <w:sz w:val="14"/>
                <w:szCs w:val="14"/>
                <w:color w:val="auto"/>
              </w:rPr>
              <w:t>636,305</w:t>
            </w:r>
          </w:p>
        </w:tc>
      </w:tr>
      <w:tr>
        <w:trPr>
          <w:trHeight w:val="180"/>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Reimbursable expenses</w:t>
            </w:r>
          </w:p>
        </w:tc>
        <w:tc>
          <w:tcPr>
            <w:tcW w:w="10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(195,105)</w:t>
            </w:r>
          </w:p>
        </w:tc>
        <w:tc>
          <w:tcPr>
            <w:tcW w:w="3000" w:type="dxa"/>
            <w:vAlign w:val="bottom"/>
            <w:tcBorders>
              <w:bottom w:val="single" w:sz="8" w:color="auto"/>
            </w:tcBorders>
          </w:tcPr>
          <w:p>
            <w:pPr>
              <w:jc w:val="right"/>
              <w:ind w:right="1169"/>
              <w:spacing w:after="0"/>
              <w:rPr>
                <w:sz w:val="20"/>
                <w:szCs w:val="20"/>
                <w:color w:val="auto"/>
              </w:rPr>
            </w:pPr>
            <w:r>
              <w:rPr>
                <w:rFonts w:ascii="Arial" w:cs="Arial" w:eastAsia="Arial" w:hAnsi="Arial"/>
                <w:sz w:val="14"/>
                <w:szCs w:val="14"/>
                <w:color w:val="auto"/>
              </w:rPr>
              <w:t>(195,105)</w:t>
            </w:r>
          </w:p>
        </w:tc>
        <w:tc>
          <w:tcPr>
            <w:tcW w:w="3260" w:type="dxa"/>
            <w:vAlign w:val="bottom"/>
            <w:tcBorders>
              <w:bottom w:val="single" w:sz="8" w:color="auto"/>
            </w:tcBorders>
          </w:tcPr>
          <w:p>
            <w:pPr>
              <w:jc w:val="right"/>
              <w:ind w:right="1269"/>
              <w:spacing w:after="0"/>
              <w:rPr>
                <w:sz w:val="20"/>
                <w:szCs w:val="20"/>
                <w:color w:val="auto"/>
              </w:rPr>
            </w:pPr>
            <w:r>
              <w:rPr>
                <w:rFonts w:ascii="Arial" w:cs="Arial" w:eastAsia="Arial" w:hAnsi="Arial"/>
                <w:sz w:val="14"/>
                <w:szCs w:val="14"/>
                <w:color w:val="auto"/>
              </w:rPr>
              <w:t>(181,166)</w:t>
            </w:r>
          </w:p>
        </w:tc>
      </w:tr>
      <w:tr>
        <w:trPr>
          <w:trHeight w:val="168"/>
        </w:trPr>
        <w:tc>
          <w:tcPr>
            <w:tcW w:w="1960" w:type="dxa"/>
            <w:vAlign w:val="bottom"/>
          </w:tcPr>
          <w:p>
            <w:pPr>
              <w:spacing w:after="0"/>
              <w:rPr>
                <w:sz w:val="14"/>
                <w:szCs w:val="14"/>
                <w:color w:val="auto"/>
              </w:rPr>
            </w:pPr>
          </w:p>
        </w:tc>
        <w:tc>
          <w:tcPr>
            <w:tcW w:w="10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0"/>
              </w:rPr>
              <w:t>679,025</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(194,315)</w:t>
            </w:r>
          </w:p>
        </w:tc>
        <w:tc>
          <w:tcPr>
            <w:tcW w:w="3000" w:type="dxa"/>
            <w:vAlign w:val="bottom"/>
            <w:tcBorders>
              <w:bottom w:val="single" w:sz="8" w:color="auto"/>
            </w:tcBorders>
          </w:tcPr>
          <w:p>
            <w:pPr>
              <w:jc w:val="right"/>
              <w:ind w:right="1229"/>
              <w:spacing w:after="0"/>
              <w:rPr>
                <w:sz w:val="20"/>
                <w:szCs w:val="20"/>
                <w:color w:val="auto"/>
              </w:rPr>
            </w:pPr>
            <w:r>
              <w:rPr>
                <w:rFonts w:ascii="Arial" w:cs="Arial" w:eastAsia="Arial" w:hAnsi="Arial"/>
                <w:sz w:val="14"/>
                <w:szCs w:val="14"/>
                <w:b w:val="1"/>
                <w:bCs w:val="1"/>
                <w:color w:val="auto"/>
              </w:rPr>
              <w:t>484,710</w:t>
            </w:r>
          </w:p>
        </w:tc>
        <w:tc>
          <w:tcPr>
            <w:tcW w:w="3260" w:type="dxa"/>
            <w:vAlign w:val="bottom"/>
            <w:tcBorders>
              <w:bottom w:val="single" w:sz="8" w:color="auto"/>
            </w:tcBorders>
          </w:tcPr>
          <w:p>
            <w:pPr>
              <w:jc w:val="right"/>
              <w:ind w:right="1309"/>
              <w:spacing w:after="0"/>
              <w:rPr>
                <w:sz w:val="20"/>
                <w:szCs w:val="20"/>
                <w:color w:val="auto"/>
              </w:rPr>
            </w:pPr>
            <w:r>
              <w:rPr>
                <w:rFonts w:ascii="Arial" w:cs="Arial" w:eastAsia="Arial" w:hAnsi="Arial"/>
                <w:sz w:val="14"/>
                <w:szCs w:val="14"/>
                <w:b w:val="1"/>
                <w:bCs w:val="1"/>
                <w:color w:val="auto"/>
              </w:rPr>
              <w:t>455,139</w:t>
            </w:r>
          </w:p>
        </w:tc>
      </w:tr>
      <w:tr>
        <w:trPr>
          <w:trHeight w:val="20"/>
        </w:trPr>
        <w:tc>
          <w:tcPr>
            <w:tcW w:w="1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0" w:type="dxa"/>
            <w:vAlign w:val="bottom"/>
            <w:gridSpan w:val="2"/>
          </w:tcPr>
          <w:p>
            <w:pPr>
              <w:ind w:left="560"/>
              <w:spacing w:after="0"/>
              <w:rPr>
                <w:sz w:val="20"/>
                <w:szCs w:val="20"/>
                <w:color w:val="auto"/>
              </w:rPr>
            </w:pPr>
            <w:r>
              <w:rPr>
                <w:rFonts w:ascii="Arial" w:cs="Arial" w:eastAsia="Arial" w:hAnsi="Arial"/>
                <w:sz w:val="14"/>
                <w:szCs w:val="14"/>
                <w:b w:val="1"/>
                <w:bCs w:val="1"/>
                <w:color w:val="auto"/>
              </w:rPr>
              <w:t>Twelve Months Ended December 31, 2018</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Twelve Months, Ended December 31, 2017</w:t>
            </w:r>
          </w:p>
        </w:tc>
        <w:tc>
          <w:tcPr>
            <w:tcW w:w="60" w:type="dxa"/>
            <w:vAlign w:val="bottom"/>
          </w:tcPr>
          <w:p>
            <w:pPr>
              <w:spacing w:after="0"/>
              <w:rPr>
                <w:sz w:val="16"/>
                <w:szCs w:val="16"/>
                <w:color w:val="auto"/>
              </w:rPr>
            </w:pPr>
          </w:p>
        </w:tc>
      </w:tr>
      <w:tr>
        <w:trPr>
          <w:trHeight w:val="468"/>
        </w:trPr>
        <w:tc>
          <w:tcPr>
            <w:tcW w:w="1940" w:type="dxa"/>
            <w:vAlign w:val="bottom"/>
          </w:tcPr>
          <w:p>
            <w:pPr>
              <w:spacing w:after="0"/>
              <w:rPr>
                <w:sz w:val="24"/>
                <w:szCs w:val="24"/>
                <w:color w:val="auto"/>
              </w:rPr>
            </w:pPr>
          </w:p>
        </w:tc>
        <w:tc>
          <w:tcPr>
            <w:tcW w:w="10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1"/>
              </w:rPr>
              <w:t>As Reported</w:t>
            </w:r>
          </w:p>
        </w:tc>
        <w:tc>
          <w:tcPr>
            <w:tcW w:w="1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ASC 606 Adjustments</w:t>
            </w:r>
          </w:p>
        </w:tc>
        <w:tc>
          <w:tcPr>
            <w:tcW w:w="29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1"/>
              </w:rPr>
              <w:t>Balances without adoption of ASC 606</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60" w:type="dxa"/>
            <w:vAlign w:val="bottom"/>
          </w:tcPr>
          <w:p>
            <w:pPr>
              <w:spacing w:after="0"/>
              <w:rPr>
                <w:sz w:val="24"/>
                <w:szCs w:val="24"/>
                <w:color w:val="auto"/>
              </w:rPr>
            </w:pPr>
          </w:p>
        </w:tc>
      </w:tr>
      <w:tr>
        <w:trPr>
          <w:trHeight w:val="163"/>
        </w:trPr>
        <w:tc>
          <w:tcPr>
            <w:tcW w:w="1940" w:type="dxa"/>
            <w:vAlign w:val="bottom"/>
          </w:tcPr>
          <w:p>
            <w:pPr>
              <w:spacing w:after="0"/>
              <w:rPr>
                <w:sz w:val="20"/>
                <w:szCs w:val="20"/>
                <w:color w:val="auto"/>
              </w:rPr>
            </w:pPr>
            <w:r>
              <w:rPr>
                <w:rFonts w:ascii="Arial" w:cs="Arial" w:eastAsia="Arial" w:hAnsi="Arial"/>
                <w:sz w:val="14"/>
                <w:szCs w:val="14"/>
                <w:b w:val="1"/>
                <w:bCs w:val="1"/>
                <w:color w:val="auto"/>
              </w:rPr>
              <w:t>Revenue:</w:t>
            </w:r>
          </w:p>
        </w:tc>
        <w:tc>
          <w:tcPr>
            <w:tcW w:w="1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940" w:type="dxa"/>
            <w:vAlign w:val="bottom"/>
          </w:tcPr>
          <w:p>
            <w:pPr>
              <w:ind w:left="140"/>
              <w:spacing w:after="0"/>
              <w:rPr>
                <w:sz w:val="20"/>
                <w:szCs w:val="20"/>
                <w:color w:val="auto"/>
              </w:rPr>
            </w:pPr>
            <w:r>
              <w:rPr>
                <w:rFonts w:ascii="Arial" w:cs="Arial" w:eastAsia="Arial" w:hAnsi="Arial"/>
                <w:sz w:val="14"/>
                <w:szCs w:val="14"/>
                <w:color w:val="auto"/>
              </w:rPr>
              <w:t>Revenue</w:t>
            </w:r>
          </w:p>
        </w:tc>
        <w:tc>
          <w:tcPr>
            <w:tcW w:w="1040" w:type="dxa"/>
            <w:vAlign w:val="bottom"/>
          </w:tcPr>
          <w:p>
            <w:pPr>
              <w:jc w:val="center"/>
              <w:ind w:right="9"/>
              <w:spacing w:after="0"/>
              <w:rPr>
                <w:sz w:val="20"/>
                <w:szCs w:val="20"/>
                <w:color w:val="auto"/>
              </w:rPr>
            </w:pPr>
            <w:r>
              <w:rPr>
                <w:rFonts w:ascii="Arial" w:cs="Arial" w:eastAsia="Arial" w:hAnsi="Arial"/>
                <w:sz w:val="14"/>
                <w:szCs w:val="14"/>
                <w:color w:val="auto"/>
                <w:w w:val="89"/>
              </w:rPr>
              <w:t>2,595,777</w:t>
            </w:r>
          </w:p>
        </w:tc>
        <w:tc>
          <w:tcPr>
            <w:tcW w:w="1820" w:type="dxa"/>
            <w:vAlign w:val="bottom"/>
          </w:tcPr>
          <w:p>
            <w:pPr>
              <w:jc w:val="center"/>
              <w:ind w:right="29"/>
              <w:spacing w:after="0"/>
              <w:rPr>
                <w:sz w:val="20"/>
                <w:szCs w:val="20"/>
                <w:color w:val="auto"/>
              </w:rPr>
            </w:pPr>
            <w:r>
              <w:rPr>
                <w:rFonts w:ascii="Arial" w:cs="Arial" w:eastAsia="Arial" w:hAnsi="Arial"/>
                <w:sz w:val="14"/>
                <w:szCs w:val="14"/>
                <w:color w:val="auto"/>
                <w:w w:val="91"/>
              </w:rPr>
              <w:t>4,657</w:t>
            </w:r>
          </w:p>
        </w:tc>
        <w:tc>
          <w:tcPr>
            <w:tcW w:w="2980" w:type="dxa"/>
            <w:vAlign w:val="bottom"/>
          </w:tcPr>
          <w:p>
            <w:pPr>
              <w:jc w:val="center"/>
              <w:ind w:right="9"/>
              <w:spacing w:after="0"/>
              <w:rPr>
                <w:sz w:val="20"/>
                <w:szCs w:val="20"/>
                <w:color w:val="auto"/>
              </w:rPr>
            </w:pPr>
            <w:r>
              <w:rPr>
                <w:rFonts w:ascii="Arial" w:cs="Arial" w:eastAsia="Arial" w:hAnsi="Arial"/>
                <w:sz w:val="14"/>
                <w:szCs w:val="14"/>
                <w:color w:val="auto"/>
                <w:w w:val="93"/>
              </w:rPr>
              <w:t>2,600,434</w:t>
            </w:r>
          </w:p>
        </w:tc>
        <w:tc>
          <w:tcPr>
            <w:tcW w:w="3320" w:type="dxa"/>
            <w:vAlign w:val="bottom"/>
          </w:tcPr>
          <w:p>
            <w:pPr>
              <w:jc w:val="center"/>
              <w:spacing w:after="0"/>
              <w:rPr>
                <w:sz w:val="20"/>
                <w:szCs w:val="20"/>
                <w:color w:val="auto"/>
              </w:rPr>
            </w:pPr>
            <w:r>
              <w:rPr>
                <w:rFonts w:ascii="Arial" w:cs="Arial" w:eastAsia="Arial" w:hAnsi="Arial"/>
                <w:sz w:val="14"/>
                <w:szCs w:val="14"/>
                <w:color w:val="auto"/>
                <w:w w:val="93"/>
              </w:rPr>
              <w:t>2,402,321</w:t>
            </w:r>
          </w:p>
        </w:tc>
        <w:tc>
          <w:tcPr>
            <w:tcW w:w="60" w:type="dxa"/>
            <w:vAlign w:val="bottom"/>
          </w:tcPr>
          <w:p>
            <w:pPr>
              <w:spacing w:after="0"/>
              <w:rPr>
                <w:sz w:val="15"/>
                <w:szCs w:val="15"/>
                <w:color w:val="auto"/>
              </w:rPr>
            </w:pPr>
          </w:p>
        </w:tc>
      </w:tr>
      <w:tr>
        <w:trPr>
          <w:trHeight w:val="180"/>
        </w:trPr>
        <w:tc>
          <w:tcPr>
            <w:tcW w:w="19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Reimbursable expenses</w:t>
            </w: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3"/>
              </w:rPr>
              <w:t>(702,812)</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(702,812)</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(643,882)</w:t>
            </w:r>
          </w:p>
        </w:tc>
        <w:tc>
          <w:tcPr>
            <w:tcW w:w="60" w:type="dxa"/>
            <w:vAlign w:val="bottom"/>
          </w:tcPr>
          <w:p>
            <w:pPr>
              <w:spacing w:after="0"/>
              <w:rPr>
                <w:sz w:val="15"/>
                <w:szCs w:val="15"/>
                <w:color w:val="auto"/>
              </w:rPr>
            </w:pPr>
          </w:p>
        </w:tc>
      </w:tr>
      <w:tr>
        <w:trPr>
          <w:trHeight w:val="168"/>
        </w:trPr>
        <w:tc>
          <w:tcPr>
            <w:tcW w:w="1940" w:type="dxa"/>
            <w:vAlign w:val="bottom"/>
          </w:tcPr>
          <w:p>
            <w:pPr>
              <w:spacing w:after="0"/>
              <w:rPr>
                <w:sz w:val="14"/>
                <w:szCs w:val="14"/>
                <w:color w:val="auto"/>
              </w:rPr>
            </w:pPr>
          </w:p>
        </w:tc>
        <w:tc>
          <w:tcPr>
            <w:tcW w:w="10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2,595,777</w:t>
            </w:r>
          </w:p>
        </w:tc>
        <w:tc>
          <w:tcPr>
            <w:tcW w:w="18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(698,155)</w:t>
            </w:r>
          </w:p>
        </w:tc>
        <w:tc>
          <w:tcPr>
            <w:tcW w:w="29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1,897,622</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1,758,439</w:t>
            </w:r>
          </w:p>
        </w:tc>
        <w:tc>
          <w:tcPr>
            <w:tcW w:w="60" w:type="dxa"/>
            <w:vAlign w:val="bottom"/>
          </w:tcPr>
          <w:p>
            <w:pPr>
              <w:spacing w:after="0"/>
              <w:rPr>
                <w:sz w:val="14"/>
                <w:szCs w:val="14"/>
                <w:color w:val="auto"/>
              </w:rPr>
            </w:pPr>
          </w:p>
        </w:tc>
      </w:tr>
      <w:tr>
        <w:trPr>
          <w:trHeight w:val="20"/>
        </w:trPr>
        <w:tc>
          <w:tcPr>
            <w:tcW w:w="1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19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r>
        <w:trPr>
          <w:trHeight w:val="20"/>
        </w:trPr>
        <w:tc>
          <w:tcPr>
            <w:tcW w:w="19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2980" w:type="dxa"/>
            <w:vAlign w:val="bottom"/>
            <w:tcBorders>
              <w:bottom w:val="single" w:sz="8" w:color="EEEEEE"/>
            </w:tcBorders>
          </w:tcPr>
          <w:p>
            <w:pPr>
              <w:spacing w:after="0" w:line="20" w:lineRule="exact"/>
              <w:rPr>
                <w:sz w:val="1"/>
                <w:szCs w:val="1"/>
                <w:color w:val="auto"/>
              </w:rPr>
            </w:pPr>
          </w:p>
        </w:tc>
        <w:tc>
          <w:tcPr>
            <w:tcW w:w="33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2095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55" cy="59690"/>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9" w:name="page10"/>
    <w:bookmarkEnd w:id="9"/>
    <w:p>
      <w:pPr>
        <w:jc w:val="center"/>
        <w:ind w:right="-899"/>
        <w:spacing w:after="0"/>
        <w:rPr>
          <w:sz w:val="20"/>
          <w:szCs w:val="20"/>
          <w:color w:val="auto"/>
        </w:rPr>
      </w:pPr>
      <w:r>
        <w:rPr>
          <w:rFonts w:ascii="Arial" w:cs="Arial" w:eastAsia="Arial" w:hAnsi="Arial"/>
          <w:sz w:val="21"/>
          <w:szCs w:val="21"/>
          <w:b w:val="1"/>
          <w:bCs w:val="1"/>
          <w:color w:val="auto"/>
        </w:rPr>
        <w:t>ICON plc</w:t>
      </w:r>
    </w:p>
    <w:p>
      <w:pPr>
        <w:spacing w:after="0" w:line="187" w:lineRule="exact"/>
        <w:rPr>
          <w:sz w:val="20"/>
          <w:szCs w:val="20"/>
          <w:color w:val="auto"/>
        </w:rPr>
      </w:pPr>
    </w:p>
    <w:p>
      <w:pPr>
        <w:jc w:val="center"/>
        <w:ind w:right="-899"/>
        <w:spacing w:after="0"/>
        <w:rPr>
          <w:sz w:val="20"/>
          <w:szCs w:val="20"/>
          <w:color w:val="auto"/>
        </w:rPr>
      </w:pPr>
      <w:r>
        <w:rPr>
          <w:rFonts w:ascii="Arial" w:cs="Arial" w:eastAsia="Arial" w:hAnsi="Arial"/>
          <w:sz w:val="21"/>
          <w:szCs w:val="21"/>
          <w:b w:val="1"/>
          <w:bCs w:val="1"/>
          <w:color w:val="auto"/>
        </w:rPr>
        <w:t>Summary Balance Sheet Data</w:t>
      </w:r>
    </w:p>
    <w:p>
      <w:pPr>
        <w:spacing w:after="0" w:line="215" w:lineRule="exact"/>
        <w:rPr>
          <w:sz w:val="20"/>
          <w:szCs w:val="20"/>
          <w:color w:val="auto"/>
        </w:rPr>
      </w:pPr>
    </w:p>
    <w:p>
      <w:pPr>
        <w:jc w:val="center"/>
        <w:ind w:right="-899"/>
        <w:spacing w:after="0"/>
        <w:rPr>
          <w:sz w:val="20"/>
          <w:szCs w:val="20"/>
          <w:color w:val="auto"/>
        </w:rPr>
      </w:pPr>
      <w:r>
        <w:rPr>
          <w:rFonts w:ascii="Arial" w:cs="Arial" w:eastAsia="Arial" w:hAnsi="Arial"/>
          <w:sz w:val="21"/>
          <w:szCs w:val="21"/>
          <w:b w:val="1"/>
          <w:bCs w:val="1"/>
          <w:color w:val="auto"/>
        </w:rPr>
        <w:t>December 31, 2018 and December 31, 2017</w:t>
      </w:r>
    </w:p>
    <w:p>
      <w:pPr>
        <w:spacing w:after="0" w:line="215" w:lineRule="exact"/>
        <w:rPr>
          <w:sz w:val="20"/>
          <w:szCs w:val="20"/>
          <w:color w:val="auto"/>
        </w:rPr>
      </w:pPr>
    </w:p>
    <w:p>
      <w:pPr>
        <w:jc w:val="center"/>
        <w:ind w:right="-899"/>
        <w:spacing w:after="0"/>
        <w:rPr>
          <w:sz w:val="20"/>
          <w:szCs w:val="20"/>
          <w:color w:val="auto"/>
        </w:rPr>
      </w:pPr>
      <w:r>
        <w:rPr>
          <w:rFonts w:ascii="Arial" w:cs="Arial" w:eastAsia="Arial" w:hAnsi="Arial"/>
          <w:sz w:val="21"/>
          <w:szCs w:val="21"/>
          <w:b w:val="1"/>
          <w:bCs w:val="1"/>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20" w:type="dxa"/>
            <w:vAlign w:val="bottom"/>
          </w:tcPr>
          <w:p>
            <w:pPr>
              <w:spacing w:after="0"/>
              <w:rPr>
                <w:sz w:val="15"/>
                <w:szCs w:val="15"/>
                <w:color w:val="auto"/>
              </w:rPr>
            </w:pPr>
          </w:p>
        </w:tc>
        <w:tc>
          <w:tcPr>
            <w:tcW w:w="4140" w:type="dxa"/>
            <w:vAlign w:val="bottom"/>
          </w:tcPr>
          <w:p>
            <w:pPr>
              <w:jc w:val="center"/>
              <w:ind w:left="1349"/>
              <w:spacing w:after="0"/>
              <w:rPr>
                <w:sz w:val="20"/>
                <w:szCs w:val="20"/>
                <w:color w:val="auto"/>
              </w:rPr>
            </w:pPr>
            <w:r>
              <w:rPr>
                <w:rFonts w:ascii="Arial" w:cs="Arial" w:eastAsia="Arial" w:hAnsi="Arial"/>
                <w:sz w:val="14"/>
                <w:szCs w:val="14"/>
                <w:b w:val="1"/>
                <w:bCs w:val="1"/>
                <w:color w:val="auto"/>
                <w:w w:val="92"/>
              </w:rPr>
              <w:t>December 31,</w:t>
            </w:r>
          </w:p>
        </w:tc>
        <w:tc>
          <w:tcPr>
            <w:tcW w:w="1760" w:type="dxa"/>
            <w:vAlign w:val="bottom"/>
          </w:tcPr>
          <w:p>
            <w:pPr>
              <w:jc w:val="center"/>
              <w:ind w:left="869"/>
              <w:spacing w:after="0"/>
              <w:rPr>
                <w:sz w:val="20"/>
                <w:szCs w:val="20"/>
                <w:color w:val="auto"/>
              </w:rPr>
            </w:pPr>
            <w:r>
              <w:rPr>
                <w:rFonts w:ascii="Arial" w:cs="Arial" w:eastAsia="Arial" w:hAnsi="Arial"/>
                <w:sz w:val="14"/>
                <w:szCs w:val="14"/>
                <w:b w:val="1"/>
                <w:bCs w:val="1"/>
                <w:color w:val="auto"/>
                <w:w w:val="90"/>
              </w:rPr>
              <w:t>December 31,</w:t>
            </w:r>
          </w:p>
        </w:tc>
      </w:tr>
      <w:tr>
        <w:trPr>
          <w:trHeight w:val="174"/>
        </w:trPr>
        <w:tc>
          <w:tcPr>
            <w:tcW w:w="4220" w:type="dxa"/>
            <w:vAlign w:val="bottom"/>
          </w:tcPr>
          <w:p>
            <w:pPr>
              <w:spacing w:after="0"/>
              <w:rPr>
                <w:sz w:val="15"/>
                <w:szCs w:val="15"/>
                <w:color w:val="auto"/>
              </w:rPr>
            </w:pPr>
          </w:p>
        </w:tc>
        <w:tc>
          <w:tcPr>
            <w:tcW w:w="4140" w:type="dxa"/>
            <w:vAlign w:val="bottom"/>
          </w:tcPr>
          <w:p>
            <w:pPr>
              <w:jc w:val="center"/>
              <w:ind w:left="1349"/>
              <w:spacing w:after="0"/>
              <w:rPr>
                <w:sz w:val="20"/>
                <w:szCs w:val="20"/>
                <w:color w:val="auto"/>
              </w:rPr>
            </w:pPr>
            <w:r>
              <w:rPr>
                <w:rFonts w:ascii="Arial" w:cs="Arial" w:eastAsia="Arial" w:hAnsi="Arial"/>
                <w:sz w:val="14"/>
                <w:szCs w:val="14"/>
                <w:b w:val="1"/>
                <w:bCs w:val="1"/>
                <w:color w:val="auto"/>
                <w:w w:val="89"/>
              </w:rPr>
              <w:t>2018</w:t>
            </w:r>
          </w:p>
        </w:tc>
        <w:tc>
          <w:tcPr>
            <w:tcW w:w="1760" w:type="dxa"/>
            <w:vAlign w:val="bottom"/>
          </w:tcPr>
          <w:p>
            <w:pPr>
              <w:jc w:val="center"/>
              <w:ind w:left="889"/>
              <w:spacing w:after="0"/>
              <w:rPr>
                <w:sz w:val="20"/>
                <w:szCs w:val="20"/>
                <w:color w:val="auto"/>
              </w:rPr>
            </w:pPr>
            <w:r>
              <w:rPr>
                <w:rFonts w:ascii="Arial" w:cs="Arial" w:eastAsia="Arial" w:hAnsi="Arial"/>
                <w:sz w:val="14"/>
                <w:szCs w:val="14"/>
                <w:b w:val="1"/>
                <w:bCs w:val="1"/>
                <w:color w:val="auto"/>
                <w:w w:val="89"/>
              </w:rPr>
              <w:t>2017</w:t>
            </w:r>
          </w:p>
        </w:tc>
      </w:tr>
      <w:tr>
        <w:trPr>
          <w:trHeight w:val="185"/>
        </w:trPr>
        <w:tc>
          <w:tcPr>
            <w:tcW w:w="4220" w:type="dxa"/>
            <w:vAlign w:val="bottom"/>
          </w:tcPr>
          <w:p>
            <w:pPr>
              <w:spacing w:after="0"/>
              <w:rPr>
                <w:sz w:val="16"/>
                <w:szCs w:val="16"/>
                <w:color w:val="auto"/>
              </w:rPr>
            </w:pPr>
          </w:p>
        </w:tc>
        <w:tc>
          <w:tcPr>
            <w:tcW w:w="4140" w:type="dxa"/>
            <w:vAlign w:val="bottom"/>
          </w:tcPr>
          <w:p>
            <w:pPr>
              <w:jc w:val="center"/>
              <w:ind w:left="1329"/>
              <w:spacing w:after="0"/>
              <w:rPr>
                <w:sz w:val="20"/>
                <w:szCs w:val="20"/>
                <w:color w:val="auto"/>
              </w:rPr>
            </w:pPr>
            <w:r>
              <w:rPr>
                <w:rFonts w:ascii="Arial" w:cs="Arial" w:eastAsia="Arial" w:hAnsi="Arial"/>
                <w:sz w:val="14"/>
                <w:szCs w:val="14"/>
                <w:b w:val="1"/>
                <w:bCs w:val="1"/>
                <w:color w:val="auto"/>
                <w:w w:val="95"/>
              </w:rPr>
              <w:t>(Unaudited)</w:t>
            </w:r>
          </w:p>
        </w:tc>
        <w:tc>
          <w:tcPr>
            <w:tcW w:w="1760" w:type="dxa"/>
            <w:vAlign w:val="bottom"/>
          </w:tcPr>
          <w:p>
            <w:pPr>
              <w:jc w:val="center"/>
              <w:ind w:left="869"/>
              <w:spacing w:after="0"/>
              <w:rPr>
                <w:sz w:val="20"/>
                <w:szCs w:val="20"/>
                <w:color w:val="auto"/>
              </w:rPr>
            </w:pPr>
            <w:r>
              <w:rPr>
                <w:rFonts w:ascii="Arial" w:cs="Arial" w:eastAsia="Arial" w:hAnsi="Arial"/>
                <w:sz w:val="14"/>
                <w:szCs w:val="14"/>
                <w:b w:val="1"/>
                <w:bCs w:val="1"/>
                <w:color w:val="auto"/>
                <w:w w:val="94"/>
              </w:rPr>
              <w:t>(Audited)</w:t>
            </w:r>
          </w:p>
        </w:tc>
      </w:tr>
      <w:tr>
        <w:trPr>
          <w:trHeight w:val="516"/>
        </w:trPr>
        <w:tc>
          <w:tcPr>
            <w:tcW w:w="422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140" w:type="dxa"/>
            <w:vAlign w:val="bottom"/>
          </w:tcPr>
          <w:p>
            <w:pPr>
              <w:jc w:val="center"/>
              <w:ind w:left="1369"/>
              <w:spacing w:after="0"/>
              <w:rPr>
                <w:sz w:val="20"/>
                <w:szCs w:val="20"/>
                <w:color w:val="auto"/>
              </w:rPr>
            </w:pPr>
            <w:r>
              <w:rPr>
                <w:rFonts w:ascii="Arial" w:cs="Arial" w:eastAsia="Arial" w:hAnsi="Arial"/>
                <w:sz w:val="14"/>
                <w:szCs w:val="14"/>
                <w:color w:val="auto"/>
                <w:w w:val="90"/>
              </w:rPr>
              <w:t>455,761</w:t>
            </w:r>
          </w:p>
        </w:tc>
        <w:tc>
          <w:tcPr>
            <w:tcW w:w="1760" w:type="dxa"/>
            <w:vAlign w:val="bottom"/>
          </w:tcPr>
          <w:p>
            <w:pPr>
              <w:jc w:val="center"/>
              <w:ind w:left="889"/>
              <w:spacing w:after="0"/>
              <w:rPr>
                <w:sz w:val="20"/>
                <w:szCs w:val="20"/>
                <w:color w:val="auto"/>
              </w:rPr>
            </w:pPr>
            <w:r>
              <w:rPr>
                <w:rFonts w:ascii="Arial" w:cs="Arial" w:eastAsia="Arial" w:hAnsi="Arial"/>
                <w:sz w:val="14"/>
                <w:szCs w:val="14"/>
                <w:color w:val="auto"/>
                <w:w w:val="94"/>
              </w:rPr>
              <w:t>360,448</w:t>
            </w:r>
          </w:p>
        </w:tc>
      </w:tr>
      <w:tr>
        <w:trPr>
          <w:trHeight w:val="174"/>
        </w:trPr>
        <w:tc>
          <w:tcPr>
            <w:tcW w:w="4220" w:type="dxa"/>
            <w:vAlign w:val="bottom"/>
          </w:tcPr>
          <w:p>
            <w:pPr>
              <w:spacing w:after="0"/>
              <w:rPr>
                <w:sz w:val="20"/>
                <w:szCs w:val="20"/>
                <w:color w:val="auto"/>
              </w:rPr>
            </w:pPr>
            <w:r>
              <w:rPr>
                <w:rFonts w:ascii="Arial" w:cs="Arial" w:eastAsia="Arial" w:hAnsi="Arial"/>
                <w:sz w:val="14"/>
                <w:szCs w:val="14"/>
                <w:color w:val="auto"/>
              </w:rPr>
              <w:t>Debt</w:t>
            </w:r>
          </w:p>
        </w:tc>
        <w:tc>
          <w:tcPr>
            <w:tcW w:w="4140" w:type="dxa"/>
            <w:vAlign w:val="bottom"/>
          </w:tcPr>
          <w:p>
            <w:pPr>
              <w:jc w:val="center"/>
              <w:ind w:left="1349"/>
              <w:spacing w:after="0"/>
              <w:rPr>
                <w:sz w:val="20"/>
                <w:szCs w:val="20"/>
                <w:color w:val="auto"/>
              </w:rPr>
            </w:pPr>
            <w:r>
              <w:rPr>
                <w:rFonts w:ascii="Arial" w:cs="Arial" w:eastAsia="Arial" w:hAnsi="Arial"/>
                <w:sz w:val="14"/>
                <w:szCs w:val="14"/>
                <w:color w:val="auto"/>
                <w:w w:val="93"/>
              </w:rPr>
              <w:t>(349,264)</w:t>
            </w:r>
          </w:p>
        </w:tc>
        <w:tc>
          <w:tcPr>
            <w:tcW w:w="1760" w:type="dxa"/>
            <w:vAlign w:val="bottom"/>
          </w:tcPr>
          <w:p>
            <w:pPr>
              <w:jc w:val="center"/>
              <w:ind w:left="889"/>
              <w:spacing w:after="0"/>
              <w:rPr>
                <w:sz w:val="20"/>
                <w:szCs w:val="20"/>
                <w:color w:val="auto"/>
              </w:rPr>
            </w:pPr>
            <w:r>
              <w:rPr>
                <w:rFonts w:ascii="Arial" w:cs="Arial" w:eastAsia="Arial" w:hAnsi="Arial"/>
                <w:sz w:val="14"/>
                <w:szCs w:val="14"/>
                <w:color w:val="auto"/>
                <w:w w:val="93"/>
              </w:rPr>
              <w:t>(348,888)</w:t>
            </w:r>
          </w:p>
        </w:tc>
      </w:tr>
      <w:tr>
        <w:trPr>
          <w:trHeight w:val="181"/>
        </w:trPr>
        <w:tc>
          <w:tcPr>
            <w:tcW w:w="4220" w:type="dxa"/>
            <w:vAlign w:val="bottom"/>
          </w:tcPr>
          <w:p>
            <w:pPr>
              <w:spacing w:after="0"/>
              <w:rPr>
                <w:sz w:val="20"/>
                <w:szCs w:val="20"/>
                <w:color w:val="auto"/>
              </w:rPr>
            </w:pPr>
            <w:r>
              <w:rPr>
                <w:rFonts w:ascii="Arial" w:cs="Arial" w:eastAsia="Arial" w:hAnsi="Arial"/>
                <w:sz w:val="14"/>
                <w:szCs w:val="14"/>
                <w:color w:val="auto"/>
              </w:rPr>
              <w:t>Net cash/(debt)</w:t>
            </w:r>
          </w:p>
        </w:tc>
        <w:tc>
          <w:tcPr>
            <w:tcW w:w="4140" w:type="dxa"/>
            <w:vAlign w:val="bottom"/>
          </w:tcPr>
          <w:p>
            <w:pPr>
              <w:jc w:val="center"/>
              <w:ind w:left="1369"/>
              <w:spacing w:after="0"/>
              <w:rPr>
                <w:sz w:val="20"/>
                <w:szCs w:val="20"/>
                <w:color w:val="auto"/>
              </w:rPr>
            </w:pPr>
            <w:r>
              <w:rPr>
                <w:rFonts w:ascii="Arial" w:cs="Arial" w:eastAsia="Arial" w:hAnsi="Arial"/>
                <w:sz w:val="14"/>
                <w:szCs w:val="14"/>
                <w:color w:val="auto"/>
                <w:w w:val="90"/>
              </w:rPr>
              <w:t>106,497</w:t>
            </w:r>
          </w:p>
        </w:tc>
        <w:tc>
          <w:tcPr>
            <w:tcW w:w="1760" w:type="dxa"/>
            <w:vAlign w:val="bottom"/>
          </w:tcPr>
          <w:p>
            <w:pPr>
              <w:jc w:val="center"/>
              <w:ind w:left="889"/>
              <w:spacing w:after="0"/>
              <w:rPr>
                <w:sz w:val="20"/>
                <w:szCs w:val="20"/>
                <w:color w:val="auto"/>
              </w:rPr>
            </w:pPr>
            <w:r>
              <w:rPr>
                <w:rFonts w:ascii="Arial" w:cs="Arial" w:eastAsia="Arial" w:hAnsi="Arial"/>
                <w:sz w:val="14"/>
                <w:szCs w:val="14"/>
                <w:color w:val="auto"/>
                <w:w w:val="93"/>
              </w:rPr>
              <w:t>11,560</w:t>
            </w:r>
          </w:p>
        </w:tc>
      </w:tr>
      <w:tr>
        <w:trPr>
          <w:trHeight w:val="349"/>
        </w:trPr>
        <w:tc>
          <w:tcPr>
            <w:tcW w:w="4220" w:type="dxa"/>
            <w:vAlign w:val="bottom"/>
          </w:tcPr>
          <w:p>
            <w:pPr>
              <w:spacing w:after="0"/>
              <w:rPr>
                <w:sz w:val="20"/>
                <w:szCs w:val="20"/>
                <w:color w:val="auto"/>
              </w:rPr>
            </w:pPr>
            <w:r>
              <w:rPr>
                <w:rFonts w:ascii="Arial" w:cs="Arial" w:eastAsia="Arial" w:hAnsi="Arial"/>
                <w:sz w:val="14"/>
                <w:szCs w:val="14"/>
                <w:color w:val="auto"/>
              </w:rPr>
              <w:t>Net Accounts Receivable</w:t>
            </w:r>
          </w:p>
        </w:tc>
        <w:tc>
          <w:tcPr>
            <w:tcW w:w="4140" w:type="dxa"/>
            <w:vAlign w:val="bottom"/>
          </w:tcPr>
          <w:p>
            <w:pPr>
              <w:jc w:val="center"/>
              <w:ind w:left="1369"/>
              <w:spacing w:after="0"/>
              <w:rPr>
                <w:sz w:val="20"/>
                <w:szCs w:val="20"/>
                <w:color w:val="auto"/>
              </w:rPr>
            </w:pPr>
            <w:r>
              <w:rPr>
                <w:rFonts w:ascii="Arial" w:cs="Arial" w:eastAsia="Arial" w:hAnsi="Arial"/>
                <w:sz w:val="14"/>
                <w:szCs w:val="14"/>
                <w:color w:val="auto"/>
                <w:w w:val="90"/>
              </w:rPr>
              <w:t>503,249</w:t>
            </w:r>
          </w:p>
        </w:tc>
        <w:tc>
          <w:tcPr>
            <w:tcW w:w="1760" w:type="dxa"/>
            <w:vAlign w:val="bottom"/>
          </w:tcPr>
          <w:p>
            <w:pPr>
              <w:jc w:val="center"/>
              <w:ind w:left="889"/>
              <w:spacing w:after="0"/>
              <w:rPr>
                <w:sz w:val="20"/>
                <w:szCs w:val="20"/>
                <w:color w:val="auto"/>
              </w:rPr>
            </w:pPr>
            <w:r>
              <w:rPr>
                <w:rFonts w:ascii="Arial" w:cs="Arial" w:eastAsia="Arial" w:hAnsi="Arial"/>
                <w:sz w:val="14"/>
                <w:szCs w:val="14"/>
                <w:color w:val="auto"/>
                <w:w w:val="94"/>
              </w:rPr>
              <w:t>349,018</w:t>
            </w:r>
          </w:p>
        </w:tc>
      </w:tr>
      <w:tr>
        <w:trPr>
          <w:trHeight w:val="349"/>
        </w:trPr>
        <w:tc>
          <w:tcPr>
            <w:tcW w:w="4220" w:type="dxa"/>
            <w:vAlign w:val="bottom"/>
          </w:tcPr>
          <w:p>
            <w:pPr>
              <w:spacing w:after="0"/>
              <w:rPr>
                <w:sz w:val="20"/>
                <w:szCs w:val="20"/>
                <w:color w:val="auto"/>
              </w:rPr>
            </w:pPr>
            <w:r>
              <w:rPr>
                <w:rFonts w:ascii="Arial" w:cs="Arial" w:eastAsia="Arial" w:hAnsi="Arial"/>
                <w:sz w:val="14"/>
                <w:szCs w:val="14"/>
                <w:color w:val="auto"/>
              </w:rPr>
              <w:t>Working Capital</w:t>
            </w:r>
          </w:p>
        </w:tc>
        <w:tc>
          <w:tcPr>
            <w:tcW w:w="4140" w:type="dxa"/>
            <w:vAlign w:val="bottom"/>
          </w:tcPr>
          <w:p>
            <w:pPr>
              <w:jc w:val="center"/>
              <w:ind w:left="1369"/>
              <w:spacing w:after="0"/>
              <w:rPr>
                <w:sz w:val="20"/>
                <w:szCs w:val="20"/>
                <w:color w:val="auto"/>
              </w:rPr>
            </w:pPr>
            <w:r>
              <w:rPr>
                <w:rFonts w:ascii="Arial" w:cs="Arial" w:eastAsia="Arial" w:hAnsi="Arial"/>
                <w:sz w:val="14"/>
                <w:szCs w:val="14"/>
                <w:color w:val="auto"/>
                <w:w w:val="90"/>
              </w:rPr>
              <w:t>719,560</w:t>
            </w:r>
          </w:p>
        </w:tc>
        <w:tc>
          <w:tcPr>
            <w:tcW w:w="1760" w:type="dxa"/>
            <w:vAlign w:val="bottom"/>
          </w:tcPr>
          <w:p>
            <w:pPr>
              <w:jc w:val="center"/>
              <w:ind w:left="889"/>
              <w:spacing w:after="0"/>
              <w:rPr>
                <w:sz w:val="20"/>
                <w:szCs w:val="20"/>
                <w:color w:val="auto"/>
              </w:rPr>
            </w:pPr>
            <w:r>
              <w:rPr>
                <w:rFonts w:ascii="Arial" w:cs="Arial" w:eastAsia="Arial" w:hAnsi="Arial"/>
                <w:sz w:val="14"/>
                <w:szCs w:val="14"/>
                <w:color w:val="auto"/>
                <w:w w:val="94"/>
              </w:rPr>
              <w:t>534,960</w:t>
            </w:r>
          </w:p>
        </w:tc>
      </w:tr>
      <w:tr>
        <w:trPr>
          <w:trHeight w:val="349"/>
        </w:trPr>
        <w:tc>
          <w:tcPr>
            <w:tcW w:w="4220" w:type="dxa"/>
            <w:vAlign w:val="bottom"/>
          </w:tcPr>
          <w:p>
            <w:pPr>
              <w:spacing w:after="0"/>
              <w:rPr>
                <w:sz w:val="20"/>
                <w:szCs w:val="20"/>
                <w:color w:val="auto"/>
              </w:rPr>
            </w:pPr>
            <w:r>
              <w:rPr>
                <w:rFonts w:ascii="Arial" w:cs="Arial" w:eastAsia="Arial" w:hAnsi="Arial"/>
                <w:sz w:val="14"/>
                <w:szCs w:val="14"/>
                <w:color w:val="auto"/>
              </w:rPr>
              <w:t>Total Assets</w:t>
            </w:r>
          </w:p>
        </w:tc>
        <w:tc>
          <w:tcPr>
            <w:tcW w:w="4140" w:type="dxa"/>
            <w:vAlign w:val="bottom"/>
          </w:tcPr>
          <w:p>
            <w:pPr>
              <w:jc w:val="center"/>
              <w:ind w:left="1349"/>
              <w:spacing w:after="0"/>
              <w:rPr>
                <w:sz w:val="20"/>
                <w:szCs w:val="20"/>
                <w:color w:val="auto"/>
              </w:rPr>
            </w:pPr>
            <w:r>
              <w:rPr>
                <w:rFonts w:ascii="Arial" w:cs="Arial" w:eastAsia="Arial" w:hAnsi="Arial"/>
                <w:sz w:val="14"/>
                <w:szCs w:val="14"/>
                <w:color w:val="auto"/>
                <w:w w:val="89"/>
              </w:rPr>
              <w:t>2,354,255</w:t>
            </w:r>
          </w:p>
        </w:tc>
        <w:tc>
          <w:tcPr>
            <w:tcW w:w="1760" w:type="dxa"/>
            <w:vAlign w:val="bottom"/>
          </w:tcPr>
          <w:p>
            <w:pPr>
              <w:jc w:val="center"/>
              <w:ind w:left="889"/>
              <w:spacing w:after="0"/>
              <w:rPr>
                <w:sz w:val="20"/>
                <w:szCs w:val="20"/>
                <w:color w:val="auto"/>
              </w:rPr>
            </w:pPr>
            <w:r>
              <w:rPr>
                <w:rFonts w:ascii="Arial" w:cs="Arial" w:eastAsia="Arial" w:hAnsi="Arial"/>
                <w:sz w:val="14"/>
                <w:szCs w:val="14"/>
                <w:color w:val="auto"/>
                <w:w w:val="89"/>
              </w:rPr>
              <w:t>2,146,618</w:t>
            </w:r>
          </w:p>
        </w:tc>
      </w:tr>
      <w:tr>
        <w:trPr>
          <w:trHeight w:val="349"/>
        </w:trPr>
        <w:tc>
          <w:tcPr>
            <w:tcW w:w="4220" w:type="dxa"/>
            <w:vAlign w:val="bottom"/>
          </w:tcPr>
          <w:p>
            <w:pPr>
              <w:spacing w:after="0"/>
              <w:rPr>
                <w:sz w:val="20"/>
                <w:szCs w:val="20"/>
                <w:color w:val="auto"/>
              </w:rPr>
            </w:pPr>
            <w:r>
              <w:rPr>
                <w:rFonts w:ascii="Arial" w:cs="Arial" w:eastAsia="Arial" w:hAnsi="Arial"/>
                <w:sz w:val="14"/>
                <w:szCs w:val="14"/>
                <w:color w:val="auto"/>
              </w:rPr>
              <w:t>Shareholder's Equity</w:t>
            </w:r>
          </w:p>
        </w:tc>
        <w:tc>
          <w:tcPr>
            <w:tcW w:w="4140" w:type="dxa"/>
            <w:vAlign w:val="bottom"/>
          </w:tcPr>
          <w:p>
            <w:pPr>
              <w:jc w:val="center"/>
              <w:ind w:left="1349"/>
              <w:spacing w:after="0"/>
              <w:rPr>
                <w:sz w:val="20"/>
                <w:szCs w:val="20"/>
                <w:color w:val="auto"/>
              </w:rPr>
            </w:pPr>
            <w:r>
              <w:rPr>
                <w:rFonts w:ascii="Arial" w:cs="Arial" w:eastAsia="Arial" w:hAnsi="Arial"/>
                <w:sz w:val="14"/>
                <w:szCs w:val="14"/>
                <w:color w:val="auto"/>
                <w:w w:val="89"/>
              </w:rPr>
              <w:t>1,354,281</w:t>
            </w:r>
          </w:p>
        </w:tc>
        <w:tc>
          <w:tcPr>
            <w:tcW w:w="1760" w:type="dxa"/>
            <w:vAlign w:val="bottom"/>
          </w:tcPr>
          <w:p>
            <w:pPr>
              <w:jc w:val="center"/>
              <w:ind w:left="889"/>
              <w:spacing w:after="0"/>
              <w:rPr>
                <w:sz w:val="20"/>
                <w:szCs w:val="20"/>
                <w:color w:val="auto"/>
              </w:rPr>
            </w:pPr>
            <w:r>
              <w:rPr>
                <w:rFonts w:ascii="Arial" w:cs="Arial" w:eastAsia="Arial" w:hAnsi="Arial"/>
                <w:sz w:val="14"/>
                <w:szCs w:val="14"/>
                <w:color w:val="auto"/>
                <w:w w:val="89"/>
              </w:rPr>
              <w:t>1,191,000</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21"/>
          <w:szCs w:val="21"/>
          <w:color w:val="auto"/>
        </w:rPr>
        <w:t>ICON plc</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Contact: Investor Relations +1 888 381 7923 or</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Brendan Brennan Chief Financial Officer +353 1 291 2000</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Jonathan Curtain Vice President Corporate Finance &amp; Investor Relations +1 215 616 3000</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http://www.iconplc.com</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ICON/ICLR-F</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ICON plc</w:t>
      </w:r>
    </w:p>
    <w:p>
      <w:pPr>
        <w:spacing w:after="0"/>
        <w:rPr>
          <w:sz w:val="20"/>
          <w:szCs w:val="20"/>
          <w:color w:val="auto"/>
        </w:rPr>
      </w:pPr>
      <w:r>
        <w:rPr>
          <w:rFonts w:ascii="Arial" w:cs="Arial" w:eastAsia="Arial" w:hAnsi="Arial"/>
          <w:sz w:val="21"/>
          <w:szCs w:val="21"/>
          <w:color w:val="auto"/>
        </w:rPr>
        <w:t>Investor Relations</w:t>
      </w:r>
    </w:p>
    <w:p>
      <w:pPr>
        <w:spacing w:after="0"/>
        <w:rPr>
          <w:sz w:val="20"/>
          <w:szCs w:val="20"/>
          <w:color w:val="auto"/>
        </w:rPr>
      </w:pPr>
      <w:r>
        <w:rPr>
          <w:rFonts w:ascii="Arial" w:cs="Arial" w:eastAsia="Arial" w:hAnsi="Arial"/>
          <w:sz w:val="21"/>
          <w:szCs w:val="21"/>
          <w:color w:val="auto"/>
        </w:rPr>
        <w:t>+1 888 381 7923</w:t>
      </w:r>
    </w:p>
    <w:p>
      <w:pPr>
        <w:spacing w:after="0"/>
        <w:rPr>
          <w:sz w:val="20"/>
          <w:szCs w:val="20"/>
          <w:color w:val="auto"/>
        </w:rPr>
      </w:pPr>
      <w:r>
        <w:rPr>
          <w:rFonts w:ascii="Arial" w:cs="Arial" w:eastAsia="Arial" w:hAnsi="Arial"/>
          <w:sz w:val="21"/>
          <w:szCs w:val="21"/>
          <w:color w:val="auto"/>
        </w:rPr>
        <w:t>or</w:t>
      </w:r>
    </w:p>
    <w:p>
      <w:pPr>
        <w:spacing w:after="0"/>
        <w:rPr>
          <w:sz w:val="20"/>
          <w:szCs w:val="20"/>
          <w:color w:val="auto"/>
        </w:rPr>
      </w:pPr>
      <w:r>
        <w:rPr>
          <w:rFonts w:ascii="Arial" w:cs="Arial" w:eastAsia="Arial" w:hAnsi="Arial"/>
          <w:sz w:val="21"/>
          <w:szCs w:val="21"/>
          <w:color w:val="auto"/>
        </w:rPr>
        <w:t>Brendan Brennan</w:t>
      </w:r>
    </w:p>
    <w:p>
      <w:pPr>
        <w:spacing w:after="0"/>
        <w:rPr>
          <w:sz w:val="20"/>
          <w:szCs w:val="20"/>
          <w:color w:val="auto"/>
        </w:rPr>
      </w:pPr>
      <w:r>
        <w:rPr>
          <w:rFonts w:ascii="Arial" w:cs="Arial" w:eastAsia="Arial" w:hAnsi="Arial"/>
          <w:sz w:val="21"/>
          <w:szCs w:val="21"/>
          <w:color w:val="auto"/>
        </w:rPr>
        <w:t>Chief Financial Officer</w:t>
      </w:r>
    </w:p>
    <w:p>
      <w:pPr>
        <w:spacing w:after="0"/>
        <w:rPr>
          <w:sz w:val="20"/>
          <w:szCs w:val="20"/>
          <w:color w:val="auto"/>
        </w:rPr>
      </w:pPr>
      <w:r>
        <w:rPr>
          <w:rFonts w:ascii="Arial" w:cs="Arial" w:eastAsia="Arial" w:hAnsi="Arial"/>
          <w:sz w:val="21"/>
          <w:szCs w:val="21"/>
          <w:color w:val="auto"/>
        </w:rPr>
        <w:t>+353 1 291 2000</w:t>
      </w:r>
    </w:p>
    <w:p>
      <w:pPr>
        <w:spacing w:after="0"/>
        <w:rPr>
          <w:sz w:val="20"/>
          <w:szCs w:val="20"/>
          <w:color w:val="auto"/>
        </w:rPr>
      </w:pPr>
      <w:r>
        <w:rPr>
          <w:rFonts w:ascii="Arial" w:cs="Arial" w:eastAsia="Arial" w:hAnsi="Arial"/>
          <w:sz w:val="21"/>
          <w:szCs w:val="21"/>
          <w:color w:val="auto"/>
        </w:rPr>
        <w:t>or</w:t>
      </w:r>
    </w:p>
    <w:p>
      <w:pPr>
        <w:spacing w:after="0"/>
        <w:rPr>
          <w:sz w:val="20"/>
          <w:szCs w:val="20"/>
          <w:color w:val="auto"/>
        </w:rPr>
      </w:pPr>
      <w:r>
        <w:rPr>
          <w:rFonts w:ascii="Arial" w:cs="Arial" w:eastAsia="Arial" w:hAnsi="Arial"/>
          <w:sz w:val="21"/>
          <w:szCs w:val="21"/>
          <w:color w:val="auto"/>
        </w:rPr>
        <w:t>Jonathan Curtain</w:t>
      </w:r>
    </w:p>
    <w:p>
      <w:pPr>
        <w:spacing w:after="0"/>
        <w:rPr>
          <w:sz w:val="20"/>
          <w:szCs w:val="20"/>
          <w:color w:val="auto"/>
        </w:rPr>
      </w:pPr>
      <w:r>
        <w:rPr>
          <w:rFonts w:ascii="Arial" w:cs="Arial" w:eastAsia="Arial" w:hAnsi="Arial"/>
          <w:sz w:val="21"/>
          <w:szCs w:val="21"/>
          <w:color w:val="auto"/>
        </w:rPr>
        <w:t>Vice President Corporate Finance &amp; Investor Relations</w:t>
      </w:r>
    </w:p>
    <w:p>
      <w:pPr>
        <w:spacing w:after="0"/>
        <w:rPr>
          <w:sz w:val="20"/>
          <w:szCs w:val="20"/>
          <w:color w:val="auto"/>
        </w:rPr>
      </w:pPr>
      <w:r>
        <w:rPr>
          <w:rFonts w:ascii="Arial" w:cs="Arial" w:eastAsia="Arial" w:hAnsi="Arial"/>
          <w:sz w:val="21"/>
          <w:szCs w:val="21"/>
          <w:color w:val="auto"/>
        </w:rPr>
        <w:t>+1 215 616 3000</w:t>
      </w:r>
    </w:p>
    <w:p>
      <w:pPr>
        <w:spacing w:after="0"/>
        <w:rPr>
          <w:sz w:val="20"/>
          <w:szCs w:val="20"/>
          <w:color w:val="auto"/>
        </w:rPr>
      </w:pPr>
      <w:r>
        <w:rPr>
          <w:rFonts w:ascii="Arial" w:cs="Arial" w:eastAsia="Arial" w:hAnsi="Arial"/>
          <w:sz w:val="21"/>
          <w:szCs w:val="21"/>
          <w:u w:val="single" w:color="auto"/>
          <w:color w:val="auto"/>
        </w:rPr>
        <w:t>http://www.iconplc.com</w:t>
      </w:r>
    </w:p>
    <w:sectPr>
      <w:pgSz w:w="12240" w:h="15840" w:orient="portrait"/>
      <w:cols w:equalWidth="0" w:num="1">
        <w:col w:w="10280"/>
      </w:cols>
      <w:pgMar w:left="520" w:top="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2019-12-14T19:20:47Z</dcterms:created>
  <dcterms:modified xsi:type="dcterms:W3CDTF">2019-12-14T19:20:47Z</dcterms:modified>
</cp:coreProperties>
</file>