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333" w:before="43" w:after="283"/>
              <w:jc w:val="left"/>
              <w:rPr>
                <w:color w:val="000000"/>
              </w:rPr>
            </w:pPr>
            <w:r>
              <w:rPr>
                <w:color w:val="000000"/>
              </w:rPr>
              <w:t> </w:t>
            </w:r>
          </w:p>
          <w:p>
            <w:pPr>
              <w:pStyle w:val="TableContents"/>
              <w:bidi w:val="0"/>
              <w:spacing w:lineRule="auto" w:line="333" w:before="0" w:after="20"/>
              <w:jc w:val="left"/>
              <w:rPr>
                <w:color w:val="000000"/>
              </w:rPr>
            </w:pPr>
            <w:r>
              <w:rPr>
                <w:color w:val="000000"/>
              </w:rPr>
              <w:t> </w:t>
            </w:r>
          </w:p>
        </w:tc>
      </w:tr>
    </w:tbl>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333"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 xml:space="preserve">REPORT OF FOREIGN PRIVATE ISSUER </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 xml:space="preserve">UNDER THE SECURITIES EXCHANGE ACT OF 1934 </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For the month of October 2026 </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Commission File Number: 333-08704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color w:val="000000"/>
          <w:sz w:val="48"/>
        </w:rPr>
      </w:pPr>
      <w:r>
        <w:rPr>
          <w:rFonts w:ascii="Times New Roman;serif" w:hAnsi="Times New Roman;serif"/>
          <w:b/>
          <w:color w:val="000000"/>
          <w:sz w:val="48"/>
        </w:rPr>
        <w:t>ICON plc</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(Translation of registrant's name into English)</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South County Business Park, Leopardstown, Dublin 18, D18 X5R3, Ireland </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333" w:before="0" w:after="0"/>
        <w:jc w:val="center"/>
        <w:rPr/>
      </w:pPr>
      <w:r>
        <w:rPr>
          <w:rFonts w:ascii="Times New Roman;serif" w:hAnsi="Times New Roman;serif"/>
          <w:b w:val="false"/>
          <w:color w:val="000000"/>
          <w:sz w:val="20"/>
        </w:rPr>
        <w:t>Form 20-F </w:t>
      </w:r>
      <w:r>
        <w:rPr>
          <w:color w:val="000000"/>
        </w:rPr>
        <w:t>☒   </w:t>
      </w:r>
      <w:r>
        <w:rPr>
          <w:rFonts w:ascii="Times New Roman;serif" w:hAnsi="Times New Roman;serif"/>
          <w:b w:val="false"/>
          <w:color w:val="000000"/>
          <w:sz w:val="20"/>
        </w:rPr>
        <w:t>Form 40-F </w:t>
      </w:r>
      <w:r>
        <w:rPr>
          <w:color w:val="000000"/>
        </w:rPr>
        <w: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240" w:after="283"/>
        <w:jc w:val="left"/>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344" w:type="dxa"/>
        <w:jc w:val="left"/>
        <w:tblInd w:w="0" w:type="dxa"/>
        <w:tblLayout w:type="fixed"/>
        <w:tblCellMar>
          <w:top w:w="28" w:type="dxa"/>
          <w:left w:w="28" w:type="dxa"/>
          <w:bottom w:w="28" w:type="dxa"/>
          <w:right w:w="28" w:type="dxa"/>
        </w:tblCellMar>
      </w:tblPr>
      <w:tblGrid>
        <w:gridCol w:w="407"/>
        <w:gridCol w:w="358"/>
        <w:gridCol w:w="359"/>
        <w:gridCol w:w="1529"/>
        <w:gridCol w:w="1529"/>
        <w:gridCol w:w="2162"/>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List</w:t>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1008pressrelease-icon.htm">
              <w:r>
                <w:rPr>
                  <w:rStyle w:val="InternetLink"/>
                  <w:rFonts w:ascii="Times New Roman;serif" w:hAnsi="Times New Roman;serif"/>
                  <w:b w:val="false"/>
                  <w:color w:val="0000FF"/>
                  <w:sz w:val="20"/>
                  <w:u w:val="single"/>
                </w:rPr>
                <w:t>99.1</w:t>
              </w:r>
            </w:hyperlink>
          </w:p>
        </w:tc>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1008pressrelease-icon.htm">
              <w:r>
                <w:rPr>
                  <w:rStyle w:val="InternetLink"/>
                  <w:rFonts w:ascii="Times New Roman;serif" w:hAnsi="Times New Roman;serif"/>
                  <w:b w:val="false"/>
                  <w:color w:val="0000FF"/>
                  <w:sz w:val="20"/>
                  <w:u w:val="single"/>
                </w:rPr>
                <w:t>ICON Schedules Third Quarter 2026 Earnings Conference Call</w:t>
              </w:r>
            </w:hyperlink>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333" w:before="0" w:after="0"/>
        <w:jc w:val="left"/>
        <w:rPr>
          <w:color w:val="000000"/>
        </w:rPr>
      </w:pPr>
      <w:r>
        <w:rPr>
          <w:color w:val="000000"/>
        </w:rPr>
        <w:t> </w:t>
      </w:r>
    </w:p>
    <w:tbl>
      <w:tblPr>
        <w:tblW w:w="8812" w:type="dxa"/>
        <w:jc w:val="left"/>
        <w:tblInd w:w="0" w:type="dxa"/>
        <w:tblLayout w:type="fixed"/>
        <w:tblCellMar>
          <w:top w:w="28" w:type="dxa"/>
          <w:left w:w="28" w:type="dxa"/>
          <w:bottom w:w="28" w:type="dxa"/>
          <w:right w:w="28" w:type="dxa"/>
        </w:tblCellMar>
      </w:tblPr>
      <w:tblGrid>
        <w:gridCol w:w="237"/>
        <w:gridCol w:w="208"/>
        <w:gridCol w:w="208"/>
        <w:gridCol w:w="208"/>
        <w:gridCol w:w="208"/>
        <w:gridCol w:w="208"/>
        <w:gridCol w:w="208"/>
        <w:gridCol w:w="208"/>
        <w:gridCol w:w="20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13"/>
        <w:gridCol w:w="213"/>
        <w:gridCol w:w="213"/>
        <w:gridCol w:w="213"/>
        <w:gridCol w:w="213"/>
        <w:gridCol w:w="213"/>
        <w:gridCol w:w="213"/>
        <w:gridCol w:w="213"/>
        <w:gridCol w:w="302"/>
      </w:tblGrid>
      <w:tr>
        <w:trPr/>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ICON plc</w:t>
            </w:r>
          </w:p>
        </w:tc>
      </w:tr>
      <w:tr>
        <w:trPr/>
        <w:tc>
          <w:tcPr>
            <w:tcW w:w="19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9"/>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0"/>
              </w:rPr>
            </w:pPr>
            <w:r>
              <w:rPr>
                <w:rFonts w:ascii="Times New Roman;serif" w:hAnsi="Times New Roman;serif"/>
                <w:b w:val="false"/>
                <w:color w:val="000000"/>
                <w:sz w:val="20"/>
              </w:rPr>
              <w:t>Date: October 8, 2026</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Nigel Clerkin</w:t>
            </w:r>
          </w:p>
        </w:tc>
      </w:tr>
      <w:tr>
        <w:trPr/>
        <w:tc>
          <w:tcPr>
            <w:tcW w:w="19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Nigel Clerkin</w:t>
            </w:r>
          </w:p>
        </w:tc>
      </w:tr>
      <w:tr>
        <w:trPr/>
        <w:tc>
          <w:tcPr>
            <w:tcW w:w="19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shd w:fill="FFFFFF" w:val="clear"/>
        </w:rPr>
      </w:pPr>
      <w:r>
        <w:rPr>
          <w:rFonts w:ascii="Times New Roman;serif" w:hAnsi="Times New Roman;serif"/>
          <w:b/>
          <w:color w:val="000000"/>
          <w:sz w:val="24"/>
          <w:shd w:fill="FFFFFF" w:val="clear"/>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shd w:fill="FFFFFF" w:val="clear"/>
        </w:rPr>
      </w:pPr>
      <w:r>
        <w:rPr>
          <w:shd w:fill="FFFFFF" w:val="clear"/>
        </w:rPr>
        <w:drawing>
          <wp:inline distT="0" distB="0" distL="0" distR="0">
            <wp:extent cx="18002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857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07"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ICON Schedules Third Quarter 2026 Earnings Conference Call</w:t>
      </w:r>
    </w:p>
    <w:p>
      <w:pPr>
        <w:pStyle w:val="TextBody"/>
        <w:bidi w:val="0"/>
        <w:spacing w:before="0" w:after="0"/>
        <w:jc w:val="both"/>
        <w:rPr/>
      </w:pPr>
      <w:r>
        <w:rPr/>
      </w:r>
    </w:p>
    <w:p>
      <w:pPr>
        <w:pStyle w:val="TextBody"/>
        <w:bidi w:val="0"/>
        <w:spacing w:lineRule="auto" w:line="307" w:before="0" w:after="0"/>
        <w:jc w:val="both"/>
        <w:rPr>
          <w:shd w:fill="FFFFFF" w:val="clear"/>
        </w:rPr>
      </w:pPr>
      <w:r>
        <w:rPr>
          <w:rFonts w:ascii="Times New Roman;serif" w:hAnsi="Times New Roman;serif"/>
          <w:b/>
          <w:color w:val="000000"/>
          <w:sz w:val="20"/>
          <w:shd w:fill="FFFFFF" w:val="clear"/>
        </w:rPr>
        <w:t>Dublin, Ireland, October 8, 2026</w:t>
      </w:r>
      <w:r>
        <w:rPr>
          <w:color w:val="000000"/>
          <w:shd w:fill="FFFFFF" w:val="clear"/>
        </w:rPr>
        <w:t xml:space="preserve"> – </w:t>
      </w:r>
      <w:r>
        <w:rPr>
          <w:rFonts w:ascii="Times New Roman;serif" w:hAnsi="Times New Roman;serif"/>
          <w:b w:val="false"/>
          <w:color w:val="000000"/>
          <w:sz w:val="20"/>
          <w:shd w:fill="FFFFFF" w:val="clear"/>
        </w:rPr>
        <w:t xml:space="preserve">ICON plc, </w:t>
      </w:r>
      <w:r>
        <w:rPr>
          <w:rFonts w:ascii="Times New Roman;serif" w:hAnsi="Times New Roman;serif"/>
          <w:b/>
          <w:color w:val="000000"/>
          <w:sz w:val="20"/>
          <w:shd w:fill="FFFFFF" w:val="clear"/>
        </w:rPr>
        <w:t>(NASDAQ: ICLR)</w:t>
      </w:r>
      <w:r>
        <w:rPr>
          <w:color w:val="000000"/>
          <w:shd w:fill="FFFFFF" w:val="clear"/>
        </w:rPr>
        <w:t xml:space="preserve"> </w:t>
      </w:r>
      <w:r>
        <w:rPr>
          <w:rFonts w:ascii="Times New Roman;serif" w:hAnsi="Times New Roman;serif"/>
          <w:b w:val="false"/>
          <w:color w:val="000000"/>
          <w:sz w:val="20"/>
          <w:shd w:fill="FFFFFF" w:val="clear"/>
        </w:rPr>
        <w:t xml:space="preserve">a world-leading clinical research organization, today announced that it will release its financial results for the third quarter 2026 after the market closes on Tuesday, October 27, 2026. The company will hold a conference call and webcast to discuss its financial results and performance on Wednesday, October 28, 2026 at 8:00am ET. </w:t>
      </w:r>
    </w:p>
    <w:p>
      <w:pPr>
        <w:pStyle w:val="TextBody"/>
        <w:bidi w:val="0"/>
        <w:spacing w:before="0" w:after="0"/>
        <w:jc w:val="both"/>
        <w:rPr/>
      </w:pPr>
      <w:r>
        <w:rPr/>
      </w:r>
    </w:p>
    <w:p>
      <w:pPr>
        <w:pStyle w:val="TextBody"/>
        <w:bidi w:val="0"/>
        <w:spacing w:lineRule="auto" w:line="307"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changes to these events and links to the live webcasts (where available) will be posted on the Investor section of our website under “Events”. A webcast replay of the conference call will be available approximately one hour following the conclusion of the call.</w:t>
      </w:r>
    </w:p>
    <w:p>
      <w:pPr>
        <w:pStyle w:val="TextBody"/>
        <w:bidi w:val="0"/>
        <w:spacing w:before="0" w:after="0"/>
        <w:jc w:val="both"/>
        <w:rPr/>
      </w:pPr>
      <w:r>
        <w:rPr/>
      </w:r>
    </w:p>
    <w:p>
      <w:pPr>
        <w:pStyle w:val="TextBody"/>
        <w:bidi w:val="0"/>
        <w:spacing w:lineRule="auto" w:line="307"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About ICON plc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ICON plc is a world-leading clinical research organization. Offering deep operational and medical expertise we accelerate innovation, driving emerging therapies forward to improve patient outcomes. From molecule to medicine, we deliver integrated consulting, clinical development, commercialization and post-marketing solutions to pharmaceutical, biotechnology, medical device, government and public health organizations worldwide. With headquarters in Dublin, Ireland, ICON employed approximately 40,200 employees in 99 locations in 55 countries as at June 30, 2026. For further information about ICON, visit: www.iconplc.com.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Statements included herein which are not historical facts are forward-looking statements. Such forward-looking statements are made pursuant to the safe harbor provisions of the U.S. Private Securities Litigation Reform Act of 1995. Examples of forward-looking statements include, but are not limited to, statements regarding the following: contracted revenue; the repayment of indebtedness; the company's expectations regarding business momentum, market opportunity, demand trends, growth, and commercial performance; and the company's expectations with respect to its long-term value creation and competitive positioning. You can identify many forward-looking statements by words such as “aims,” “anticipates,” “believes,” “continues,” “could,” “estimates,” “expects,” “focused,” “guidance,” “intends,” “look,” “may,” “opportunities,” “plans,” “positions,”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impact of market conditions on demand for the company's services, risks related to the company's ability to execute on its commercial strategy and maintain relationships with large pharmaceutical customers, and risks relating to the company's strategic partnerships, the dependence on certain key executives, changes in the regulatory environment, exchange rate fluctuations, inflation and rising labor costs. Please also refer to the section entitled "Risk Factors" of our Annual Report on Form 20-F for the year ended December 31, 2025 for a discussion of some of the principal risks that could adversely affect our business, operations and financial results. The company’s forward-looking statements speak only as of the date of this document or as of the date they are made, and the company undertakes no obligation to update its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Source: ICON plc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Contact: Kate Haven Vice President Investor Relations +1888 381 7923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ICON/ICLR-G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719</Words>
  <Characters>4333</Characters>
  <CharactersWithSpaces>5035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