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For the month of March 2025</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48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jc w:val="right"/>
        <w:ind w:right="3899"/>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3051F2"/>
        </w:rPr>
        <w:t>ICON plc Provides Update on Vaccine Study</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2025</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436245</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 Provides Update on Vaccine Study</w:t>
      </w:r>
    </w:p>
    <w:p>
      <w:pPr>
        <w:spacing w:after="0" w:line="27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3, 2025, ICON plc, announced that the large-scale next generation COVID vaccine study that was highlighted on our earnings call on February 20, 2025 as actively screening and moving forward as planned, has now also been delayed by the sponsor. Current information indicates a delay of 90 days, suggesting that the study will re-commence late in Q2 2025. While the delay will impact our revenue for the first half of 2025, at this time there is no change to our financial guidance for the full year 2025.</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statement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statement.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Nigel Clerkin, Chief Financial Officer +353 1 291 2000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2025-03-03T07:12:25Z</dcterms:created>
  <dcterms:modified xsi:type="dcterms:W3CDTF">2025-03-03T07:12:25Z</dcterms:modified>
</cp:coreProperties>
</file>