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5740400</wp:posOffset>
            </wp:positionH>
            <wp:positionV relativeFrom="page">
              <wp:posOffset>226060</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88265</wp:posOffset>
            </wp:positionV>
            <wp:extent cx="1663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80010</wp:posOffset>
            </wp:positionV>
            <wp:extent cx="1663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4"/>
          <w:szCs w:val="24"/>
          <w:color w:val="auto"/>
        </w:rPr>
      </w:pPr>
    </w:p>
    <w:p>
      <w:pPr>
        <w:jc w:val="both"/>
        <w:ind w:left="8880"/>
        <w:spacing w:after="0"/>
        <w:tabs>
          <w:tab w:leader="none" w:pos="1000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80010</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hours per response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5588000</wp:posOffset>
            </wp:positionH>
            <wp:positionV relativeFrom="paragraph">
              <wp:posOffset>75565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Icon Plc. Adr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45103T107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06" w:lineRule="exact"/>
        <w:rPr>
          <w:sz w:val="24"/>
          <w:szCs w:val="24"/>
          <w:color w:val="auto"/>
        </w:rPr>
      </w:pPr>
    </w:p>
    <w:p>
      <w:pPr>
        <w:ind w:left="220" w:right="6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 1745</w:t>
            </w:r>
          </w:p>
        </w:tc>
        <w:tc>
          <w:tcPr>
            <w:tcW w:w="10340" w:type="dxa"/>
            <w:vAlign w:val="bottom"/>
          </w:tcPr>
          <w:p>
            <w:pPr>
              <w:ind w:left="220"/>
              <w:spacing w:after="0"/>
              <w:rPr>
                <w:sz w:val="20"/>
                <w:szCs w:val="20"/>
                <w:color w:val="auto"/>
              </w:rPr>
            </w:pPr>
            <w:r>
              <w:rPr>
                <w:rFonts w:ascii="Arial" w:cs="Arial" w:eastAsia="Arial" w:hAnsi="Arial"/>
                <w:sz w:val="18"/>
                <w:szCs w:val="18"/>
                <w:b w:val="1"/>
                <w:bCs w:val="1"/>
                <w:color w:val="auto"/>
                <w:w w:val="86"/>
              </w:rPr>
              <w:t>Potential persons who are to respond to the collection of information contained in this form are not required to respond unless the form</w:t>
            </w:r>
          </w:p>
        </w:tc>
      </w:tr>
      <w:tr>
        <w:trPr>
          <w:trHeight w:val="228"/>
        </w:trPr>
        <w:tc>
          <w:tcPr>
            <w:tcW w:w="940" w:type="dxa"/>
            <w:vAlign w:val="bottom"/>
          </w:tcPr>
          <w:p>
            <w:pPr>
              <w:spacing w:after="0"/>
              <w:rPr>
                <w:sz w:val="20"/>
                <w:szCs w:val="20"/>
                <w:color w:val="auto"/>
              </w:rPr>
            </w:pPr>
            <w:r>
              <w:rPr>
                <w:rFonts w:ascii="Arial" w:cs="Arial" w:eastAsia="Arial" w:hAnsi="Arial"/>
                <w:sz w:val="18"/>
                <w:szCs w:val="18"/>
                <w:color w:val="auto"/>
              </w:rPr>
              <w:t>(12-02)</w:t>
            </w:r>
          </w:p>
        </w:tc>
        <w:tc>
          <w:tcPr>
            <w:tcW w:w="10340" w:type="dxa"/>
            <w:vAlign w:val="bottom"/>
          </w:tcPr>
          <w:p>
            <w:pPr>
              <w:ind w:left="220"/>
              <w:spacing w:after="0"/>
              <w:rPr>
                <w:sz w:val="20"/>
                <w:szCs w:val="20"/>
                <w:color w:val="auto"/>
              </w:rPr>
            </w:pPr>
            <w:r>
              <w:rPr>
                <w:rFonts w:ascii="Arial" w:cs="Arial" w:eastAsia="Arial" w:hAnsi="Arial"/>
                <w:sz w:val="18"/>
                <w:szCs w:val="18"/>
                <w:b w:val="1"/>
                <w:bCs w:val="1"/>
                <w:color w:val="auto"/>
              </w:rPr>
              <w:t>displays a currently valid OMB control number.</w:t>
            </w:r>
          </w:p>
        </w:tc>
      </w:tr>
    </w:tbl>
    <w:p>
      <w:pPr>
        <w:sectPr>
          <w:pgSz w:w="11900" w:h="16838" w:orient="portrait"/>
          <w:cols w:equalWidth="0" w:num="1">
            <w:col w:w="11400"/>
          </w:cols>
          <w:pgMar w:left="240" w:top="46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b w:val="1"/>
          <w:bCs w:val="1"/>
          <w:color w:val="auto"/>
        </w:rPr>
        <w:t>45103T107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FleetBoston Financial Corporation</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05-0341324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111 Westminster Street</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Providence, RI 02903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630,350</w:t>
            </w: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4"/>
              </w:rPr>
              <w:t>NUMBER OF</w:t>
            </w: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580" w:type="dxa"/>
            <w:vAlign w:val="bottom"/>
            <w:vMerge w:val="continue"/>
          </w:tcPr>
          <w:p>
            <w:pPr>
              <w:spacing w:after="0"/>
              <w:rPr>
                <w:sz w:val="13"/>
                <w:szCs w:val="13"/>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89"/>
              </w:rPr>
              <w:t>SHARES</w:t>
            </w:r>
          </w:p>
        </w:tc>
        <w:tc>
          <w:tcPr>
            <w:tcW w:w="320" w:type="dxa"/>
            <w:vAlign w:val="bottom"/>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OWNED BY</w:t>
            </w: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1"/>
              </w:rPr>
              <w:t>EACH</w:t>
            </w: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7.</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REPORTING</w:t>
            </w:r>
          </w:p>
        </w:tc>
        <w:tc>
          <w:tcPr>
            <w:tcW w:w="320" w:type="dxa"/>
            <w:vAlign w:val="bottom"/>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6"/>
              </w:rPr>
              <w:t>PERSON</w:t>
            </w:r>
          </w:p>
        </w:tc>
        <w:tc>
          <w:tcPr>
            <w:tcW w:w="320" w:type="dxa"/>
            <w:vAlign w:val="bottom"/>
          </w:tcPr>
          <w:p>
            <w:pPr>
              <w:spacing w:after="0"/>
              <w:rPr>
                <w:sz w:val="21"/>
                <w:szCs w:val="21"/>
                <w:color w:val="auto"/>
              </w:rPr>
            </w:pPr>
          </w:p>
        </w:tc>
        <w:tc>
          <w:tcPr>
            <w:tcW w:w="9380" w:type="dxa"/>
            <w:vAlign w:val="bottom"/>
          </w:tcPr>
          <w:p>
            <w:pPr>
              <w:ind w:left="540"/>
              <w:spacing w:after="0" w:line="251" w:lineRule="exact"/>
              <w:rPr>
                <w:sz w:val="20"/>
                <w:szCs w:val="20"/>
                <w:color w:val="auto"/>
              </w:rPr>
            </w:pPr>
            <w:r>
              <w:rPr>
                <w:rFonts w:ascii="Arial" w:cs="Arial" w:eastAsia="Arial" w:hAnsi="Arial"/>
                <w:sz w:val="22"/>
                <w:szCs w:val="22"/>
                <w:color w:val="auto"/>
              </w:rPr>
              <w:t>652,800</w:t>
            </w:r>
          </w:p>
        </w:tc>
        <w:tc>
          <w:tcPr>
            <w:tcW w:w="0" w:type="dxa"/>
            <w:vAlign w:val="bottom"/>
          </w:tcPr>
          <w:p>
            <w:pPr>
              <w:spacing w:after="0"/>
              <w:rPr>
                <w:sz w:val="1"/>
                <w:szCs w:val="1"/>
                <w:color w:val="auto"/>
              </w:rPr>
            </w:pPr>
          </w:p>
        </w:tc>
      </w:tr>
      <w:tr>
        <w:trPr>
          <w:trHeight w:val="162"/>
        </w:trPr>
        <w:tc>
          <w:tcPr>
            <w:tcW w:w="1580" w:type="dxa"/>
            <w:vAlign w:val="bottom"/>
          </w:tcPr>
          <w:p>
            <w:pPr>
              <w:jc w:val="center"/>
              <w:ind w:right="272"/>
              <w:spacing w:after="0" w:line="162"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384"/>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652,800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18" w:lineRule="exact"/>
        <w:rPr>
          <w:sz w:val="20"/>
          <w:szCs w:val="20"/>
          <w:color w:val="auto"/>
        </w:rPr>
      </w:pPr>
    </w:p>
    <w:p>
      <w:pPr>
        <w:jc w:val="right"/>
        <w:ind w:right="88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780" w:val="left"/>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 Icon Plc. Adr</w:t>
      </w:r>
    </w:p>
    <w:p>
      <w:pPr>
        <w:spacing w:after="0" w:line="123" w:lineRule="exact"/>
        <w:rPr>
          <w:sz w:val="20"/>
          <w:szCs w:val="20"/>
          <w:color w:val="auto"/>
        </w:rPr>
      </w:pPr>
    </w:p>
    <w:p>
      <w:pPr>
        <w:ind w:left="1620" w:hanging="815"/>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South County Business Park Leopardstown, Dublin, IE 18</w:t>
      </w:r>
    </w:p>
    <w:p>
      <w:pPr>
        <w:spacing w:after="0" w:line="105" w:lineRule="exact"/>
        <w:rPr>
          <w:sz w:val="20"/>
          <w:szCs w:val="20"/>
          <w:color w:val="auto"/>
        </w:rPr>
      </w:pPr>
    </w:p>
    <w:p>
      <w:pPr>
        <w:spacing w:after="0"/>
        <w:tabs>
          <w:tab w:leader="none" w:pos="780" w:val="left"/>
          <w:tab w:leader="none" w:pos="16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 FleetBoston Financial Corporation</w:t>
      </w:r>
    </w:p>
    <w:p>
      <w:pPr>
        <w:spacing w:after="0" w:line="123" w:lineRule="exact"/>
        <w:rPr>
          <w:sz w:val="20"/>
          <w:szCs w:val="20"/>
          <w:color w:val="auto"/>
        </w:rPr>
      </w:pPr>
    </w:p>
    <w:p>
      <w:pPr>
        <w:ind w:left="1620" w:right="4379" w:hanging="815"/>
        <w:spacing w:after="0" w:line="254"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100 Federal Street</w:t>
      </w:r>
    </w:p>
    <w:p>
      <w:pPr>
        <w:ind w:left="1620"/>
        <w:spacing w:after="0"/>
        <w:rPr>
          <w:rFonts w:ascii="Arial" w:cs="Arial" w:eastAsia="Arial" w:hAnsi="Arial"/>
          <w:sz w:val="18"/>
          <w:szCs w:val="18"/>
          <w:color w:val="auto"/>
        </w:rPr>
      </w:pPr>
      <w:r>
        <w:rPr>
          <w:rFonts w:ascii="Arial" w:cs="Arial" w:eastAsia="Arial" w:hAnsi="Arial"/>
          <w:sz w:val="18"/>
          <w:szCs w:val="18"/>
          <w:color w:val="auto"/>
        </w:rPr>
        <w:t>Boston, Massachusetts 02110</w:t>
      </w:r>
    </w:p>
    <w:p>
      <w:pPr>
        <w:spacing w:after="0" w:line="124" w:lineRule="exact"/>
        <w:rPr>
          <w:rFonts w:ascii="Arial" w:cs="Arial" w:eastAsia="Arial" w:hAnsi="Arial"/>
          <w:sz w:val="18"/>
          <w:szCs w:val="18"/>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Rhode Island</w:t>
      </w:r>
    </w:p>
    <w:p>
      <w:pPr>
        <w:spacing w:after="0" w:line="117" w:lineRule="exact"/>
        <w:rPr>
          <w:rFonts w:ascii="Arial" w:cs="Arial" w:eastAsia="Arial" w:hAnsi="Arial"/>
          <w:sz w:val="18"/>
          <w:szCs w:val="18"/>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11" w:lineRule="exact"/>
        <w:rPr>
          <w:rFonts w:ascii="Arial" w:cs="Arial" w:eastAsia="Arial" w:hAnsi="Arial"/>
          <w:sz w:val="18"/>
          <w:szCs w:val="18"/>
          <w:color w:val="auto"/>
        </w:rPr>
      </w:pPr>
    </w:p>
    <w:p>
      <w:pPr>
        <w:ind w:left="1620" w:hanging="8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CUSIP Number</w:t>
      </w:r>
      <w:r>
        <w:rPr>
          <w:rFonts w:ascii="Arial" w:cs="Arial" w:eastAsia="Arial" w:hAnsi="Arial"/>
          <w:sz w:val="18"/>
          <w:szCs w:val="18"/>
          <w:b w:val="1"/>
          <w:bCs w:val="1"/>
          <w:color w:val="auto"/>
        </w:rPr>
        <w:t>:  45103T107</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91" w:lineRule="exact"/>
        <w:rPr>
          <w:sz w:val="20"/>
          <w:szCs w:val="20"/>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620" w:hanging="815"/>
        <w:spacing w:after="0" w:line="184" w:lineRule="exact"/>
        <w:tabs>
          <w:tab w:leader="none" w:pos="1620" w:val="left"/>
        </w:tabs>
        <w:numPr>
          <w:ilvl w:val="0"/>
          <w:numId w:val="1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620" w:hanging="815"/>
        <w:spacing w:after="0" w:line="184" w:lineRule="exact"/>
        <w:tabs>
          <w:tab w:leader="none" w:pos="1620" w:val="left"/>
        </w:tabs>
        <w:numPr>
          <w:ilvl w:val="0"/>
          <w:numId w:val="1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140" w:lineRule="exact"/>
        <w:rPr>
          <w:rFonts w:ascii="Arial" w:cs="Arial" w:eastAsia="Arial" w:hAnsi="Arial"/>
          <w:sz w:val="16"/>
          <w:szCs w:val="16"/>
          <w:color w:val="auto"/>
        </w:rPr>
      </w:pPr>
    </w:p>
    <w:p>
      <w:pPr>
        <w:ind w:left="2020" w:right="739" w:hanging="1215"/>
        <w:spacing w:after="0" w:line="236" w:lineRule="exact"/>
        <w:tabs>
          <w:tab w:leader="none" w:pos="1615"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620" w:hanging="815"/>
        <w:spacing w:after="0" w:line="207" w:lineRule="exact"/>
        <w:tabs>
          <w:tab w:leader="none" w:pos="16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800" w:right="1040"/>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8" w:lineRule="exact"/>
        <w:rPr>
          <w:sz w:val="20"/>
          <w:szCs w:val="20"/>
          <w:color w:val="auto"/>
        </w:rPr>
      </w:pPr>
    </w:p>
    <w:p>
      <w:pPr>
        <w:ind w:left="1220" w:hanging="429"/>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652,800</w:t>
      </w:r>
    </w:p>
    <w:p>
      <w:pPr>
        <w:spacing w:after="0" w:line="117" w:lineRule="exact"/>
        <w:rPr>
          <w:rFonts w:ascii="Arial" w:cs="Arial" w:eastAsia="Arial" w:hAnsi="Arial"/>
          <w:sz w:val="18"/>
          <w:szCs w:val="18"/>
          <w:color w:val="auto"/>
        </w:rPr>
      </w:pPr>
    </w:p>
    <w:p>
      <w:pPr>
        <w:ind w:left="1220" w:hanging="429"/>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5.04%</w:t>
      </w:r>
    </w:p>
    <w:p>
      <w:pPr>
        <w:spacing w:after="0" w:line="117" w:lineRule="exact"/>
        <w:rPr>
          <w:rFonts w:ascii="Arial" w:cs="Arial" w:eastAsia="Arial" w:hAnsi="Arial"/>
          <w:sz w:val="18"/>
          <w:szCs w:val="18"/>
          <w:color w:val="auto"/>
        </w:rPr>
      </w:pPr>
    </w:p>
    <w:p>
      <w:pPr>
        <w:ind w:left="1220" w:hanging="429"/>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680" w:hanging="470"/>
        <w:spacing w:after="0"/>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630,350</w:t>
      </w:r>
    </w:p>
    <w:p>
      <w:pPr>
        <w:spacing w:after="0" w:line="117" w:lineRule="exact"/>
        <w:rPr>
          <w:rFonts w:ascii="Arial" w:cs="Arial" w:eastAsia="Arial" w:hAnsi="Arial"/>
          <w:sz w:val="18"/>
          <w:szCs w:val="18"/>
          <w:color w:val="auto"/>
        </w:rPr>
      </w:pPr>
    </w:p>
    <w:p>
      <w:pPr>
        <w:ind w:left="1680" w:hanging="470"/>
        <w:spacing w:after="0"/>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u w:val="single" w:color="auto"/>
          <w:color w:val="auto"/>
        </w:rPr>
        <w:t>0</w:t>
      </w:r>
    </w:p>
    <w:p>
      <w:pPr>
        <w:spacing w:after="0" w:line="117" w:lineRule="exact"/>
        <w:rPr>
          <w:rFonts w:ascii="Arial" w:cs="Arial" w:eastAsia="Arial" w:hAnsi="Arial"/>
          <w:sz w:val="18"/>
          <w:szCs w:val="18"/>
          <w:color w:val="auto"/>
        </w:rPr>
      </w:pPr>
    </w:p>
    <w:p>
      <w:pPr>
        <w:ind w:left="1680" w:hanging="470"/>
        <w:spacing w:after="0"/>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652,800</w:t>
      </w:r>
    </w:p>
    <w:p>
      <w:pPr>
        <w:spacing w:after="0" w:line="117" w:lineRule="exact"/>
        <w:rPr>
          <w:rFonts w:ascii="Arial" w:cs="Arial" w:eastAsia="Arial" w:hAnsi="Arial"/>
          <w:sz w:val="18"/>
          <w:szCs w:val="18"/>
          <w:color w:val="auto"/>
        </w:rPr>
      </w:pPr>
    </w:p>
    <w:p>
      <w:pPr>
        <w:ind w:left="1680" w:hanging="470"/>
        <w:spacing w:after="0"/>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u w:val="single" w:color="auto"/>
          <w:color w:val="auto"/>
        </w:rPr>
        <w:t>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1" w:lineRule="exact"/>
        <w:rPr>
          <w:sz w:val="20"/>
          <w:szCs w:val="20"/>
          <w:color w:val="auto"/>
        </w:rPr>
      </w:pPr>
    </w:p>
    <w:p>
      <w:pPr>
        <w:ind w:left="800" w:right="28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1" w:lineRule="exact"/>
        <w:rPr>
          <w:sz w:val="20"/>
          <w:szCs w:val="20"/>
          <w:color w:val="auto"/>
        </w:rPr>
      </w:pPr>
    </w:p>
    <w:p>
      <w:pPr>
        <w:ind w:left="800" w:right="580"/>
        <w:spacing w:after="0" w:line="253"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53" w:lineRule="exact"/>
        <w:rPr>
          <w:sz w:val="20"/>
          <w:szCs w:val="20"/>
          <w:color w:val="auto"/>
        </w:rPr>
      </w:pPr>
    </w:p>
    <w:p>
      <w:pPr>
        <w:ind w:left="800" w:right="340" w:hanging="782"/>
        <w:spacing w:after="0" w:line="257" w:lineRule="auto"/>
        <w:tabs>
          <w:tab w:leader="none" w:pos="7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1"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r>
        <w:rPr>
          <w:rFonts w:ascii="Arial" w:cs="Arial" w:eastAsia="Arial" w:hAnsi="Arial"/>
          <w:sz w:val="16"/>
          <w:szCs w:val="16"/>
          <w:b w:val="1"/>
          <w:bCs w:val="1"/>
          <w:color w:val="auto"/>
        </w:rPr>
        <w:t>Exhibit A Attached</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1" w:lineRule="exact"/>
        <w:rPr>
          <w:sz w:val="20"/>
          <w:szCs w:val="20"/>
          <w:color w:val="auto"/>
        </w:rPr>
      </w:pPr>
    </w:p>
    <w:p>
      <w:pPr>
        <w:ind w:left="800" w:right="580"/>
        <w:spacing w:after="0" w:line="302" w:lineRule="auto"/>
        <w:rPr>
          <w:sz w:val="20"/>
          <w:szCs w:val="20"/>
          <w:color w:val="auto"/>
        </w:rPr>
      </w:pPr>
      <w:r>
        <w:rPr>
          <w:rFonts w:ascii="Arial" w:cs="Arial" w:eastAsia="Arial" w:hAnsi="Arial"/>
          <w:sz w:val="16"/>
          <w:szCs w:val="16"/>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1" w:lineRule="exact"/>
        <w:rPr>
          <w:sz w:val="20"/>
          <w:szCs w:val="20"/>
          <w:color w:val="auto"/>
        </w:rPr>
      </w:pPr>
    </w:p>
    <w:p>
      <w:pPr>
        <w:jc w:val="both"/>
        <w:ind w:left="800" w:right="740"/>
        <w:spacing w:after="0" w:line="255"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0260"/>
          </w:cols>
          <w:pgMar w:left="240" w:top="274" w:right="139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21" w:lineRule="exact"/>
        <w:rPr>
          <w:sz w:val="20"/>
          <w:szCs w:val="20"/>
          <w:color w:val="auto"/>
        </w:rPr>
      </w:pPr>
    </w:p>
    <w:p>
      <w:pPr>
        <w:ind w:left="1240" w:hanging="422"/>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110" w:lineRule="exact"/>
        <w:rPr>
          <w:rFonts w:ascii="Arial" w:cs="Arial" w:eastAsia="Arial" w:hAnsi="Arial"/>
          <w:sz w:val="18"/>
          <w:szCs w:val="18"/>
          <w:color w:val="auto"/>
        </w:rPr>
      </w:pPr>
    </w:p>
    <w:p>
      <w:pPr>
        <w:ind w:left="1240" w:right="1140"/>
        <w:spacing w:after="0" w:line="256"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9" w:lineRule="exact"/>
        <w:rPr>
          <w:rFonts w:ascii="Arial" w:cs="Arial" w:eastAsia="Arial" w:hAnsi="Arial"/>
          <w:sz w:val="18"/>
          <w:szCs w:val="18"/>
          <w:color w:val="auto"/>
        </w:rPr>
      </w:pPr>
    </w:p>
    <w:p>
      <w:pPr>
        <w:ind w:left="1240" w:hanging="422"/>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rFonts w:ascii="Arial" w:cs="Arial" w:eastAsia="Arial" w:hAnsi="Arial"/>
          <w:sz w:val="18"/>
          <w:szCs w:val="18"/>
          <w:color w:val="auto"/>
        </w:rPr>
      </w:pPr>
    </w:p>
    <w:p>
      <w:pPr>
        <w:jc w:val="both"/>
        <w:ind w:left="1240" w:right="1220"/>
        <w:spacing w:after="0" w:line="306"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February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5"/>
          <w:szCs w:val="15"/>
          <w:b w:val="1"/>
          <w:bCs w:val="1"/>
          <w:color w:val="auto"/>
        </w:rPr>
        <w:t>Ernest L. Puschaver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Ernest L. Puschaver,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Name/Title</w:t>
      </w:r>
    </w:p>
    <w:p>
      <w:pPr>
        <w:spacing w:after="0" w:line="139"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Attention:</w:t>
      </w:r>
      <w:r>
        <w:rPr>
          <w:sz w:val="20"/>
          <w:szCs w:val="20"/>
          <w:color w:val="auto"/>
        </w:rPr>
        <w:tab/>
      </w:r>
      <w:r>
        <w:rPr>
          <w:rFonts w:ascii="Arial" w:cs="Arial" w:eastAsia="Arial" w:hAnsi="Arial"/>
          <w:sz w:val="18"/>
          <w:szCs w:val="18"/>
          <w:b w:val="1"/>
          <w:bCs w:val="1"/>
          <w:color w:val="auto"/>
        </w:rPr>
        <w:t>Intentional misstatements or omissions of fact constitute Federal criminal violations (See 18 U.S.C. 1001)</w:t>
      </w:r>
    </w:p>
    <w:p>
      <w:pPr>
        <w:sectPr>
          <w:pgSz w:w="11900" w:h="16838" w:orient="portrait"/>
          <w:cols w:equalWidth="0" w:num="1">
            <w:col w:w="11280"/>
          </w:cols>
          <w:pgMar w:left="240" w:top="382"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3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Icon Plc. Adr</w:t>
            </w:r>
          </w:p>
        </w:tc>
      </w:tr>
      <w:tr>
        <w:trPr>
          <w:trHeight w:val="302"/>
        </w:trPr>
        <w:tc>
          <w:tcPr>
            <w:tcW w:w="2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Exhibit A</w:t>
            </w:r>
          </w:p>
        </w:tc>
        <w:tc>
          <w:tcPr>
            <w:tcW w:w="1200" w:type="dxa"/>
            <w:vAlign w:val="bottom"/>
            <w:gridSpan w:val="2"/>
          </w:tcPr>
          <w:p>
            <w:pPr>
              <w:spacing w:after="0"/>
              <w:rPr>
                <w:sz w:val="24"/>
                <w:szCs w:val="24"/>
                <w:color w:val="auto"/>
              </w:rPr>
            </w:pPr>
          </w:p>
        </w:tc>
      </w:tr>
      <w:tr>
        <w:trPr>
          <w:trHeight w:val="312"/>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Subsidiary Acquiring Securities</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r>
      <w:tr>
        <w:trPr>
          <w:trHeight w:val="95"/>
        </w:trPr>
        <w:tc>
          <w:tcPr>
            <w:tcW w:w="248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r>
      <w:tr>
        <w:trPr>
          <w:trHeight w:val="303"/>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Fleet National Bank</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Bank</w:t>
            </w:r>
          </w:p>
        </w:tc>
      </w:tr>
      <w:tr>
        <w:trPr>
          <w:trHeight w:val="228"/>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Columbia Management Advisors, Inc.</w:t>
            </w: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86"/>
              </w:rPr>
              <w:t>Investment Adviser</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0" w:num="1">
        <w:col w:w="10219"/>
      </w:cols>
      <w:pgMar w:left="240" w:top="2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2"/>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2019-12-14T20:51:39Z</dcterms:created>
  <dcterms:modified xsi:type="dcterms:W3CDTF">2019-12-14T20:51:39Z</dcterms:modified>
</cp:coreProperties>
</file>