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FORM 6-K</w:t>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Report of Foreign Private Issuer</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Rule 13a - 16 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quarterly period ended November 30, 2005</w:t>
      </w:r>
    </w:p>
    <w:p>
      <w:pPr>
        <w:spacing w:after="0" w:line="200" w:lineRule="exact"/>
        <w:rPr>
          <w:sz w:val="24"/>
          <w:szCs w:val="24"/>
          <w:color w:val="auto"/>
        </w:rPr>
      </w:pPr>
    </w:p>
    <w:p>
      <w:pPr>
        <w:spacing w:after="0" w:line="327"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ICON plc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name)</w:t>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0-29714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South County Business Park, Leopardstown, Dublin 18, Ireland.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303" w:lineRule="exact"/>
        <w:rPr>
          <w:sz w:val="24"/>
          <w:szCs w:val="24"/>
          <w:color w:val="auto"/>
        </w:rPr>
      </w:pPr>
    </w:p>
    <w:p>
      <w:pPr>
        <w:ind w:left="3980"/>
        <w:spacing w:after="0"/>
        <w:tabs>
          <w:tab w:leader="none" w:pos="7540" w:val="left"/>
        </w:tabs>
        <w:rPr>
          <w:sz w:val="20"/>
          <w:szCs w:val="20"/>
          <w:color w:val="auto"/>
        </w:rPr>
      </w:pPr>
      <w:r>
        <w:rPr>
          <w:rFonts w:ascii="Arial" w:cs="Arial" w:eastAsia="Arial" w:hAnsi="Arial"/>
          <w:sz w:val="17"/>
          <w:szCs w:val="17"/>
          <w:color w:val="auto"/>
        </w:rPr>
        <w:t>Yes___</w:t>
      </w:r>
      <w:r>
        <w:rPr>
          <w:rFonts w:ascii="Arial" w:cs="Arial" w:eastAsia="Arial" w:hAnsi="Arial"/>
          <w:sz w:val="17"/>
          <w:szCs w:val="17"/>
          <w:b w:val="1"/>
          <w:bCs w:val="1"/>
          <w:u w:val="single" w:color="auto"/>
          <w:color w:val="auto"/>
        </w:rPr>
        <w:t>X</w:t>
      </w:r>
      <w:r>
        <w:rPr>
          <w:rFonts w:ascii="Arial" w:cs="Arial" w:eastAsia="Arial" w:hAnsi="Arial"/>
          <w:sz w:val="17"/>
          <w:szCs w:val="17"/>
          <w:color w:val="auto"/>
        </w:rPr>
        <w:t>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_</w:t>
      </w:r>
      <w:r>
        <w:rPr>
          <w:rFonts w:ascii="Arial" w:cs="Arial" w:eastAsia="Arial" w:hAnsi="Arial"/>
          <w:sz w:val="15"/>
          <w:szCs w:val="15"/>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submitting the Form 6-K in paper as permitted by Regulation S-T Rule 101(b)(1):</w:t>
      </w:r>
    </w:p>
    <w:p>
      <w:pPr>
        <w:spacing w:after="0" w:line="303" w:lineRule="exact"/>
        <w:rPr>
          <w:sz w:val="24"/>
          <w:szCs w:val="24"/>
          <w:color w:val="auto"/>
        </w:rPr>
      </w:pPr>
    </w:p>
    <w:p>
      <w:pPr>
        <w:ind w:left="4020"/>
        <w:spacing w:after="0"/>
        <w:tabs>
          <w:tab w:leader="none" w:pos="7460" w:val="left"/>
        </w:tabs>
        <w:rPr>
          <w:sz w:val="20"/>
          <w:szCs w:val="20"/>
          <w:color w:val="auto"/>
        </w:rPr>
      </w:pPr>
      <w:r>
        <w:rPr>
          <w:rFonts w:ascii="Arial" w:cs="Arial" w:eastAsia="Arial" w:hAnsi="Arial"/>
          <w:sz w:val="17"/>
          <w:szCs w:val="17"/>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submitting the Form 6-K in paper as permitted by Regulation S-T Rule 101(b)(7):</w:t>
      </w:r>
    </w:p>
    <w:p>
      <w:pPr>
        <w:spacing w:after="0" w:line="303" w:lineRule="exact"/>
        <w:rPr>
          <w:sz w:val="24"/>
          <w:szCs w:val="24"/>
          <w:color w:val="auto"/>
        </w:rPr>
      </w:pPr>
    </w:p>
    <w:p>
      <w:pPr>
        <w:ind w:left="4020"/>
        <w:spacing w:after="0"/>
        <w:tabs>
          <w:tab w:leader="none" w:pos="7460" w:val="left"/>
        </w:tabs>
        <w:rPr>
          <w:sz w:val="20"/>
          <w:szCs w:val="20"/>
          <w:color w:val="auto"/>
        </w:rPr>
      </w:pPr>
      <w:r>
        <w:rPr>
          <w:rFonts w:ascii="Arial" w:cs="Arial" w:eastAsia="Arial" w:hAnsi="Arial"/>
          <w:sz w:val="17"/>
          <w:szCs w:val="17"/>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ind w:left="3980"/>
              <w:spacing w:after="0"/>
              <w:rPr>
                <w:sz w:val="20"/>
                <w:szCs w:val="20"/>
                <w:color w:val="auto"/>
              </w:rPr>
            </w:pPr>
            <w:r>
              <w:rPr>
                <w:rFonts w:ascii="Arial" w:cs="Arial" w:eastAsia="Arial" w:hAnsi="Arial"/>
                <w:sz w:val="17"/>
                <w:szCs w:val="17"/>
                <w:color w:val="auto"/>
              </w:rPr>
              <w:t>Yes___</w:t>
            </w:r>
            <w:r>
              <w:rPr>
                <w:rFonts w:ascii="Arial" w:cs="Arial" w:eastAsia="Arial" w:hAnsi="Arial"/>
                <w:sz w:val="17"/>
                <w:szCs w:val="17"/>
                <w:b w:val="1"/>
                <w:bCs w:val="1"/>
                <w:color w:val="auto"/>
              </w:rPr>
              <w:t>_</w:t>
            </w:r>
            <w:r>
              <w:rPr>
                <w:rFonts w:ascii="Arial" w:cs="Arial" w:eastAsia="Arial" w:hAnsi="Arial"/>
                <w:sz w:val="17"/>
                <w:szCs w:val="17"/>
                <w:color w:val="auto"/>
              </w:rPr>
              <w:t>___</w:t>
            </w:r>
          </w:p>
        </w:tc>
        <w:tc>
          <w:tcPr>
            <w:tcW w:w="2360" w:type="dxa"/>
            <w:vAlign w:val="bottom"/>
            <w:gridSpan w:val="3"/>
          </w:tcPr>
          <w:p>
            <w:pPr>
              <w:ind w:left="1340"/>
              <w:spacing w:after="0"/>
              <w:rPr>
                <w:sz w:val="20"/>
                <w:szCs w:val="20"/>
                <w:color w:val="auto"/>
              </w:rPr>
            </w:pP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tc>
        <w:tc>
          <w:tcPr>
            <w:tcW w:w="2880" w:type="dxa"/>
            <w:vAlign w:val="bottom"/>
          </w:tcPr>
          <w:p>
            <w:pPr>
              <w:spacing w:after="0"/>
              <w:rPr>
                <w:sz w:val="16"/>
                <w:szCs w:val="16"/>
                <w:color w:val="auto"/>
              </w:rPr>
            </w:pPr>
          </w:p>
        </w:tc>
      </w:tr>
      <w:tr>
        <w:trPr>
          <w:trHeight w:val="536"/>
        </w:trPr>
        <w:tc>
          <w:tcPr>
            <w:tcW w:w="8000" w:type="dxa"/>
            <w:vAlign w:val="bottom"/>
            <w:gridSpan w:val="2"/>
          </w:tcPr>
          <w:p>
            <w:pPr>
              <w:spacing w:after="0"/>
              <w:rPr>
                <w:sz w:val="20"/>
                <w:szCs w:val="20"/>
                <w:color w:val="auto"/>
              </w:rPr>
            </w:pPr>
            <w:r>
              <w:rPr>
                <w:rFonts w:ascii="Arial" w:cs="Arial" w:eastAsia="Arial" w:hAnsi="Arial"/>
                <w:sz w:val="17"/>
                <w:szCs w:val="17"/>
                <w:color w:val="auto"/>
                <w:w w:val="94"/>
              </w:rPr>
              <w:t>If “Yes” is marked, indicate below the file number assigned to the registrant in connection with Rule 12g3-2(b):82</w:t>
            </w:r>
          </w:p>
        </w:tc>
        <w:tc>
          <w:tcPr>
            <w:tcW w:w="1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7"/>
                <w:szCs w:val="17"/>
                <w:b w:val="1"/>
                <w:bCs w:val="1"/>
                <w:color w:val="auto"/>
              </w:rPr>
              <w:t>N/A</w:t>
            </w:r>
          </w:p>
        </w:tc>
      </w:tr>
      <w:tr>
        <w:trPr>
          <w:trHeight w:val="358"/>
        </w:trPr>
        <w:tc>
          <w:tcPr>
            <w:tcW w:w="61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0" w:type="dxa"/>
            <w:vAlign w:val="bottom"/>
          </w:tcPr>
          <w:p>
            <w:pPr>
              <w:jc w:val="center"/>
              <w:ind w:left="2714"/>
              <w:spacing w:after="0"/>
              <w:rPr>
                <w:sz w:val="20"/>
                <w:szCs w:val="20"/>
                <w:color w:val="auto"/>
              </w:rPr>
            </w:pPr>
            <w:r>
              <w:rPr>
                <w:rFonts w:ascii="Arial" w:cs="Arial" w:eastAsia="Arial" w:hAnsi="Arial"/>
                <w:sz w:val="17"/>
                <w:szCs w:val="17"/>
                <w:b w:val="1"/>
                <w:bCs w:val="1"/>
                <w:color w:val="auto"/>
              </w:rPr>
              <w:t>ICON plc</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600" w:type="dxa"/>
            <w:vAlign w:val="bottom"/>
          </w:tcPr>
          <w:p>
            <w:pPr>
              <w:jc w:val="center"/>
              <w:ind w:left="2714"/>
              <w:spacing w:after="0"/>
              <w:rPr>
                <w:sz w:val="20"/>
                <w:szCs w:val="20"/>
                <w:color w:val="auto"/>
              </w:rPr>
            </w:pPr>
            <w:r>
              <w:rPr>
                <w:rFonts w:ascii="Arial" w:cs="Arial" w:eastAsia="Arial" w:hAnsi="Arial"/>
                <w:sz w:val="17"/>
                <w:szCs w:val="17"/>
                <w:b w:val="1"/>
                <w:bCs w:val="1"/>
                <w:color w:val="auto"/>
                <w:w w:val="92"/>
              </w:rPr>
              <w:t>Quarterly Period Ended November 30, 2005</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CONTENTS</w:t>
            </w:r>
          </w:p>
        </w:tc>
        <w:tc>
          <w:tcPr>
            <w:tcW w:w="2800" w:type="dxa"/>
            <w:vAlign w:val="bottom"/>
          </w:tcPr>
          <w:p>
            <w:pPr>
              <w:ind w:left="12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86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General</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Balance Sheets as at</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November 30, 2005 and May 31, 2005</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Operations for</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the three and six months ended November 30, 2005 and 2004</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Cash Flows for</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the six months ended November 30, 2005 and 2004</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Shareholders’</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Equity and Comprehensive Income</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Notes to the Condensed Consolidated Financial Statements</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Management’s Discussion and Analysis of</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Financial Condition and Results of Operations</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Signature Page</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“ICON”, the “Company” and “we” refer to ICON plc and its consolidated subsidiaries, unless the context requires otherwise.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3,000 employees worldwide, with operations in 39 locations in 25 countries, including the United States and major markets in Europe and Rest of World and have managed clinical trials in over 55 countries. For the six months ended November 30, 2005, we derived approximately 57.1%, 35.2%, and 7.7% of our net revenue in the United States, Europe and Rest of World,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Dublin, Ireland, we began operations in 1990 and have expanded our business through internal growth and strategic acquisitions.</w:t>
      </w:r>
    </w:p>
    <w:p>
      <w:pPr>
        <w:spacing w:after="0" w:line="270"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On July 27, 2005 the Board of Directors of the Company approved a change of the Company’s fiscal year end from a twelve-month period ending on May 31 to a twelve-month period ending on December 31. The Company is making this change in order to align its fiscal year end with the majority of other contract research organizations. As a requirement of this change, the Company will report results for the seven-month period from June 1, 2005 to December 31, 2005 as a separate transition period in a Transition Report filed on Form 20-F. Going forward, the Company’s fiscal quarters will end on the last day of March, June, September and December of each year.</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AT NOVEMBER 30, 2005 AND MAY 31, 2005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7"/>
              </w:rPr>
              <w:t>(Unaudited)</w:t>
            </w:r>
          </w:p>
        </w:tc>
        <w:tc>
          <w:tcPr>
            <w:tcW w:w="7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8"/>
              </w:rPr>
              <w:t>(Audited)</w:t>
            </w:r>
          </w:p>
        </w:tc>
        <w:tc>
          <w:tcPr>
            <w:tcW w:w="1000" w:type="dxa"/>
            <w:vAlign w:val="bottom"/>
            <w:gridSpan w:val="3"/>
          </w:tcPr>
          <w:p>
            <w:pPr>
              <w:spacing w:after="0"/>
              <w:rPr>
                <w:sz w:val="16"/>
                <w:szCs w:val="16"/>
                <w:color w:val="auto"/>
              </w:rPr>
            </w:pPr>
          </w:p>
        </w:tc>
      </w:tr>
      <w:tr>
        <w:trPr>
          <w:trHeight w:val="213"/>
        </w:trPr>
        <w:tc>
          <w:tcPr>
            <w:tcW w:w="8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6"/>
                <w:szCs w:val="16"/>
                <w:b w:val="1"/>
                <w:bCs w:val="1"/>
                <w:color w:val="auto"/>
                <w:w w:val="85"/>
              </w:rPr>
              <w:t>November 30,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6"/>
          </w:tcPr>
          <w:p>
            <w:pPr>
              <w:spacing w:after="0"/>
              <w:rPr>
                <w:sz w:val="20"/>
                <w:szCs w:val="20"/>
                <w:color w:val="auto"/>
              </w:rPr>
            </w:pPr>
            <w:r>
              <w:rPr>
                <w:rFonts w:ascii="Arial" w:cs="Arial" w:eastAsia="Arial" w:hAnsi="Arial"/>
                <w:sz w:val="16"/>
                <w:szCs w:val="16"/>
                <w:b w:val="1"/>
                <w:bCs w:val="1"/>
                <w:color w:val="auto"/>
              </w:rPr>
              <w:t>November 30,</w:t>
            </w:r>
          </w:p>
        </w:tc>
      </w:tr>
      <w:tr>
        <w:trPr>
          <w:trHeight w:val="20"/>
        </w:trPr>
        <w:tc>
          <w:tcPr>
            <w:tcW w:w="8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8120" w:type="dxa"/>
            <w:vAlign w:val="bottom"/>
          </w:tcPr>
          <w:p>
            <w:pPr>
              <w:spacing w:after="0"/>
              <w:rPr>
                <w:sz w:val="18"/>
                <w:szCs w:val="18"/>
                <w:color w:val="auto"/>
              </w:rPr>
            </w:pPr>
          </w:p>
        </w:tc>
        <w:tc>
          <w:tcPr>
            <w:tcW w:w="840" w:type="dxa"/>
            <w:vAlign w:val="bottom"/>
            <w:gridSpan w:val="4"/>
          </w:tcPr>
          <w:p>
            <w:pPr>
              <w:ind w:left="40"/>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ind w:left="40"/>
              <w:spacing w:after="0"/>
              <w:rPr>
                <w:sz w:val="20"/>
                <w:szCs w:val="20"/>
                <w:color w:val="auto"/>
              </w:rPr>
            </w:pPr>
            <w:r>
              <w:rPr>
                <w:rFonts w:ascii="Arial" w:cs="Arial" w:eastAsia="Arial" w:hAnsi="Arial"/>
                <w:sz w:val="16"/>
                <w:szCs w:val="16"/>
                <w:b w:val="1"/>
                <w:bCs w:val="1"/>
                <w:color w:val="auto"/>
                <w:w w:val="84"/>
              </w:rPr>
              <w:t>2005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8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gridSpan w:val="3"/>
          </w:tcPr>
          <w:p>
            <w:pPr>
              <w:ind w:left="28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2"/>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ASSETS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Current Assets: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Cash and cash equivalents</w:t>
            </w:r>
          </w:p>
        </w:tc>
        <w:tc>
          <w:tcPr>
            <w:tcW w:w="840" w:type="dxa"/>
            <w:vAlign w:val="bottom"/>
            <w:gridSpan w:val="4"/>
            <w:shd w:val="clear" w:color="auto" w:fill="E2EEF6"/>
          </w:tcPr>
          <w:p>
            <w:pPr>
              <w:ind w:left="220"/>
              <w:spacing w:after="0"/>
              <w:rPr>
                <w:sz w:val="20"/>
                <w:szCs w:val="20"/>
                <w:color w:val="auto"/>
              </w:rPr>
            </w:pPr>
            <w:r>
              <w:rPr>
                <w:rFonts w:ascii="Arial" w:cs="Arial" w:eastAsia="Arial" w:hAnsi="Arial"/>
                <w:sz w:val="17"/>
                <w:szCs w:val="17"/>
                <w:color w:val="auto"/>
                <w:w w:val="90"/>
              </w:rPr>
              <w:t>$ 56,430</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220"/>
              <w:spacing w:after="0"/>
              <w:rPr>
                <w:sz w:val="20"/>
                <w:szCs w:val="20"/>
                <w:color w:val="auto"/>
              </w:rPr>
            </w:pPr>
            <w:r>
              <w:rPr>
                <w:rFonts w:ascii="Arial" w:cs="Arial" w:eastAsia="Arial" w:hAnsi="Arial"/>
                <w:sz w:val="17"/>
                <w:szCs w:val="17"/>
                <w:color w:val="auto"/>
              </w:rPr>
              <w:t>$56,341</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Short term investments - available for sale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25,812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22,034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Accounts receivable</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63,727</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80,486</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Unbilled revenue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75,589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56,762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receivables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6,079</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5,662</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Deferred tax asset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2,637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2,637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Prepayments and other current assets</w:t>
            </w:r>
          </w:p>
        </w:tc>
        <w:tc>
          <w:tcPr>
            <w:tcW w:w="220" w:type="dxa"/>
            <w:vAlign w:val="bottom"/>
            <w:tcBorders>
              <w:bottom w:val="single" w:sz="8" w:color="E2EEF6"/>
            </w:tcBorders>
            <w:gridSpan w:val="2"/>
            <w:shd w:val="clear" w:color="auto" w:fill="E2EEF6"/>
          </w:tcPr>
          <w:p>
            <w:pPr>
              <w:spacing w:after="0"/>
              <w:rPr>
                <w:sz w:val="22"/>
                <w:szCs w:val="22"/>
                <w:color w:val="auto"/>
              </w:rPr>
            </w:pPr>
          </w:p>
        </w:tc>
        <w:tc>
          <w:tcPr>
            <w:tcW w:w="620" w:type="dxa"/>
            <w:vAlign w:val="bottom"/>
            <w:tcBorders>
              <w:bottom w:val="single" w:sz="8" w:color="E2EEF6"/>
            </w:tcBorders>
            <w:gridSpan w:val="2"/>
            <w:shd w:val="clear" w:color="auto" w:fill="E2EEF6"/>
          </w:tcPr>
          <w:p>
            <w:pPr>
              <w:ind w:left="120"/>
              <w:spacing w:after="0"/>
              <w:rPr>
                <w:sz w:val="20"/>
                <w:szCs w:val="20"/>
                <w:color w:val="auto"/>
              </w:rPr>
            </w:pPr>
            <w:r>
              <w:rPr>
                <w:rFonts w:ascii="Arial" w:cs="Arial" w:eastAsia="Arial" w:hAnsi="Arial"/>
                <w:sz w:val="17"/>
                <w:szCs w:val="17"/>
                <w:color w:val="auto"/>
                <w:w w:val="92"/>
              </w:rPr>
              <w:t>11,093</w:t>
            </w:r>
          </w:p>
        </w:tc>
        <w:tc>
          <w:tcPr>
            <w:tcW w:w="120" w:type="dxa"/>
            <w:vAlign w:val="bottom"/>
            <w:tcBorders>
              <w:bottom w:val="single" w:sz="8" w:color="E2EEF6"/>
            </w:tcBorders>
            <w:shd w:val="clear" w:color="auto" w:fill="E2EEF6"/>
          </w:tcPr>
          <w:p>
            <w:pPr>
              <w:spacing w:after="0"/>
              <w:rPr>
                <w:sz w:val="22"/>
                <w:szCs w:val="22"/>
                <w:color w:val="auto"/>
              </w:rPr>
            </w:pPr>
          </w:p>
        </w:tc>
        <w:tc>
          <w:tcPr>
            <w:tcW w:w="660" w:type="dxa"/>
            <w:vAlign w:val="bottom"/>
            <w:tcBorders>
              <w:bottom w:val="single" w:sz="8" w:color="E2EEF6"/>
            </w:tcBorders>
            <w:shd w:val="clear" w:color="auto" w:fill="E2EEF6"/>
          </w:tcPr>
          <w:p>
            <w:pPr>
              <w:spacing w:after="0"/>
              <w:rPr>
                <w:sz w:val="22"/>
                <w:szCs w:val="22"/>
                <w:color w:val="auto"/>
              </w:rPr>
            </w:pPr>
          </w:p>
        </w:tc>
        <w:tc>
          <w:tcPr>
            <w:tcW w:w="960" w:type="dxa"/>
            <w:vAlign w:val="bottom"/>
            <w:tcBorders>
              <w:bottom w:val="single" w:sz="8" w:color="E2EEF6"/>
            </w:tcBorders>
            <w:gridSpan w:val="5"/>
            <w:shd w:val="clear" w:color="auto" w:fill="E2EEF6"/>
          </w:tcPr>
          <w:p>
            <w:pPr>
              <w:ind w:left="320"/>
              <w:spacing w:after="0"/>
              <w:rPr>
                <w:sz w:val="20"/>
                <w:szCs w:val="20"/>
                <w:color w:val="auto"/>
              </w:rPr>
            </w:pPr>
            <w:r>
              <w:rPr>
                <w:rFonts w:ascii="Arial" w:cs="Arial" w:eastAsia="Arial" w:hAnsi="Arial"/>
                <w:sz w:val="17"/>
                <w:szCs w:val="17"/>
                <w:color w:val="auto"/>
              </w:rPr>
              <w:t>10,717</w:t>
            </w:r>
          </w:p>
        </w:tc>
        <w:tc>
          <w:tcPr>
            <w:tcW w:w="620" w:type="dxa"/>
            <w:vAlign w:val="bottom"/>
            <w:tcBorders>
              <w:bottom w:val="single" w:sz="8" w:color="E2EEF6"/>
            </w:tcBorders>
            <w:shd w:val="clear" w:color="auto" w:fill="E2EEF6"/>
          </w:tcPr>
          <w:p>
            <w:pPr>
              <w:spacing w:after="0"/>
              <w:rPr>
                <w:sz w:val="22"/>
                <w:szCs w:val="22"/>
                <w:color w:val="auto"/>
              </w:rPr>
            </w:pPr>
          </w:p>
        </w:tc>
        <w:tc>
          <w:tcPr>
            <w:tcW w:w="100" w:type="dxa"/>
            <w:vAlign w:val="bottom"/>
            <w:tcBorders>
              <w:bottom w:val="single" w:sz="8" w:color="E2EEF6"/>
            </w:tcBorders>
            <w:shd w:val="clear" w:color="auto" w:fill="E2EEF6"/>
          </w:tcPr>
          <w:p>
            <w:pPr>
              <w:spacing w:after="0"/>
              <w:rPr>
                <w:sz w:val="22"/>
                <w:szCs w:val="22"/>
                <w:color w:val="auto"/>
              </w:rPr>
            </w:pPr>
          </w:p>
        </w:tc>
      </w:tr>
      <w:tr>
        <w:trPr>
          <w:trHeight w:val="252"/>
        </w:trPr>
        <w:tc>
          <w:tcPr>
            <w:tcW w:w="8120" w:type="dxa"/>
            <w:vAlign w:val="bottom"/>
            <w:tcBorders>
              <w:top w:val="single" w:sz="8" w:color="E2EEF6"/>
            </w:tcBorders>
          </w:tcPr>
          <w:p>
            <w:pPr>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E2EEF6"/>
            </w:tcBorders>
            <w:gridSpan w:val="2"/>
          </w:tcPr>
          <w:p>
            <w:pPr>
              <w:spacing w:after="0"/>
              <w:rPr>
                <w:sz w:val="21"/>
                <w:szCs w:val="21"/>
                <w:color w:val="auto"/>
              </w:rPr>
            </w:pPr>
          </w:p>
        </w:tc>
        <w:tc>
          <w:tcPr>
            <w:tcW w:w="740" w:type="dxa"/>
            <w:vAlign w:val="bottom"/>
            <w:tcBorders>
              <w:top w:val="single" w:sz="8" w:color="auto"/>
            </w:tcBorders>
            <w:gridSpan w:val="3"/>
          </w:tcPr>
          <w:p>
            <w:pPr>
              <w:ind w:left="120"/>
              <w:spacing w:after="0"/>
              <w:rPr>
                <w:sz w:val="20"/>
                <w:szCs w:val="20"/>
                <w:color w:val="auto"/>
              </w:rPr>
            </w:pPr>
            <w:r>
              <w:rPr>
                <w:rFonts w:ascii="Arial" w:cs="Arial" w:eastAsia="Arial" w:hAnsi="Arial"/>
                <w:sz w:val="17"/>
                <w:szCs w:val="17"/>
                <w:color w:val="auto"/>
                <w:w w:val="97"/>
              </w:rPr>
              <w:t>241,367</w:t>
            </w:r>
          </w:p>
        </w:tc>
        <w:tc>
          <w:tcPr>
            <w:tcW w:w="66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gridSpan w:val="2"/>
          </w:tcPr>
          <w:p>
            <w:pPr>
              <w:spacing w:after="0"/>
              <w:rPr>
                <w:sz w:val="21"/>
                <w:szCs w:val="21"/>
                <w:color w:val="auto"/>
              </w:rPr>
            </w:pPr>
          </w:p>
        </w:tc>
        <w:tc>
          <w:tcPr>
            <w:tcW w:w="740" w:type="dxa"/>
            <w:vAlign w:val="bottom"/>
            <w:tcBorders>
              <w:top w:val="single" w:sz="8" w:color="auto"/>
            </w:tcBorders>
            <w:gridSpan w:val="3"/>
          </w:tcPr>
          <w:p>
            <w:pPr>
              <w:ind w:left="100"/>
              <w:spacing w:after="0"/>
              <w:rPr>
                <w:sz w:val="20"/>
                <w:szCs w:val="20"/>
                <w:color w:val="auto"/>
              </w:rPr>
            </w:pPr>
            <w:r>
              <w:rPr>
                <w:rFonts w:ascii="Arial" w:cs="Arial" w:eastAsia="Arial" w:hAnsi="Arial"/>
                <w:sz w:val="17"/>
                <w:szCs w:val="17"/>
                <w:color w:val="auto"/>
              </w:rPr>
              <w:t>234,639</w:t>
            </w: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E2EEF6"/>
            </w:tcBorders>
          </w:tcPr>
          <w:p>
            <w:pPr>
              <w:spacing w:after="0"/>
              <w:rPr>
                <w:sz w:val="21"/>
                <w:szCs w:val="21"/>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Assets: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47,616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45,286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Goodwill</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65,763</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67,440</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Intangible assets</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gridSpan w:val="4"/>
          </w:tcPr>
          <w:p>
            <w:pPr>
              <w:ind w:left="320"/>
              <w:spacing w:after="0"/>
              <w:rPr>
                <w:sz w:val="20"/>
                <w:szCs w:val="20"/>
                <w:color w:val="auto"/>
              </w:rPr>
            </w:pPr>
            <w:r>
              <w:rPr>
                <w:rFonts w:ascii="Arial" w:cs="Arial" w:eastAsia="Arial" w:hAnsi="Arial"/>
                <w:sz w:val="17"/>
                <w:szCs w:val="17"/>
                <w:color w:val="auto"/>
              </w:rPr>
              <w:t>188</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12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500" w:type="dxa"/>
            <w:vAlign w:val="bottom"/>
            <w:tcBorders>
              <w:top w:val="single" w:sz="8" w:color="auto"/>
            </w:tcBorders>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660" w:type="dxa"/>
            <w:vAlign w:val="bottom"/>
            <w:tcBorders>
              <w:top w:val="single" w:sz="8" w:color="auto"/>
            </w:tcBorders>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320" w:type="dxa"/>
            <w:vAlign w:val="bottom"/>
            <w:tcBorders>
              <w:top w:val="single" w:sz="8" w:color="auto"/>
            </w:tcBorders>
            <w:shd w:val="clear" w:color="auto" w:fill="E2EEF6"/>
          </w:tcPr>
          <w:p>
            <w:pPr>
              <w:spacing w:after="0"/>
              <w:rPr>
                <w:sz w:val="19"/>
                <w:szCs w:val="19"/>
                <w:color w:val="auto"/>
              </w:rPr>
            </w:pPr>
          </w:p>
        </w:tc>
        <w:tc>
          <w:tcPr>
            <w:tcW w:w="280" w:type="dxa"/>
            <w:vAlign w:val="bottom"/>
            <w:tcBorders>
              <w:top w:val="single" w:sz="8" w:color="auto"/>
            </w:tcBorders>
            <w:shd w:val="clear" w:color="auto" w:fill="E2EEF6"/>
          </w:tcPr>
          <w:p>
            <w:pPr>
              <w:spacing w:after="0"/>
              <w:rPr>
                <w:sz w:val="19"/>
                <w:szCs w:val="19"/>
                <w:color w:val="auto"/>
              </w:rPr>
            </w:pPr>
          </w:p>
        </w:tc>
        <w:tc>
          <w:tcPr>
            <w:tcW w:w="620" w:type="dxa"/>
            <w:vAlign w:val="bottom"/>
            <w:tcBorders>
              <w:top w:val="single" w:sz="8" w:color="auto"/>
            </w:tcBorders>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Total Assets</w:t>
            </w:r>
          </w:p>
        </w:tc>
        <w:tc>
          <w:tcPr>
            <w:tcW w:w="960" w:type="dxa"/>
            <w:vAlign w:val="bottom"/>
            <w:gridSpan w:val="5"/>
          </w:tcPr>
          <w:p>
            <w:pPr>
              <w:ind w:left="220"/>
              <w:spacing w:after="0"/>
              <w:rPr>
                <w:sz w:val="20"/>
                <w:szCs w:val="20"/>
                <w:color w:val="auto"/>
              </w:rPr>
            </w:pPr>
            <w:r>
              <w:rPr>
                <w:rFonts w:ascii="Arial" w:cs="Arial" w:eastAsia="Arial" w:hAnsi="Arial"/>
                <w:sz w:val="17"/>
                <w:szCs w:val="17"/>
                <w:color w:val="auto"/>
                <w:w w:val="95"/>
              </w:rPr>
              <w:t>$ 354,872</w:t>
            </w:r>
          </w:p>
        </w:tc>
        <w:tc>
          <w:tcPr>
            <w:tcW w:w="660" w:type="dxa"/>
            <w:vAlign w:val="bottom"/>
          </w:tcPr>
          <w:p>
            <w:pPr>
              <w:spacing w:after="0"/>
              <w:rPr>
                <w:sz w:val="22"/>
                <w:szCs w:val="22"/>
                <w:color w:val="auto"/>
              </w:rPr>
            </w:pPr>
          </w:p>
        </w:tc>
        <w:tc>
          <w:tcPr>
            <w:tcW w:w="960" w:type="dxa"/>
            <w:vAlign w:val="bottom"/>
            <w:gridSpan w:val="5"/>
          </w:tcPr>
          <w:p>
            <w:pPr>
              <w:ind w:left="220"/>
              <w:spacing w:after="0"/>
              <w:rPr>
                <w:sz w:val="20"/>
                <w:szCs w:val="20"/>
                <w:color w:val="auto"/>
              </w:rPr>
            </w:pPr>
            <w:r>
              <w:rPr>
                <w:rFonts w:ascii="Arial" w:cs="Arial" w:eastAsia="Arial" w:hAnsi="Arial"/>
                <w:sz w:val="17"/>
                <w:szCs w:val="17"/>
                <w:color w:val="auto"/>
              </w:rPr>
              <w:t>$347,553</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812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40" w:type="dxa"/>
            <w:vAlign w:val="bottom"/>
            <w:shd w:val="clear" w:color="auto" w:fill="E2EEF6"/>
          </w:tcPr>
          <w:p>
            <w:pPr>
              <w:spacing w:after="0"/>
              <w:rPr>
                <w:sz w:val="24"/>
                <w:szCs w:val="24"/>
                <w:color w:val="auto"/>
              </w:rPr>
            </w:pPr>
          </w:p>
        </w:tc>
        <w:tc>
          <w:tcPr>
            <w:tcW w:w="180" w:type="dxa"/>
            <w:vAlign w:val="bottom"/>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500" w:type="dxa"/>
            <w:vAlign w:val="bottom"/>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660" w:type="dxa"/>
            <w:vAlign w:val="bottom"/>
            <w:shd w:val="clear" w:color="auto" w:fill="E2EEF6"/>
          </w:tcPr>
          <w:p>
            <w:pPr>
              <w:spacing w:after="0"/>
              <w:rPr>
                <w:sz w:val="24"/>
                <w:szCs w:val="24"/>
                <w:color w:val="auto"/>
              </w:rPr>
            </w:pPr>
          </w:p>
        </w:tc>
        <w:tc>
          <w:tcPr>
            <w:tcW w:w="40" w:type="dxa"/>
            <w:vAlign w:val="bottom"/>
            <w:shd w:val="clear" w:color="auto" w:fill="E2EEF6"/>
          </w:tcPr>
          <w:p>
            <w:pPr>
              <w:spacing w:after="0"/>
              <w:rPr>
                <w:sz w:val="24"/>
                <w:szCs w:val="24"/>
                <w:color w:val="auto"/>
              </w:rPr>
            </w:pPr>
          </w:p>
        </w:tc>
        <w:tc>
          <w:tcPr>
            <w:tcW w:w="1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320" w:type="dxa"/>
            <w:vAlign w:val="bottom"/>
            <w:shd w:val="clear" w:color="auto" w:fill="E2EEF6"/>
          </w:tcPr>
          <w:p>
            <w:pPr>
              <w:spacing w:after="0"/>
              <w:rPr>
                <w:sz w:val="24"/>
                <w:szCs w:val="24"/>
                <w:color w:val="auto"/>
              </w:rPr>
            </w:pPr>
          </w:p>
        </w:tc>
        <w:tc>
          <w:tcPr>
            <w:tcW w:w="280" w:type="dxa"/>
            <w:vAlign w:val="bottom"/>
            <w:shd w:val="clear" w:color="auto" w:fill="E2EEF6"/>
          </w:tcPr>
          <w:p>
            <w:pPr>
              <w:spacing w:after="0"/>
              <w:rPr>
                <w:sz w:val="24"/>
                <w:szCs w:val="24"/>
                <w:color w:val="auto"/>
              </w:rPr>
            </w:pPr>
          </w:p>
        </w:tc>
        <w:tc>
          <w:tcPr>
            <w:tcW w:w="62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Accounts payable</w:t>
            </w:r>
          </w:p>
        </w:tc>
        <w:tc>
          <w:tcPr>
            <w:tcW w:w="840" w:type="dxa"/>
            <w:vAlign w:val="bottom"/>
            <w:gridSpan w:val="4"/>
            <w:shd w:val="clear" w:color="auto" w:fill="E2EEF6"/>
          </w:tcPr>
          <w:p>
            <w:pPr>
              <w:ind w:left="220"/>
              <w:spacing w:after="0"/>
              <w:rPr>
                <w:sz w:val="20"/>
                <w:szCs w:val="20"/>
                <w:color w:val="auto"/>
              </w:rPr>
            </w:pPr>
            <w:r>
              <w:rPr>
                <w:rFonts w:ascii="Arial" w:cs="Arial" w:eastAsia="Arial" w:hAnsi="Arial"/>
                <w:sz w:val="17"/>
                <w:szCs w:val="17"/>
                <w:color w:val="auto"/>
              </w:rPr>
              <w:t>$ 7,962</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220"/>
              <w:spacing w:after="0"/>
              <w:rPr>
                <w:sz w:val="20"/>
                <w:szCs w:val="20"/>
                <w:color w:val="auto"/>
              </w:rPr>
            </w:pPr>
            <w:r>
              <w:rPr>
                <w:rFonts w:ascii="Arial" w:cs="Arial" w:eastAsia="Arial" w:hAnsi="Arial"/>
                <w:sz w:val="17"/>
                <w:szCs w:val="17"/>
                <w:color w:val="auto"/>
              </w:rPr>
              <w:t>$10,379</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Payments on account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50,926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52,583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liabilities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37,912</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96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39,890</w:t>
            </w: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Deferred tax liability</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gridSpan w:val="4"/>
          </w:tcPr>
          <w:p>
            <w:pPr>
              <w:ind w:left="320"/>
              <w:spacing w:after="0"/>
              <w:rPr>
                <w:sz w:val="20"/>
                <w:szCs w:val="20"/>
                <w:color w:val="auto"/>
              </w:rPr>
            </w:pPr>
            <w:r>
              <w:rPr>
                <w:rFonts w:ascii="Arial" w:cs="Arial" w:eastAsia="Arial" w:hAnsi="Arial"/>
                <w:sz w:val="17"/>
                <w:szCs w:val="17"/>
                <w:color w:val="auto"/>
              </w:rPr>
              <w:t>310</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Bank creditlines and loan facilities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4"/>
            <w:shd w:val="clear" w:color="auto" w:fill="E2EEF6"/>
          </w:tcPr>
          <w:p>
            <w:pPr>
              <w:ind w:left="320"/>
              <w:spacing w:after="0"/>
              <w:rPr>
                <w:sz w:val="20"/>
                <w:szCs w:val="20"/>
                <w:color w:val="auto"/>
              </w:rPr>
            </w:pPr>
            <w:r>
              <w:rPr>
                <w:rFonts w:ascii="Arial" w:cs="Arial" w:eastAsia="Arial" w:hAnsi="Arial"/>
                <w:sz w:val="17"/>
                <w:szCs w:val="17"/>
                <w:color w:val="auto"/>
              </w:rPr>
              <w:t>-</w:t>
            </w: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Income taxes payable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7,851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6,189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812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500" w:type="dxa"/>
            <w:vAlign w:val="bottom"/>
            <w:tcBorders>
              <w:top w:val="single" w:sz="8" w:color="auto"/>
            </w:tcBorders>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660" w:type="dxa"/>
            <w:vAlign w:val="bottom"/>
            <w:tcBorders>
              <w:top w:val="single" w:sz="8" w:color="auto"/>
            </w:tcBorders>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320" w:type="dxa"/>
            <w:vAlign w:val="bottom"/>
            <w:tcBorders>
              <w:top w:val="single" w:sz="8" w:color="auto"/>
            </w:tcBorders>
            <w:shd w:val="clear" w:color="auto" w:fill="E2EEF6"/>
          </w:tcPr>
          <w:p>
            <w:pPr>
              <w:spacing w:after="0"/>
              <w:rPr>
                <w:sz w:val="19"/>
                <w:szCs w:val="19"/>
                <w:color w:val="auto"/>
              </w:rPr>
            </w:pPr>
          </w:p>
        </w:tc>
        <w:tc>
          <w:tcPr>
            <w:tcW w:w="280" w:type="dxa"/>
            <w:vAlign w:val="bottom"/>
            <w:tcBorders>
              <w:top w:val="single" w:sz="8" w:color="auto"/>
            </w:tcBorders>
            <w:shd w:val="clear" w:color="auto" w:fill="E2EEF6"/>
          </w:tcPr>
          <w:p>
            <w:pPr>
              <w:spacing w:after="0"/>
              <w:rPr>
                <w:sz w:val="19"/>
                <w:szCs w:val="19"/>
                <w:color w:val="auto"/>
              </w:rPr>
            </w:pPr>
          </w:p>
        </w:tc>
        <w:tc>
          <w:tcPr>
            <w:tcW w:w="620" w:type="dxa"/>
            <w:vAlign w:val="bottom"/>
            <w:tcBorders>
              <w:top w:val="single" w:sz="8" w:color="auto"/>
            </w:tcBorders>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960" w:type="dxa"/>
            <w:vAlign w:val="bottom"/>
            <w:gridSpan w:val="5"/>
          </w:tcPr>
          <w:p>
            <w:pPr>
              <w:ind w:left="340"/>
              <w:spacing w:after="0"/>
              <w:rPr>
                <w:sz w:val="20"/>
                <w:szCs w:val="20"/>
                <w:color w:val="auto"/>
              </w:rPr>
            </w:pPr>
            <w:r>
              <w:rPr>
                <w:rFonts w:ascii="Arial" w:cs="Arial" w:eastAsia="Arial" w:hAnsi="Arial"/>
                <w:sz w:val="17"/>
                <w:szCs w:val="17"/>
                <w:color w:val="auto"/>
                <w:w w:val="97"/>
              </w:rPr>
              <w:t>107,961</w:t>
            </w:r>
          </w:p>
        </w:tc>
        <w:tc>
          <w:tcPr>
            <w:tcW w:w="660" w:type="dxa"/>
            <w:vAlign w:val="bottom"/>
          </w:tcPr>
          <w:p>
            <w:pPr>
              <w:spacing w:after="0"/>
              <w:rPr>
                <w:sz w:val="22"/>
                <w:szCs w:val="22"/>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109,351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Liabilities: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Long term government grants</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1,073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1,257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Long term finance leases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4"/>
            <w:shd w:val="clear" w:color="auto" w:fill="E2EEF6"/>
          </w:tcPr>
          <w:p>
            <w:pPr>
              <w:ind w:left="320"/>
              <w:spacing w:after="0"/>
              <w:rPr>
                <w:sz w:val="20"/>
                <w:szCs w:val="20"/>
                <w:color w:val="auto"/>
              </w:rPr>
            </w:pPr>
            <w:r>
              <w:rPr>
                <w:rFonts w:ascii="Arial" w:cs="Arial" w:eastAsia="Arial" w:hAnsi="Arial"/>
                <w:sz w:val="17"/>
                <w:szCs w:val="17"/>
                <w:color w:val="auto"/>
              </w:rPr>
              <w:t>248</w:t>
            </w: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Non-current deferred tax liability</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2,840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2,747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4"/>
            <w:shd w:val="clear" w:color="auto" w:fill="E2EEF6"/>
          </w:tcPr>
          <w:p>
            <w:pPr>
              <w:ind w:left="320"/>
              <w:spacing w:after="0"/>
              <w:rPr>
                <w:sz w:val="20"/>
                <w:szCs w:val="20"/>
                <w:color w:val="auto"/>
              </w:rPr>
            </w:pPr>
            <w:r>
              <w:rPr>
                <w:rFonts w:ascii="Arial" w:cs="Arial" w:eastAsia="Arial" w:hAnsi="Arial"/>
                <w:sz w:val="17"/>
                <w:szCs w:val="17"/>
                <w:color w:val="auto"/>
              </w:rPr>
              <w:t>884</w:t>
            </w: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Shareholders' Equity:</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Ordinary shares, par value 6 euro cents per share; 20,000,000 shares authorized,</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14,017,012 shares issued and outstanding at November 30, 2005 and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13,899,096 shares issued and outstanding at May 31, 2005</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993</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4"/>
            <w:shd w:val="clear" w:color="auto" w:fill="E2EEF6"/>
          </w:tcPr>
          <w:p>
            <w:pPr>
              <w:ind w:left="320"/>
              <w:spacing w:after="0"/>
              <w:rPr>
                <w:sz w:val="20"/>
                <w:szCs w:val="20"/>
                <w:color w:val="auto"/>
              </w:rPr>
            </w:pPr>
            <w:r>
              <w:rPr>
                <w:rFonts w:ascii="Arial" w:cs="Arial" w:eastAsia="Arial" w:hAnsi="Arial"/>
                <w:sz w:val="17"/>
                <w:szCs w:val="17"/>
                <w:color w:val="auto"/>
              </w:rPr>
              <w:t>985</w:t>
            </w:r>
          </w:p>
        </w:tc>
        <w:tc>
          <w:tcPr>
            <w:tcW w:w="280" w:type="dxa"/>
            <w:vAlign w:val="bottom"/>
            <w:shd w:val="clear" w:color="auto" w:fill="E2EEF6"/>
          </w:tcPr>
          <w:p>
            <w:pPr>
              <w:spacing w:after="0"/>
              <w:rPr>
                <w:sz w:val="20"/>
                <w:szCs w:val="20"/>
                <w:color w:val="auto"/>
              </w:rPr>
            </w:pPr>
          </w:p>
        </w:tc>
        <w:tc>
          <w:tcPr>
            <w:tcW w:w="6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960" w:type="dxa"/>
            <w:vAlign w:val="bottom"/>
            <w:gridSpan w:val="5"/>
          </w:tcPr>
          <w:p>
            <w:pPr>
              <w:ind w:left="340"/>
              <w:spacing w:after="0"/>
              <w:rPr>
                <w:sz w:val="20"/>
                <w:szCs w:val="20"/>
                <w:color w:val="auto"/>
              </w:rPr>
            </w:pPr>
            <w:r>
              <w:rPr>
                <w:rFonts w:ascii="Arial" w:cs="Arial" w:eastAsia="Arial" w:hAnsi="Arial"/>
                <w:sz w:val="17"/>
                <w:szCs w:val="17"/>
                <w:color w:val="auto"/>
                <w:w w:val="97"/>
              </w:rPr>
              <w:t>116,296</w:t>
            </w:r>
          </w:p>
        </w:tc>
        <w:tc>
          <w:tcPr>
            <w:tcW w:w="660" w:type="dxa"/>
            <w:vAlign w:val="bottom"/>
          </w:tcPr>
          <w:p>
            <w:pPr>
              <w:spacing w:after="0"/>
              <w:rPr>
                <w:sz w:val="22"/>
                <w:szCs w:val="22"/>
                <w:color w:val="auto"/>
              </w:rPr>
            </w:pPr>
          </w:p>
        </w:tc>
        <w:tc>
          <w:tcPr>
            <w:tcW w:w="960" w:type="dxa"/>
            <w:vAlign w:val="bottom"/>
            <w:gridSpan w:val="5"/>
          </w:tcPr>
          <w:p>
            <w:pPr>
              <w:ind w:left="320"/>
              <w:spacing w:after="0"/>
              <w:rPr>
                <w:sz w:val="20"/>
                <w:szCs w:val="20"/>
                <w:color w:val="auto"/>
              </w:rPr>
            </w:pPr>
            <w:r>
              <w:rPr>
                <w:rFonts w:ascii="Arial" w:cs="Arial" w:eastAsia="Arial" w:hAnsi="Arial"/>
                <w:sz w:val="17"/>
                <w:szCs w:val="17"/>
                <w:color w:val="auto"/>
              </w:rPr>
              <w:t>114,447</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Accumulated other comprehensive income</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4,929</w:t>
            </w:r>
          </w:p>
        </w:tc>
        <w:tc>
          <w:tcPr>
            <w:tcW w:w="120" w:type="dxa"/>
            <w:vAlign w:val="bottom"/>
            <w:shd w:val="clear" w:color="auto" w:fill="E2EEF6"/>
          </w:tcPr>
          <w:p>
            <w:pPr>
              <w:spacing w:after="0"/>
              <w:rPr>
                <w:sz w:val="22"/>
                <w:szCs w:val="22"/>
                <w:color w:val="auto"/>
              </w:rPr>
            </w:pPr>
          </w:p>
        </w:tc>
        <w:tc>
          <w:tcPr>
            <w:tcW w:w="660" w:type="dxa"/>
            <w:vAlign w:val="bottom"/>
            <w:shd w:val="clear" w:color="auto" w:fill="E2EEF6"/>
          </w:tcPr>
          <w:p>
            <w:pPr>
              <w:spacing w:after="0"/>
              <w:rPr>
                <w:sz w:val="22"/>
                <w:szCs w:val="22"/>
                <w:color w:val="auto"/>
              </w:rPr>
            </w:pPr>
          </w:p>
        </w:tc>
        <w:tc>
          <w:tcPr>
            <w:tcW w:w="96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11,229</w:t>
            </w:r>
          </w:p>
        </w:tc>
        <w:tc>
          <w:tcPr>
            <w:tcW w:w="620" w:type="dxa"/>
            <w:vAlign w:val="bottom"/>
            <w:shd w:val="clear" w:color="auto" w:fill="E2EEF6"/>
          </w:tcPr>
          <w:p>
            <w:pPr>
              <w:spacing w:after="0"/>
              <w:rPr>
                <w:sz w:val="22"/>
                <w:szCs w:val="22"/>
                <w:color w:val="auto"/>
              </w:rPr>
            </w:pPr>
          </w:p>
        </w:tc>
        <w:tc>
          <w:tcPr>
            <w:tcW w:w="100" w:type="dxa"/>
            <w:vAlign w:val="bottom"/>
            <w:shd w:val="clear" w:color="auto" w:fill="E2EEF6"/>
          </w:tcPr>
          <w:p>
            <w:pPr>
              <w:spacing w:after="0"/>
              <w:rPr>
                <w:sz w:val="22"/>
                <w:szCs w:val="22"/>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Merger reserve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gridSpan w:val="4"/>
          </w:tcPr>
          <w:p>
            <w:pPr>
              <w:ind w:left="320"/>
              <w:spacing w:after="0"/>
              <w:rPr>
                <w:sz w:val="20"/>
                <w:szCs w:val="20"/>
                <w:color w:val="auto"/>
              </w:rPr>
            </w:pPr>
            <w:r>
              <w:rPr>
                <w:rFonts w:ascii="Arial" w:cs="Arial" w:eastAsia="Arial" w:hAnsi="Arial"/>
                <w:sz w:val="17"/>
                <w:szCs w:val="17"/>
                <w:color w:val="auto"/>
              </w:rPr>
              <w:t>47</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5"/>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740" w:type="dxa"/>
            <w:vAlign w:val="bottom"/>
            <w:tcBorders>
              <w:bottom w:val="single" w:sz="8" w:color="auto"/>
            </w:tcBorders>
            <w:gridSpan w:val="3"/>
            <w:shd w:val="clear" w:color="auto" w:fill="E2EEF6"/>
          </w:tcPr>
          <w:p>
            <w:pPr>
              <w:ind w:left="120"/>
              <w:spacing w:after="0"/>
              <w:rPr>
                <w:sz w:val="20"/>
                <w:szCs w:val="20"/>
                <w:color w:val="auto"/>
              </w:rPr>
            </w:pPr>
            <w:r>
              <w:rPr>
                <w:rFonts w:ascii="Arial" w:cs="Arial" w:eastAsia="Arial" w:hAnsi="Arial"/>
                <w:sz w:val="17"/>
                <w:szCs w:val="17"/>
                <w:color w:val="auto"/>
                <w:w w:val="97"/>
              </w:rPr>
              <w:t>119,694</w:t>
            </w:r>
          </w:p>
        </w:tc>
        <w:tc>
          <w:tcPr>
            <w:tcW w:w="660" w:type="dxa"/>
            <w:vAlign w:val="bottom"/>
            <w:tcBorders>
              <w:bottom w:val="single" w:sz="8" w:color="auto"/>
            </w:tcBorders>
            <w:shd w:val="clear" w:color="auto" w:fill="E2EEF6"/>
          </w:tcPr>
          <w:p>
            <w:pPr>
              <w:spacing w:after="0"/>
              <w:rPr>
                <w:sz w:val="24"/>
                <w:szCs w:val="24"/>
                <w:color w:val="auto"/>
              </w:rPr>
            </w:pP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740" w:type="dxa"/>
            <w:vAlign w:val="bottom"/>
            <w:tcBorders>
              <w:bottom w:val="single" w:sz="8" w:color="auto"/>
            </w:tcBorders>
            <w:gridSpan w:val="3"/>
            <w:shd w:val="clear" w:color="auto" w:fill="E2EEF6"/>
          </w:tcPr>
          <w:p>
            <w:pPr>
              <w:ind w:left="100"/>
              <w:spacing w:after="0"/>
              <w:rPr>
                <w:sz w:val="20"/>
                <w:szCs w:val="20"/>
                <w:color w:val="auto"/>
              </w:rPr>
            </w:pPr>
            <w:r>
              <w:rPr>
                <w:rFonts w:ascii="Arial" w:cs="Arial" w:eastAsia="Arial" w:hAnsi="Arial"/>
                <w:sz w:val="17"/>
                <w:szCs w:val="17"/>
                <w:color w:val="auto"/>
              </w:rPr>
              <w:t>106,358</w:t>
            </w:r>
          </w:p>
        </w:tc>
        <w:tc>
          <w:tcPr>
            <w:tcW w:w="620" w:type="dxa"/>
            <w:vAlign w:val="bottom"/>
            <w:tcBorders>
              <w:bottom w:val="single" w:sz="8" w:color="auto"/>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r>
      <w:tr>
        <w:trPr>
          <w:trHeight w:val="226"/>
        </w:trPr>
        <w:tc>
          <w:tcPr>
            <w:tcW w:w="8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0"/>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740" w:type="dxa"/>
            <w:vAlign w:val="bottom"/>
            <w:tcBorders>
              <w:bottom w:val="single" w:sz="8" w:color="E2EEF6"/>
            </w:tcBorders>
            <w:gridSpan w:val="3"/>
            <w:shd w:val="clear" w:color="auto" w:fill="E2EEF6"/>
          </w:tcPr>
          <w:p>
            <w:pPr>
              <w:ind w:left="120"/>
              <w:spacing w:after="0"/>
              <w:rPr>
                <w:sz w:val="20"/>
                <w:szCs w:val="20"/>
                <w:color w:val="auto"/>
              </w:rPr>
            </w:pPr>
            <w:r>
              <w:rPr>
                <w:rFonts w:ascii="Arial" w:cs="Arial" w:eastAsia="Arial" w:hAnsi="Arial"/>
                <w:sz w:val="17"/>
                <w:szCs w:val="17"/>
                <w:color w:val="auto"/>
                <w:w w:val="97"/>
              </w:rPr>
              <w:t>241,959</w:t>
            </w:r>
          </w:p>
        </w:tc>
        <w:tc>
          <w:tcPr>
            <w:tcW w:w="660" w:type="dxa"/>
            <w:vAlign w:val="bottom"/>
            <w:tcBorders>
              <w:bottom w:val="single" w:sz="8" w:color="E2EEF6"/>
            </w:tcBorders>
            <w:shd w:val="clear" w:color="auto" w:fill="E2EEF6"/>
          </w:tcPr>
          <w:p>
            <w:pPr>
              <w:spacing w:after="0"/>
              <w:rPr>
                <w:sz w:val="24"/>
                <w:szCs w:val="24"/>
                <w:color w:val="auto"/>
              </w:rPr>
            </w:pPr>
          </w:p>
        </w:tc>
        <w:tc>
          <w:tcPr>
            <w:tcW w:w="960" w:type="dxa"/>
            <w:vAlign w:val="bottom"/>
            <w:tcBorders>
              <w:bottom w:val="single" w:sz="8" w:color="E2EEF6"/>
            </w:tcBorders>
            <w:gridSpan w:val="5"/>
            <w:shd w:val="clear" w:color="auto" w:fill="E2EEF6"/>
          </w:tcPr>
          <w:p>
            <w:pPr>
              <w:ind w:left="320"/>
              <w:spacing w:after="0"/>
              <w:rPr>
                <w:sz w:val="20"/>
                <w:szCs w:val="20"/>
                <w:color w:val="auto"/>
              </w:rPr>
            </w:pPr>
            <w:r>
              <w:rPr>
                <w:rFonts w:ascii="Arial" w:cs="Arial" w:eastAsia="Arial" w:hAnsi="Arial"/>
                <w:sz w:val="17"/>
                <w:szCs w:val="17"/>
                <w:color w:val="auto"/>
              </w:rPr>
              <w:t>233,066</w:t>
            </w:r>
          </w:p>
        </w:tc>
        <w:tc>
          <w:tcPr>
            <w:tcW w:w="620" w:type="dxa"/>
            <w:vAlign w:val="bottom"/>
            <w:tcBorders>
              <w:bottom w:val="single" w:sz="8" w:color="E2EEF6"/>
            </w:tcBorders>
            <w:shd w:val="clear" w:color="auto" w:fill="E2EEF6"/>
          </w:tcPr>
          <w:p>
            <w:pPr>
              <w:spacing w:after="0"/>
              <w:rPr>
                <w:sz w:val="24"/>
                <w:szCs w:val="24"/>
                <w:color w:val="auto"/>
              </w:rPr>
            </w:pPr>
          </w:p>
        </w:tc>
        <w:tc>
          <w:tcPr>
            <w:tcW w:w="100" w:type="dxa"/>
            <w:vAlign w:val="bottom"/>
            <w:tcBorders>
              <w:bottom w:val="single" w:sz="8" w:color="E2EEF6"/>
            </w:tcBorders>
            <w:shd w:val="clear" w:color="auto" w:fill="E2EEF6"/>
          </w:tcPr>
          <w:p>
            <w:pPr>
              <w:spacing w:after="0"/>
              <w:rPr>
                <w:sz w:val="24"/>
                <w:szCs w:val="24"/>
                <w:color w:val="auto"/>
              </w:rPr>
            </w:pPr>
          </w:p>
        </w:tc>
      </w:tr>
      <w:tr>
        <w:trPr>
          <w:trHeight w:val="226"/>
        </w:trPr>
        <w:tc>
          <w:tcPr>
            <w:tcW w:w="8120" w:type="dxa"/>
            <w:vAlign w:val="bottom"/>
            <w:tcBorders>
              <w:top w:val="single" w:sz="8" w:color="E2EEF6"/>
            </w:tcBorders>
          </w:tcPr>
          <w:p>
            <w:pPr>
              <w:spacing w:after="0"/>
              <w:rPr>
                <w:sz w:val="19"/>
                <w:szCs w:val="19"/>
                <w:color w:val="auto"/>
              </w:rPr>
            </w:pPr>
          </w:p>
        </w:tc>
        <w:tc>
          <w:tcPr>
            <w:tcW w:w="40" w:type="dxa"/>
            <w:vAlign w:val="bottom"/>
            <w:tcBorders>
              <w:top w:val="single" w:sz="8" w:color="E2EEF6"/>
            </w:tcBorders>
          </w:tcPr>
          <w:p>
            <w:pPr>
              <w:spacing w:after="0"/>
              <w:rPr>
                <w:sz w:val="19"/>
                <w:szCs w:val="19"/>
                <w:color w:val="auto"/>
              </w:rPr>
            </w:pPr>
          </w:p>
        </w:tc>
        <w:tc>
          <w:tcPr>
            <w:tcW w:w="180" w:type="dxa"/>
            <w:vAlign w:val="bottom"/>
            <w:tcBorders>
              <w:top w:val="single" w:sz="8" w:color="E2EEF6"/>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E2EEF6"/>
            </w:tcBorders>
          </w:tcPr>
          <w:p>
            <w:pPr>
              <w:spacing w:after="0"/>
              <w:rPr>
                <w:sz w:val="19"/>
                <w:szCs w:val="19"/>
                <w:color w:val="auto"/>
              </w:rPr>
            </w:pPr>
          </w:p>
        </w:tc>
        <w:tc>
          <w:tcPr>
            <w:tcW w:w="180" w:type="dxa"/>
            <w:vAlign w:val="bottom"/>
            <w:tcBorders>
              <w:top w:val="single" w:sz="8" w:color="E2EEF6"/>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9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 Liabilities and Shareholders' Equity</w:t>
            </w:r>
          </w:p>
        </w:tc>
        <w:tc>
          <w:tcPr>
            <w:tcW w:w="960" w:type="dxa"/>
            <w:vAlign w:val="bottom"/>
            <w:gridSpan w:val="5"/>
            <w:shd w:val="clear" w:color="auto" w:fill="E2EEF6"/>
          </w:tcPr>
          <w:p>
            <w:pPr>
              <w:ind w:left="220"/>
              <w:spacing w:after="0"/>
              <w:rPr>
                <w:sz w:val="20"/>
                <w:szCs w:val="20"/>
                <w:color w:val="auto"/>
              </w:rPr>
            </w:pPr>
            <w:r>
              <w:rPr>
                <w:rFonts w:ascii="Arial" w:cs="Arial" w:eastAsia="Arial" w:hAnsi="Arial"/>
                <w:sz w:val="17"/>
                <w:szCs w:val="17"/>
                <w:color w:val="auto"/>
                <w:w w:val="95"/>
              </w:rPr>
              <w:t>$ 354,872</w:t>
            </w:r>
          </w:p>
        </w:tc>
        <w:tc>
          <w:tcPr>
            <w:tcW w:w="660" w:type="dxa"/>
            <w:vAlign w:val="bottom"/>
            <w:shd w:val="clear" w:color="auto" w:fill="E2EEF6"/>
          </w:tcPr>
          <w:p>
            <w:pPr>
              <w:spacing w:after="0"/>
              <w:rPr>
                <w:sz w:val="24"/>
                <w:szCs w:val="24"/>
                <w:color w:val="auto"/>
              </w:rPr>
            </w:pPr>
          </w:p>
        </w:tc>
        <w:tc>
          <w:tcPr>
            <w:tcW w:w="960" w:type="dxa"/>
            <w:vAlign w:val="bottom"/>
            <w:gridSpan w:val="5"/>
            <w:shd w:val="clear" w:color="auto" w:fill="E2EEF6"/>
          </w:tcPr>
          <w:p>
            <w:pPr>
              <w:ind w:left="220"/>
              <w:spacing w:after="0"/>
              <w:rPr>
                <w:sz w:val="20"/>
                <w:szCs w:val="20"/>
                <w:color w:val="auto"/>
              </w:rPr>
            </w:pPr>
            <w:r>
              <w:rPr>
                <w:rFonts w:ascii="Arial" w:cs="Arial" w:eastAsia="Arial" w:hAnsi="Arial"/>
                <w:sz w:val="17"/>
                <w:szCs w:val="17"/>
                <w:color w:val="auto"/>
              </w:rPr>
              <w:t>$347,553</w:t>
            </w:r>
          </w:p>
        </w:tc>
        <w:tc>
          <w:tcPr>
            <w:tcW w:w="62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r>
      <w:tr>
        <w:trPr>
          <w:trHeight w:val="445"/>
        </w:trPr>
        <w:tc>
          <w:tcPr>
            <w:tcW w:w="8120" w:type="dxa"/>
            <w:vAlign w:val="bottom"/>
            <w:tcBorders>
              <w:top w:val="single" w:sz="8" w:color="E2EEF6"/>
            </w:tcBorders>
          </w:tcPr>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tc>
        <w:tc>
          <w:tcPr>
            <w:tcW w:w="40" w:type="dxa"/>
            <w:vAlign w:val="bottom"/>
            <w:tcBorders>
              <w:top w:val="single" w:sz="8" w:color="E2EEF6"/>
            </w:tcBorders>
          </w:tcPr>
          <w:p>
            <w:pPr>
              <w:spacing w:after="0"/>
              <w:rPr>
                <w:sz w:val="24"/>
                <w:szCs w:val="24"/>
                <w:color w:val="auto"/>
              </w:rPr>
            </w:pPr>
          </w:p>
        </w:tc>
        <w:tc>
          <w:tcPr>
            <w:tcW w:w="18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E2EEF6"/>
            </w:tcBorders>
          </w:tcPr>
          <w:p>
            <w:pPr>
              <w:spacing w:after="0"/>
              <w:rPr>
                <w:sz w:val="24"/>
                <w:szCs w:val="24"/>
                <w:color w:val="auto"/>
              </w:rPr>
            </w:pPr>
          </w:p>
        </w:tc>
        <w:tc>
          <w:tcPr>
            <w:tcW w:w="18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54" w:right="239" w:bottom="1440" w:gutter="0" w:footer="0" w:header="0"/>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CONDENSED CONSOLIDATED STATEMENTS OF OPERATIONS FOR THE THREE AND SIX MONTHS ENDED NOVEMBER 30, 2005 AND 2004 (UNAUDITED)</w:t>
      </w:r>
    </w:p>
    <w:p>
      <w:pPr>
        <w:spacing w:after="0" w:line="215" w:lineRule="exact"/>
        <w:rPr>
          <w:sz w:val="20"/>
          <w:szCs w:val="20"/>
          <w:color w:val="auto"/>
        </w:rPr>
      </w:pPr>
    </w:p>
    <w:tbl>
      <w:tblPr>
        <w:tblLayout w:type="fixed"/>
        <w:tblInd w:w="5720" w:type="dxa"/>
        <w:tblCellMar>
          <w:top w:w="0" w:type="dxa"/>
          <w:left w:w="0" w:type="dxa"/>
          <w:bottom w:w="0" w:type="dxa"/>
          <w:right w:w="0" w:type="dxa"/>
        </w:tblCellMar>
      </w:tblPr>
      <w:tr>
        <w:trPr>
          <w:trHeight w:val="226"/>
        </w:trPr>
        <w:tc>
          <w:tcPr>
            <w:tcW w:w="2520" w:type="dxa"/>
            <w:vAlign w:val="bottom"/>
            <w:gridSpan w:val="9"/>
          </w:tcPr>
          <w:p>
            <w:pPr>
              <w:spacing w:after="0"/>
              <w:rPr>
                <w:sz w:val="20"/>
                <w:szCs w:val="20"/>
                <w:color w:val="auto"/>
              </w:rPr>
            </w:pPr>
            <w:r>
              <w:rPr>
                <w:rFonts w:ascii="Arial" w:cs="Arial" w:eastAsia="Arial" w:hAnsi="Arial"/>
                <w:sz w:val="17"/>
                <w:szCs w:val="17"/>
                <w:b w:val="1"/>
                <w:bCs w:val="1"/>
                <w:color w:val="auto"/>
              </w:rPr>
              <w:t>Three Months Ended</w:t>
            </w:r>
          </w:p>
        </w:tc>
        <w:tc>
          <w:tcPr>
            <w:tcW w:w="1720" w:type="dxa"/>
            <w:vAlign w:val="bottom"/>
            <w:gridSpan w:val="5"/>
          </w:tcPr>
          <w:p>
            <w:pPr>
              <w:ind w:left="320"/>
              <w:spacing w:after="0"/>
              <w:rPr>
                <w:sz w:val="20"/>
                <w:szCs w:val="20"/>
                <w:color w:val="auto"/>
              </w:rPr>
            </w:pPr>
            <w:r>
              <w:rPr>
                <w:rFonts w:ascii="Arial" w:cs="Arial" w:eastAsia="Arial" w:hAnsi="Arial"/>
                <w:sz w:val="17"/>
                <w:szCs w:val="17"/>
                <w:b w:val="1"/>
                <w:bCs w:val="1"/>
                <w:color w:val="auto"/>
                <w:w w:val="93"/>
              </w:rPr>
              <w:t>Six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100" w:type="dxa"/>
            <w:vAlign w:val="bottom"/>
            <w:gridSpan w:val="4"/>
          </w:tcPr>
          <w:p>
            <w:pPr>
              <w:spacing w:after="0"/>
              <w:rPr>
                <w:sz w:val="20"/>
                <w:szCs w:val="20"/>
                <w:color w:val="auto"/>
              </w:rPr>
            </w:pPr>
            <w:r>
              <w:rPr>
                <w:rFonts w:ascii="Arial" w:cs="Arial" w:eastAsia="Arial" w:hAnsi="Arial"/>
                <w:sz w:val="17"/>
                <w:szCs w:val="17"/>
                <w:b w:val="1"/>
                <w:bCs w:val="1"/>
                <w:color w:val="auto"/>
              </w:rPr>
              <w:t>November</w:t>
            </w:r>
          </w:p>
        </w:tc>
        <w:tc>
          <w:tcPr>
            <w:tcW w:w="1420" w:type="dxa"/>
            <w:vAlign w:val="bottom"/>
            <w:gridSpan w:val="5"/>
          </w:tcPr>
          <w:p>
            <w:pPr>
              <w:ind w:left="320"/>
              <w:spacing w:after="0"/>
              <w:rPr>
                <w:sz w:val="20"/>
                <w:szCs w:val="20"/>
                <w:color w:val="auto"/>
              </w:rPr>
            </w:pPr>
            <w:r>
              <w:rPr>
                <w:rFonts w:ascii="Arial" w:cs="Arial" w:eastAsia="Arial" w:hAnsi="Arial"/>
                <w:sz w:val="17"/>
                <w:szCs w:val="17"/>
                <w:b w:val="1"/>
                <w:bCs w:val="1"/>
                <w:color w:val="auto"/>
              </w:rPr>
              <w:t>November</w:t>
            </w:r>
          </w:p>
        </w:tc>
        <w:tc>
          <w:tcPr>
            <w:tcW w:w="1720" w:type="dxa"/>
            <w:vAlign w:val="bottom"/>
            <w:gridSpan w:val="5"/>
          </w:tcPr>
          <w:p>
            <w:pPr>
              <w:ind w:left="320"/>
              <w:spacing w:after="0"/>
              <w:rPr>
                <w:sz w:val="20"/>
                <w:szCs w:val="20"/>
                <w:color w:val="auto"/>
              </w:rPr>
            </w:pPr>
            <w:r>
              <w:rPr>
                <w:rFonts w:ascii="Arial" w:cs="Arial" w:eastAsia="Arial" w:hAnsi="Arial"/>
                <w:sz w:val="17"/>
                <w:szCs w:val="17"/>
                <w:b w:val="1"/>
                <w:bCs w:val="1"/>
                <w:color w:val="auto"/>
              </w:rPr>
              <w:t>November</w:t>
            </w:r>
          </w:p>
        </w:tc>
        <w:tc>
          <w:tcPr>
            <w:tcW w:w="800" w:type="dxa"/>
            <w:vAlign w:val="bottom"/>
            <w:gridSpan w:val="4"/>
          </w:tcPr>
          <w:p>
            <w:pPr>
              <w:ind w:left="20"/>
              <w:spacing w:after="0"/>
              <w:rPr>
                <w:sz w:val="20"/>
                <w:szCs w:val="20"/>
                <w:color w:val="auto"/>
              </w:rPr>
            </w:pPr>
            <w:r>
              <w:rPr>
                <w:rFonts w:ascii="Arial" w:cs="Arial" w:eastAsia="Arial" w:hAnsi="Arial"/>
                <w:sz w:val="17"/>
                <w:szCs w:val="17"/>
                <w:b w:val="1"/>
                <w:bCs w:val="1"/>
                <w:color w:val="auto"/>
                <w:w w:val="91"/>
              </w:rPr>
              <w:t>November</w:t>
            </w:r>
          </w:p>
        </w:tc>
      </w:tr>
      <w:tr>
        <w:trPr>
          <w:trHeight w:val="187"/>
        </w:trPr>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r>
      <w:tr>
        <w:trPr>
          <w:trHeight w:val="187"/>
        </w:trPr>
        <w:tc>
          <w:tcPr>
            <w:tcW w:w="34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4"/>
              </w:rPr>
              <w:t>2005</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4"/>
              </w:rPr>
              <w:t>2004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9"/>
              </w:rPr>
              <w:t>2005</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9"/>
              </w:rPr>
              <w:t>2004</w:t>
            </w:r>
          </w:p>
        </w:tc>
        <w:tc>
          <w:tcPr>
            <w:tcW w:w="420" w:type="dxa"/>
            <w:vAlign w:val="bottom"/>
          </w:tcPr>
          <w:p>
            <w:pPr>
              <w:spacing w:after="0"/>
              <w:rPr>
                <w:sz w:val="16"/>
                <w:szCs w:val="16"/>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6"/>
          </w:tcPr>
          <w:p>
            <w:pPr>
              <w:ind w:left="200"/>
              <w:spacing w:after="0"/>
              <w:rPr>
                <w:sz w:val="20"/>
                <w:szCs w:val="20"/>
                <w:color w:val="auto"/>
              </w:rPr>
            </w:pPr>
            <w:r>
              <w:rPr>
                <w:rFonts w:ascii="Arial" w:cs="Arial" w:eastAsia="Arial" w:hAnsi="Arial"/>
                <w:sz w:val="17"/>
                <w:szCs w:val="17"/>
                <w:b w:val="1"/>
                <w:bCs w:val="1"/>
                <w:color w:val="auto"/>
                <w:w w:val="93"/>
              </w:rPr>
              <w:t>(in thousands except share and per share data)</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8"/>
        </w:trPr>
        <w:tc>
          <w:tcPr>
            <w:tcW w:w="5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3"/>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Revenue:</w:t>
            </w:r>
          </w:p>
        </w:tc>
        <w:tc>
          <w:tcPr>
            <w:tcW w:w="760" w:type="dxa"/>
            <w:vAlign w:val="bottom"/>
            <w:tcBorders>
              <w:right w:val="single" w:sz="8" w:color="E2EEF6"/>
            </w:tcBorders>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102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33"/>
        </w:trPr>
        <w:tc>
          <w:tcPr>
            <w:tcW w:w="5780" w:type="dxa"/>
            <w:vAlign w:val="bottom"/>
          </w:tcPr>
          <w:p>
            <w:pPr>
              <w:spacing w:after="0"/>
              <w:rPr>
                <w:sz w:val="20"/>
                <w:szCs w:val="20"/>
                <w:color w:val="auto"/>
              </w:rPr>
            </w:pPr>
            <w:r>
              <w:rPr>
                <w:rFonts w:ascii="Arial" w:cs="Arial" w:eastAsia="Arial" w:hAnsi="Arial"/>
                <w:sz w:val="17"/>
                <w:szCs w:val="17"/>
                <w:color w:val="auto"/>
              </w:rPr>
              <w:t>Gross revenue</w:t>
            </w:r>
          </w:p>
        </w:tc>
        <w:tc>
          <w:tcPr>
            <w:tcW w:w="760" w:type="dxa"/>
            <w:vAlign w:val="bottom"/>
          </w:tcPr>
          <w:p>
            <w:pPr>
              <w:spacing w:after="0"/>
              <w:rPr>
                <w:sz w:val="20"/>
                <w:szCs w:val="20"/>
                <w:color w:val="auto"/>
              </w:rPr>
            </w:pPr>
            <w:r>
              <w:rPr>
                <w:rFonts w:ascii="Arial" w:cs="Arial" w:eastAsia="Arial" w:hAnsi="Arial"/>
                <w:sz w:val="17"/>
                <w:szCs w:val="17"/>
                <w:color w:val="auto"/>
                <w:w w:val="95"/>
              </w:rPr>
              <w:t>$ 120,344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$ 117,068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$ 235,696</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$ 234,263</w:t>
            </w:r>
          </w:p>
        </w:tc>
        <w:tc>
          <w:tcPr>
            <w:tcW w:w="120" w:type="dxa"/>
            <w:vAlign w:val="bottom"/>
          </w:tcPr>
          <w:p>
            <w:pPr>
              <w:spacing w:after="0"/>
              <w:rPr>
                <w:sz w:val="20"/>
                <w:szCs w:val="20"/>
                <w:color w:val="auto"/>
              </w:rPr>
            </w:pPr>
          </w:p>
        </w:tc>
      </w:tr>
      <w:tr>
        <w:trPr>
          <w:trHeight w:val="285"/>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Subcontractor costs</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(32,272</w:t>
            </w:r>
          </w:p>
        </w:tc>
        <w:tc>
          <w:tcPr>
            <w:tcW w:w="1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(37,573</w:t>
            </w:r>
          </w:p>
        </w:tc>
        <w:tc>
          <w:tcPr>
            <w:tcW w:w="2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(61,703</w:t>
            </w:r>
          </w:p>
        </w:tc>
        <w:tc>
          <w:tcPr>
            <w:tcW w:w="1020" w:type="dxa"/>
            <w:vAlign w:val="bottom"/>
            <w:shd w:val="clear" w:color="auto" w:fill="E2EEF6"/>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(76,429</w:t>
            </w:r>
          </w:p>
        </w:tc>
        <w:tc>
          <w:tcPr>
            <w:tcW w:w="120" w:type="dxa"/>
            <w:vAlign w:val="bottom"/>
            <w:shd w:val="clear" w:color="auto" w:fill="E2EEF6"/>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tcBorders>
              <w:top w:val="single" w:sz="8" w:color="E2EEF6"/>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c>
          <w:tcPr>
            <w:tcW w:w="900" w:type="dxa"/>
            <w:vAlign w:val="bottom"/>
            <w:tcBorders>
              <w:top w:val="single" w:sz="8" w:color="E2EEF6"/>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20" w:type="dxa"/>
            <w:vAlign w:val="bottom"/>
            <w:tcBorders>
              <w:top w:val="single" w:sz="8" w:color="E2EEF6"/>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88,072</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79,495</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173,993</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157,834</w:t>
            </w:r>
          </w:p>
        </w:tc>
        <w:tc>
          <w:tcPr>
            <w:tcW w:w="120" w:type="dxa"/>
            <w:vAlign w:val="bottom"/>
            <w:shd w:val="clear" w:color="auto" w:fill="E2EEF6"/>
          </w:tcPr>
          <w:p>
            <w:pPr>
              <w:spacing w:after="0"/>
              <w:rPr>
                <w:sz w:val="22"/>
                <w:szCs w:val="22"/>
                <w:color w:val="auto"/>
              </w:rPr>
            </w:pPr>
          </w:p>
        </w:tc>
      </w:tr>
      <w:tr>
        <w:trPr>
          <w:trHeight w:val="233"/>
        </w:trPr>
        <w:tc>
          <w:tcPr>
            <w:tcW w:w="5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Costs and expenses:</w:t>
            </w:r>
          </w:p>
        </w:tc>
        <w:tc>
          <w:tcPr>
            <w:tcW w:w="760" w:type="dxa"/>
            <w:vAlign w:val="bottom"/>
            <w:tcBorders>
              <w:right w:val="single" w:sz="8" w:color="E2EEF6"/>
            </w:tcBorders>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102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Direct costs</w:t>
            </w:r>
          </w:p>
        </w:tc>
        <w:tc>
          <w:tcPr>
            <w:tcW w:w="760" w:type="dxa"/>
            <w:vAlign w:val="bottom"/>
          </w:tcPr>
          <w:p>
            <w:pPr>
              <w:ind w:left="100"/>
              <w:spacing w:after="0"/>
              <w:rPr>
                <w:sz w:val="20"/>
                <w:szCs w:val="20"/>
                <w:color w:val="auto"/>
              </w:rPr>
            </w:pPr>
            <w:r>
              <w:rPr>
                <w:rFonts w:ascii="Arial" w:cs="Arial" w:eastAsia="Arial" w:hAnsi="Arial"/>
                <w:sz w:val="17"/>
                <w:szCs w:val="17"/>
                <w:color w:val="auto"/>
              </w:rPr>
              <w:t>48,721</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43,671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96,031</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86,124</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Selling, general and administrative expense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26,824</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25,520</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53,633</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48,859</w:t>
            </w:r>
          </w:p>
        </w:tc>
        <w:tc>
          <w:tcPr>
            <w:tcW w:w="120" w:type="dxa"/>
            <w:vAlign w:val="bottom"/>
            <w:shd w:val="clear" w:color="auto" w:fill="E2EEF6"/>
          </w:tcPr>
          <w:p>
            <w:pPr>
              <w:spacing w:after="0"/>
              <w:rPr>
                <w:sz w:val="22"/>
                <w:szCs w:val="22"/>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60" w:type="dxa"/>
            <w:vAlign w:val="bottom"/>
          </w:tcPr>
          <w:p>
            <w:pPr>
              <w:ind w:left="100"/>
              <w:spacing w:after="0"/>
              <w:rPr>
                <w:sz w:val="20"/>
                <w:szCs w:val="20"/>
                <w:color w:val="auto"/>
              </w:rPr>
            </w:pPr>
            <w:r>
              <w:rPr>
                <w:rFonts w:ascii="Arial" w:cs="Arial" w:eastAsia="Arial" w:hAnsi="Arial"/>
                <w:sz w:val="17"/>
                <w:szCs w:val="17"/>
                <w:color w:val="auto"/>
              </w:rPr>
              <w:t>3,509</w:t>
            </w:r>
          </w:p>
        </w:tc>
        <w:tc>
          <w:tcPr>
            <w:tcW w:w="1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3,296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6,943</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6,358</w:t>
            </w:r>
          </w:p>
        </w:tc>
        <w:tc>
          <w:tcPr>
            <w:tcW w:w="120" w:type="dxa"/>
            <w:vAlign w:val="bottom"/>
          </w:tcPr>
          <w:p>
            <w:pPr>
              <w:spacing w:after="0"/>
              <w:rPr>
                <w:sz w:val="24"/>
                <w:szCs w:val="24"/>
                <w:color w:val="auto"/>
              </w:rPr>
            </w:pP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760" w:type="dxa"/>
            <w:vAlign w:val="bottom"/>
          </w:tcPr>
          <w:p>
            <w:pPr>
              <w:ind w:left="100"/>
              <w:spacing w:after="0"/>
              <w:rPr>
                <w:sz w:val="20"/>
                <w:szCs w:val="20"/>
                <w:color w:val="auto"/>
              </w:rPr>
            </w:pPr>
            <w:r>
              <w:rPr>
                <w:rFonts w:ascii="Arial" w:cs="Arial" w:eastAsia="Arial" w:hAnsi="Arial"/>
                <w:sz w:val="17"/>
                <w:szCs w:val="17"/>
                <w:color w:val="auto"/>
              </w:rPr>
              <w:t>79,054</w:t>
            </w:r>
          </w:p>
        </w:tc>
        <w:tc>
          <w:tcPr>
            <w:tcW w:w="1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72,487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156,607</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141,341</w:t>
            </w:r>
          </w:p>
        </w:tc>
        <w:tc>
          <w:tcPr>
            <w:tcW w:w="120" w:type="dxa"/>
            <w:vAlign w:val="bottom"/>
          </w:tcPr>
          <w:p>
            <w:pPr>
              <w:spacing w:after="0"/>
              <w:rPr>
                <w:sz w:val="24"/>
                <w:szCs w:val="24"/>
                <w:color w:val="auto"/>
              </w:rPr>
            </w:pP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60" w:type="dxa"/>
            <w:vAlign w:val="bottom"/>
          </w:tcPr>
          <w:p>
            <w:pPr>
              <w:ind w:left="100"/>
              <w:spacing w:after="0"/>
              <w:rPr>
                <w:sz w:val="20"/>
                <w:szCs w:val="20"/>
                <w:color w:val="auto"/>
              </w:rPr>
            </w:pPr>
            <w:r>
              <w:rPr>
                <w:rFonts w:ascii="Arial" w:cs="Arial" w:eastAsia="Arial" w:hAnsi="Arial"/>
                <w:sz w:val="17"/>
                <w:szCs w:val="17"/>
                <w:color w:val="auto"/>
              </w:rPr>
              <w:t>9,018</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7,008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17,386</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16,493</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Interest income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622</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1,049</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E2EEF6"/>
          </w:tcPr>
          <w:p>
            <w:pPr>
              <w:spacing w:after="0"/>
              <w:rPr>
                <w:sz w:val="22"/>
                <w:szCs w:val="22"/>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ind w:left="100"/>
              <w:spacing w:after="0"/>
              <w:rPr>
                <w:sz w:val="20"/>
                <w:szCs w:val="20"/>
                <w:color w:val="auto"/>
              </w:rPr>
            </w:pPr>
            <w:r>
              <w:rPr>
                <w:rFonts w:ascii="Arial" w:cs="Arial" w:eastAsia="Arial" w:hAnsi="Arial"/>
                <w:sz w:val="17"/>
                <w:szCs w:val="17"/>
                <w:color w:val="auto"/>
              </w:rPr>
              <w:t>(19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20"/>
              <w:spacing w:after="0"/>
              <w:rPr>
                <w:sz w:val="20"/>
                <w:szCs w:val="20"/>
                <w:color w:val="auto"/>
              </w:rPr>
            </w:pPr>
            <w:r>
              <w:rPr>
                <w:rFonts w:ascii="Arial" w:cs="Arial" w:eastAsia="Arial" w:hAnsi="Arial"/>
                <w:sz w:val="17"/>
                <w:szCs w:val="17"/>
                <w:color w:val="auto"/>
              </w:rPr>
              <w:t>(91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(31</w:t>
            </w:r>
          </w:p>
        </w:tc>
        <w:tc>
          <w:tcPr>
            <w:tcW w:w="1020" w:type="dxa"/>
            <w:vAlign w:val="bottom"/>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40"/>
              <w:spacing w:after="0"/>
              <w:rPr>
                <w:sz w:val="20"/>
                <w:szCs w:val="20"/>
                <w:color w:val="auto"/>
              </w:rPr>
            </w:pPr>
            <w:r>
              <w:rPr>
                <w:rFonts w:ascii="Arial" w:cs="Arial" w:eastAsia="Arial" w:hAnsi="Arial"/>
                <w:sz w:val="17"/>
                <w:szCs w:val="17"/>
                <w:color w:val="auto"/>
              </w:rPr>
              <w:t>(124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Income before provision for income taxes</w:t>
            </w:r>
          </w:p>
        </w:tc>
        <w:tc>
          <w:tcPr>
            <w:tcW w:w="760" w:type="dxa"/>
            <w:vAlign w:val="bottom"/>
          </w:tcPr>
          <w:p>
            <w:pPr>
              <w:ind w:left="100"/>
              <w:spacing w:after="0"/>
              <w:rPr>
                <w:sz w:val="20"/>
                <w:szCs w:val="20"/>
                <w:color w:val="auto"/>
              </w:rPr>
            </w:pPr>
            <w:r>
              <w:rPr>
                <w:rFonts w:ascii="Arial" w:cs="Arial" w:eastAsia="Arial" w:hAnsi="Arial"/>
                <w:sz w:val="17"/>
                <w:szCs w:val="17"/>
                <w:color w:val="auto"/>
              </w:rPr>
              <w:t>9,621</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18,404</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16,836</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Provision for income taxes</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(2,618</w:t>
            </w:r>
          </w:p>
        </w:tc>
        <w:tc>
          <w:tcPr>
            <w:tcW w:w="1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(1,310</w:t>
            </w:r>
          </w:p>
        </w:tc>
        <w:tc>
          <w:tcPr>
            <w:tcW w:w="2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(5,077</w:t>
            </w:r>
          </w:p>
        </w:tc>
        <w:tc>
          <w:tcPr>
            <w:tcW w:w="1020" w:type="dxa"/>
            <w:vAlign w:val="bottom"/>
            <w:shd w:val="clear" w:color="auto" w:fill="E2EEF6"/>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(3,632</w:t>
            </w:r>
          </w:p>
        </w:tc>
        <w:tc>
          <w:tcPr>
            <w:tcW w:w="120" w:type="dxa"/>
            <w:vAlign w:val="bottom"/>
            <w:shd w:val="clear" w:color="auto" w:fill="E2EEF6"/>
          </w:tcPr>
          <w:p>
            <w:pPr>
              <w:jc w:val="right"/>
              <w:spacing w:after="0"/>
              <w:rPr>
                <w:sz w:val="20"/>
                <w:szCs w:val="20"/>
                <w:color w:val="auto"/>
              </w:rPr>
            </w:pPr>
            <w:r>
              <w:rPr>
                <w:rFonts w:ascii="Arial" w:cs="Arial" w:eastAsia="Arial" w:hAnsi="Arial"/>
                <w:sz w:val="16"/>
                <w:szCs w:val="16"/>
                <w:color w:val="auto"/>
                <w:w w:val="74"/>
              </w:rPr>
              <w:t>)</w:t>
            </w: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Minority interest</w:t>
            </w:r>
          </w:p>
        </w:tc>
        <w:tc>
          <w:tcPr>
            <w:tcW w:w="760" w:type="dxa"/>
            <w:vAlign w:val="bottom"/>
          </w:tcPr>
          <w:p>
            <w:pPr>
              <w:ind w:left="100"/>
              <w:spacing w:after="0"/>
              <w:rPr>
                <w:sz w:val="20"/>
                <w:szCs w:val="20"/>
                <w:color w:val="auto"/>
              </w:rPr>
            </w:pPr>
            <w:r>
              <w:rPr>
                <w:rFonts w:ascii="Arial" w:cs="Arial" w:eastAsia="Arial" w:hAnsi="Arial"/>
                <w:sz w:val="17"/>
                <w:szCs w:val="17"/>
                <w:color w:val="auto"/>
              </w:rPr>
              <w:t>(50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20"/>
              <w:spacing w:after="0"/>
              <w:rPr>
                <w:sz w:val="20"/>
                <w:szCs w:val="20"/>
                <w:color w:val="auto"/>
              </w:rPr>
            </w:pPr>
            <w:r>
              <w:rPr>
                <w:rFonts w:ascii="Arial" w:cs="Arial" w:eastAsia="Arial" w:hAnsi="Arial"/>
                <w:sz w:val="17"/>
                <w:szCs w:val="17"/>
                <w:color w:val="auto"/>
              </w:rPr>
              <w:t>(58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9</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Net income</w:t>
            </w:r>
          </w:p>
        </w:tc>
        <w:tc>
          <w:tcPr>
            <w:tcW w:w="760" w:type="dxa"/>
            <w:vAlign w:val="bottom"/>
          </w:tcPr>
          <w:p>
            <w:pPr>
              <w:spacing w:after="0"/>
              <w:rPr>
                <w:sz w:val="20"/>
                <w:szCs w:val="20"/>
                <w:color w:val="auto"/>
              </w:rPr>
            </w:pPr>
            <w:r>
              <w:rPr>
                <w:rFonts w:ascii="Arial" w:cs="Arial" w:eastAsia="Arial" w:hAnsi="Arial"/>
                <w:sz w:val="17"/>
                <w:szCs w:val="17"/>
                <w:color w:val="auto"/>
              </w:rPr>
              <w:t>$ 6,953</w:t>
            </w:r>
          </w:p>
        </w:tc>
        <w:tc>
          <w:tcPr>
            <w:tcW w:w="1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$ 5,819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$ 13,336</w:t>
            </w:r>
          </w:p>
        </w:tc>
        <w:tc>
          <w:tcPr>
            <w:tcW w:w="10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$ 13,124</w:t>
            </w:r>
          </w:p>
        </w:tc>
        <w:tc>
          <w:tcPr>
            <w:tcW w:w="120" w:type="dxa"/>
            <w:vAlign w:val="bottom"/>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2"/>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Net income per Ordinary Share:</w:t>
            </w:r>
          </w:p>
        </w:tc>
        <w:tc>
          <w:tcPr>
            <w:tcW w:w="760" w:type="dxa"/>
            <w:vAlign w:val="bottom"/>
            <w:tcBorders>
              <w:right w:val="single" w:sz="8" w:color="E2EEF6"/>
            </w:tcBorders>
            <w:shd w:val="clear" w:color="auto" w:fill="E2EEF6"/>
          </w:tcPr>
          <w:p>
            <w:pPr>
              <w:spacing w:after="0"/>
              <w:rPr>
                <w:sz w:val="18"/>
                <w:szCs w:val="18"/>
                <w:color w:val="auto"/>
              </w:rPr>
            </w:pPr>
          </w:p>
        </w:tc>
        <w:tc>
          <w:tcPr>
            <w:tcW w:w="120" w:type="dxa"/>
            <w:vAlign w:val="bottom"/>
            <w:tcBorders>
              <w:right w:val="single" w:sz="8" w:color="E2EEF6"/>
            </w:tcBorders>
            <w:shd w:val="clear" w:color="auto" w:fill="E2EEF6"/>
          </w:tcPr>
          <w:p>
            <w:pPr>
              <w:spacing w:after="0"/>
              <w:rPr>
                <w:sz w:val="18"/>
                <w:szCs w:val="18"/>
                <w:color w:val="auto"/>
              </w:rPr>
            </w:pPr>
          </w:p>
        </w:tc>
        <w:tc>
          <w:tcPr>
            <w:tcW w:w="84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900" w:type="dxa"/>
            <w:vAlign w:val="bottom"/>
            <w:shd w:val="clear" w:color="auto" w:fill="E2EEF6"/>
          </w:tcPr>
          <w:p>
            <w:pPr>
              <w:spacing w:after="0"/>
              <w:rPr>
                <w:sz w:val="18"/>
                <w:szCs w:val="18"/>
                <w:color w:val="auto"/>
              </w:rPr>
            </w:pPr>
          </w:p>
        </w:tc>
        <w:tc>
          <w:tcPr>
            <w:tcW w:w="780" w:type="dxa"/>
            <w:vAlign w:val="bottom"/>
            <w:shd w:val="clear" w:color="auto" w:fill="E2EEF6"/>
          </w:tcPr>
          <w:p>
            <w:pPr>
              <w:spacing w:after="0"/>
              <w:rPr>
                <w:sz w:val="18"/>
                <w:szCs w:val="18"/>
                <w:color w:val="auto"/>
              </w:rPr>
            </w:pPr>
          </w:p>
        </w:tc>
        <w:tc>
          <w:tcPr>
            <w:tcW w:w="1020" w:type="dxa"/>
            <w:vAlign w:val="bottom"/>
            <w:shd w:val="clear" w:color="auto" w:fill="E2EEF6"/>
          </w:tcPr>
          <w:p>
            <w:pPr>
              <w:spacing w:after="0"/>
              <w:rPr>
                <w:sz w:val="18"/>
                <w:szCs w:val="18"/>
                <w:color w:val="auto"/>
              </w:rPr>
            </w:pPr>
          </w:p>
        </w:tc>
        <w:tc>
          <w:tcPr>
            <w:tcW w:w="84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Basic</w:t>
            </w:r>
          </w:p>
        </w:tc>
        <w:tc>
          <w:tcPr>
            <w:tcW w:w="760" w:type="dxa"/>
            <w:vAlign w:val="bottom"/>
          </w:tcPr>
          <w:p>
            <w:pPr>
              <w:spacing w:after="0"/>
              <w:rPr>
                <w:sz w:val="20"/>
                <w:szCs w:val="20"/>
                <w:color w:val="auto"/>
              </w:rPr>
            </w:pPr>
            <w:r>
              <w:rPr>
                <w:rFonts w:ascii="Arial" w:cs="Arial" w:eastAsia="Arial" w:hAnsi="Arial"/>
                <w:sz w:val="17"/>
                <w:szCs w:val="17"/>
                <w:color w:val="auto"/>
              </w:rPr>
              <w:t>$ 0.50</w:t>
            </w:r>
          </w:p>
        </w:tc>
        <w:tc>
          <w:tcPr>
            <w:tcW w:w="1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$ 0.42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$ 0.95</w:t>
            </w:r>
          </w:p>
        </w:tc>
        <w:tc>
          <w:tcPr>
            <w:tcW w:w="10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$ 0.95</w:t>
            </w:r>
          </w:p>
        </w:tc>
        <w:tc>
          <w:tcPr>
            <w:tcW w:w="120" w:type="dxa"/>
            <w:vAlign w:val="bottom"/>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Diluted</w:t>
            </w:r>
          </w:p>
        </w:tc>
        <w:tc>
          <w:tcPr>
            <w:tcW w:w="760" w:type="dxa"/>
            <w:vAlign w:val="bottom"/>
            <w:tcBorders>
              <w:right w:val="single" w:sz="8" w:color="E2EEF6"/>
            </w:tcBorders>
            <w:shd w:val="clear" w:color="auto" w:fill="E2EEF6"/>
          </w:tcPr>
          <w:p>
            <w:pPr>
              <w:spacing w:after="0"/>
              <w:rPr>
                <w:sz w:val="20"/>
                <w:szCs w:val="20"/>
                <w:color w:val="auto"/>
              </w:rPr>
            </w:pPr>
            <w:r>
              <w:rPr>
                <w:rFonts w:ascii="Arial" w:cs="Arial" w:eastAsia="Arial" w:hAnsi="Arial"/>
                <w:sz w:val="17"/>
                <w:szCs w:val="17"/>
                <w:color w:val="auto"/>
              </w:rPr>
              <w:t>$ 0.49</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spacing w:after="0"/>
              <w:rPr>
                <w:sz w:val="20"/>
                <w:szCs w:val="20"/>
                <w:color w:val="auto"/>
              </w:rPr>
            </w:pPr>
            <w:r>
              <w:rPr>
                <w:rFonts w:ascii="Arial" w:cs="Arial" w:eastAsia="Arial" w:hAnsi="Arial"/>
                <w:sz w:val="17"/>
                <w:szCs w:val="17"/>
                <w:color w:val="auto"/>
              </w:rPr>
              <w:t>$ 0.41</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900"/>
              <w:spacing w:after="0"/>
              <w:rPr>
                <w:sz w:val="20"/>
                <w:szCs w:val="20"/>
                <w:color w:val="auto"/>
              </w:rPr>
            </w:pPr>
            <w:r>
              <w:rPr>
                <w:rFonts w:ascii="Arial" w:cs="Arial" w:eastAsia="Arial" w:hAnsi="Arial"/>
                <w:sz w:val="17"/>
                <w:szCs w:val="17"/>
                <w:color w:val="auto"/>
              </w:rPr>
              <w:t>$ 0.94</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spacing w:after="0"/>
              <w:rPr>
                <w:sz w:val="20"/>
                <w:szCs w:val="20"/>
                <w:color w:val="auto"/>
              </w:rPr>
            </w:pPr>
            <w:r>
              <w:rPr>
                <w:rFonts w:ascii="Arial" w:cs="Arial" w:eastAsia="Arial" w:hAnsi="Arial"/>
                <w:sz w:val="17"/>
                <w:szCs w:val="17"/>
                <w:color w:val="auto"/>
              </w:rPr>
              <w:t>$ 0.93</w:t>
            </w:r>
          </w:p>
        </w:tc>
        <w:tc>
          <w:tcPr>
            <w:tcW w:w="120" w:type="dxa"/>
            <w:vAlign w:val="bottom"/>
            <w:shd w:val="clear" w:color="auto" w:fill="E2EEF6"/>
          </w:tcPr>
          <w:p>
            <w:pPr>
              <w:spacing w:after="0"/>
              <w:rPr>
                <w:sz w:val="22"/>
                <w:szCs w:val="22"/>
                <w:color w:val="auto"/>
              </w:rPr>
            </w:pPr>
          </w:p>
        </w:tc>
      </w:tr>
      <w:tr>
        <w:trPr>
          <w:trHeight w:val="20"/>
        </w:trPr>
        <w:tc>
          <w:tcPr>
            <w:tcW w:w="5780" w:type="dxa"/>
            <w:vAlign w:val="bottom"/>
            <w:tcBorders>
              <w:top w:val="single" w:sz="8" w:color="E2EEF6"/>
            </w:tcBorders>
            <w:shd w:val="clear" w:color="auto" w:fill="E2EEF6"/>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right w:val="single" w:sz="8" w:color="E2EEF6"/>
            </w:tcBorders>
            <w:shd w:val="clear" w:color="auto" w:fill="E2EEF6"/>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900" w:type="dxa"/>
            <w:vAlign w:val="bottom"/>
            <w:tcBorders>
              <w:top w:val="single" w:sz="8" w:color="E2EEF6"/>
            </w:tcBorders>
            <w:shd w:val="clear" w:color="auto" w:fill="E2EEF6"/>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E2EEF6"/>
            </w:tcBorders>
            <w:shd w:val="clear" w:color="auto" w:fill="E2EEF6"/>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80" w:type="dxa"/>
            <w:vAlign w:val="bottom"/>
            <w:shd w:val="clear" w:color="auto" w:fill="E2EEF6"/>
          </w:tcPr>
          <w:p>
            <w:pPr>
              <w:spacing w:after="0"/>
              <w:rPr>
                <w:sz w:val="20"/>
                <w:szCs w:val="20"/>
                <w:color w:val="auto"/>
              </w:rPr>
            </w:pPr>
            <w:r>
              <w:rPr>
                <w:rFonts w:ascii="Arial" w:cs="Arial" w:eastAsia="Arial" w:hAnsi="Arial"/>
                <w:sz w:val="17"/>
                <w:szCs w:val="17"/>
                <w:color w:val="auto"/>
              </w:rPr>
              <w:t>Weighted average number of Ordinary Shares outstanding:</w:t>
            </w:r>
          </w:p>
        </w:tc>
        <w:tc>
          <w:tcPr>
            <w:tcW w:w="184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340" w:type="dxa"/>
            <w:vAlign w:val="bottom"/>
            <w:shd w:val="clear" w:color="auto" w:fill="E2EEF6"/>
          </w:tcPr>
          <w:p>
            <w:pPr>
              <w:spacing w:after="0"/>
              <w:rPr>
                <w:sz w:val="20"/>
                <w:szCs w:val="20"/>
                <w:color w:val="auto"/>
              </w:rPr>
            </w:pPr>
          </w:p>
        </w:tc>
        <w:tc>
          <w:tcPr>
            <w:tcW w:w="1320" w:type="dxa"/>
            <w:vAlign w:val="bottom"/>
            <w:shd w:val="clear" w:color="auto" w:fill="E2EEF6"/>
          </w:tcPr>
          <w:p>
            <w:pPr>
              <w:spacing w:after="0"/>
              <w:rPr>
                <w:sz w:val="20"/>
                <w:szCs w:val="20"/>
                <w:color w:val="auto"/>
              </w:rPr>
            </w:pPr>
          </w:p>
        </w:tc>
      </w:tr>
      <w:tr>
        <w:trPr>
          <w:trHeight w:val="492"/>
        </w:trPr>
        <w:tc>
          <w:tcPr>
            <w:tcW w:w="4880" w:type="dxa"/>
            <w:vAlign w:val="bottom"/>
          </w:tcPr>
          <w:p>
            <w:pPr>
              <w:spacing w:after="0"/>
              <w:rPr>
                <w:sz w:val="20"/>
                <w:szCs w:val="20"/>
                <w:color w:val="auto"/>
              </w:rPr>
            </w:pPr>
            <w:r>
              <w:rPr>
                <w:rFonts w:ascii="Arial" w:cs="Arial" w:eastAsia="Arial" w:hAnsi="Arial"/>
                <w:sz w:val="17"/>
                <w:szCs w:val="17"/>
                <w:color w:val="auto"/>
              </w:rPr>
              <w:t>Basic</w:t>
            </w:r>
          </w:p>
        </w:tc>
        <w:tc>
          <w:tcPr>
            <w:tcW w:w="1840" w:type="dxa"/>
            <w:vAlign w:val="bottom"/>
          </w:tcPr>
          <w:p>
            <w:pPr>
              <w:jc w:val="right"/>
              <w:spacing w:after="0"/>
              <w:rPr>
                <w:sz w:val="20"/>
                <w:szCs w:val="20"/>
                <w:color w:val="auto"/>
              </w:rPr>
            </w:pPr>
            <w:r>
              <w:rPr>
                <w:rFonts w:ascii="Arial" w:cs="Arial" w:eastAsia="Arial" w:hAnsi="Arial"/>
                <w:sz w:val="17"/>
                <w:szCs w:val="17"/>
                <w:color w:val="auto"/>
              </w:rPr>
              <w:t>14,005,454</w:t>
            </w:r>
          </w:p>
        </w:tc>
        <w:tc>
          <w:tcPr>
            <w:tcW w:w="920" w:type="dxa"/>
            <w:vAlign w:val="bottom"/>
          </w:tcPr>
          <w:p>
            <w:pPr>
              <w:jc w:val="right"/>
              <w:spacing w:after="0"/>
              <w:rPr>
                <w:sz w:val="20"/>
                <w:szCs w:val="20"/>
                <w:color w:val="auto"/>
              </w:rPr>
            </w:pPr>
            <w:r>
              <w:rPr>
                <w:rFonts w:ascii="Arial" w:cs="Arial" w:eastAsia="Arial" w:hAnsi="Arial"/>
                <w:sz w:val="17"/>
                <w:szCs w:val="17"/>
                <w:color w:val="auto"/>
                <w:w w:val="96"/>
              </w:rPr>
              <w:t>13,847,689</w:t>
            </w:r>
          </w:p>
        </w:tc>
        <w:tc>
          <w:tcPr>
            <w:tcW w:w="2460" w:type="dxa"/>
            <w:vAlign w:val="bottom"/>
            <w:gridSpan w:val="2"/>
          </w:tcPr>
          <w:p>
            <w:pPr>
              <w:jc w:val="right"/>
              <w:ind w:right="454"/>
              <w:spacing w:after="0"/>
              <w:rPr>
                <w:sz w:val="20"/>
                <w:szCs w:val="20"/>
                <w:color w:val="auto"/>
              </w:rPr>
            </w:pPr>
            <w:r>
              <w:rPr>
                <w:rFonts w:ascii="Arial" w:cs="Arial" w:eastAsia="Arial" w:hAnsi="Arial"/>
                <w:sz w:val="17"/>
                <w:szCs w:val="17"/>
                <w:color w:val="auto"/>
              </w:rPr>
              <w:t>14,027,564</w:t>
            </w:r>
          </w:p>
        </w:tc>
        <w:tc>
          <w:tcPr>
            <w:tcW w:w="1320" w:type="dxa"/>
            <w:vAlign w:val="bottom"/>
          </w:tcPr>
          <w:p>
            <w:pPr>
              <w:jc w:val="right"/>
              <w:spacing w:after="0"/>
              <w:rPr>
                <w:sz w:val="20"/>
                <w:szCs w:val="20"/>
                <w:color w:val="auto"/>
              </w:rPr>
            </w:pPr>
            <w:r>
              <w:rPr>
                <w:rFonts w:ascii="Arial" w:cs="Arial" w:eastAsia="Arial" w:hAnsi="Arial"/>
                <w:sz w:val="17"/>
                <w:szCs w:val="17"/>
                <w:color w:val="auto"/>
              </w:rPr>
              <w:t>13,839,857</w:t>
            </w:r>
          </w:p>
        </w:tc>
      </w:tr>
      <w:tr>
        <w:trPr>
          <w:trHeight w:val="20"/>
        </w:trPr>
        <w:tc>
          <w:tcPr>
            <w:tcW w:w="48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4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Diluted</w:t>
            </w:r>
          </w:p>
        </w:tc>
        <w:tc>
          <w:tcPr>
            <w:tcW w:w="1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14,261,734</w:t>
            </w:r>
          </w:p>
        </w:tc>
        <w:tc>
          <w:tcPr>
            <w:tcW w:w="9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w w:val="96"/>
              </w:rPr>
              <w:t>14,067,079</w:t>
            </w:r>
          </w:p>
        </w:tc>
        <w:tc>
          <w:tcPr>
            <w:tcW w:w="120" w:type="dxa"/>
            <w:vAlign w:val="bottom"/>
            <w:tcBorders>
              <w:bottom w:val="single" w:sz="8" w:color="E2EEF6"/>
            </w:tcBorders>
            <w:shd w:val="clear" w:color="auto" w:fill="E2EEF6"/>
          </w:tcPr>
          <w:p>
            <w:pPr>
              <w:spacing w:after="0"/>
              <w:rPr>
                <w:sz w:val="24"/>
                <w:szCs w:val="24"/>
                <w:color w:val="auto"/>
              </w:rPr>
            </w:pPr>
          </w:p>
        </w:tc>
        <w:tc>
          <w:tcPr>
            <w:tcW w:w="2340" w:type="dxa"/>
            <w:vAlign w:val="bottom"/>
            <w:tcBorders>
              <w:bottom w:val="single" w:sz="8" w:color="auto"/>
            </w:tcBorders>
            <w:shd w:val="clear" w:color="auto" w:fill="E2EEF6"/>
          </w:tcPr>
          <w:p>
            <w:pPr>
              <w:jc w:val="right"/>
              <w:ind w:right="454"/>
              <w:spacing w:after="0"/>
              <w:rPr>
                <w:sz w:val="20"/>
                <w:szCs w:val="20"/>
                <w:color w:val="auto"/>
              </w:rPr>
            </w:pPr>
            <w:r>
              <w:rPr>
                <w:rFonts w:ascii="Arial" w:cs="Arial" w:eastAsia="Arial" w:hAnsi="Arial"/>
                <w:sz w:val="17"/>
                <w:szCs w:val="17"/>
                <w:color w:val="auto"/>
              </w:rPr>
              <w:t>14,234,326</w:t>
            </w:r>
          </w:p>
        </w:tc>
        <w:tc>
          <w:tcPr>
            <w:tcW w:w="13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14,088,030</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NOVEMBER 30, 2005 AND 2004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2"/>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November 30,</w:t>
            </w:r>
          </w:p>
        </w:tc>
        <w:tc>
          <w:tcPr>
            <w:tcW w:w="1420" w:type="dxa"/>
            <w:vAlign w:val="bottom"/>
            <w:gridSpan w:val="6"/>
          </w:tcPr>
          <w:p>
            <w:pPr>
              <w:ind w:left="400"/>
              <w:spacing w:after="0" w:line="187" w:lineRule="exact"/>
              <w:rPr>
                <w:sz w:val="20"/>
                <w:szCs w:val="20"/>
                <w:color w:val="auto"/>
              </w:rPr>
            </w:pPr>
            <w:r>
              <w:rPr>
                <w:rFonts w:ascii="Arial" w:cs="Arial" w:eastAsia="Arial" w:hAnsi="Arial"/>
                <w:sz w:val="17"/>
                <w:szCs w:val="17"/>
                <w:b w:val="1"/>
                <w:bCs w:val="1"/>
                <w:color w:val="auto"/>
                <w:w w:val="89"/>
              </w:rPr>
              <w:t>November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620" w:type="dxa"/>
            <w:vAlign w:val="bottom"/>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right"/>
              <w:spacing w:after="0" w:line="187" w:lineRule="exact"/>
              <w:rPr>
                <w:sz w:val="20"/>
                <w:szCs w:val="20"/>
                <w:color w:val="auto"/>
              </w:rPr>
            </w:pPr>
            <w:r>
              <w:rPr>
                <w:rFonts w:ascii="Arial" w:cs="Arial" w:eastAsia="Arial" w:hAnsi="Arial"/>
                <w:sz w:val="17"/>
                <w:szCs w:val="17"/>
                <w:b w:val="1"/>
                <w:bCs w:val="1"/>
                <w:color w:val="auto"/>
                <w:w w:val="84"/>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88"/>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600" w:type="dxa"/>
            <w:vAlign w:val="bottom"/>
          </w:tcPr>
          <w:p>
            <w:pPr>
              <w:spacing w:after="0"/>
              <w:rPr>
                <w:sz w:val="20"/>
                <w:szCs w:val="20"/>
                <w:color w:val="auto"/>
              </w:rPr>
            </w:pPr>
            <w:r>
              <w:rPr>
                <w:rFonts w:ascii="Arial" w:cs="Arial" w:eastAsia="Arial" w:hAnsi="Arial"/>
                <w:sz w:val="17"/>
                <w:szCs w:val="17"/>
                <w:color w:val="auto"/>
                <w:w w:val="94"/>
              </w:rPr>
              <w:t>$13,336</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420"/>
              <w:spacing w:after="0"/>
              <w:rPr>
                <w:sz w:val="20"/>
                <w:szCs w:val="20"/>
                <w:color w:val="auto"/>
              </w:rPr>
            </w:pPr>
            <w:r>
              <w:rPr>
                <w:rFonts w:ascii="Arial" w:cs="Arial" w:eastAsia="Arial" w:hAnsi="Arial"/>
                <w:sz w:val="17"/>
                <w:szCs w:val="17"/>
                <w:color w:val="auto"/>
                <w:w w:val="96"/>
              </w:rPr>
              <w:t>$ 13,124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Adjustments to reconcile net income to net cash provided by/(used in) operating activities:</w:t>
            </w:r>
          </w:p>
        </w:tc>
        <w:tc>
          <w:tcPr>
            <w:tcW w:w="60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42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40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Gain on disposal of property, plant and equipment</w:t>
            </w:r>
          </w:p>
        </w:tc>
        <w:tc>
          <w:tcPr>
            <w:tcW w:w="600" w:type="dxa"/>
            <w:vAlign w:val="bottom"/>
          </w:tcPr>
          <w:p>
            <w:pPr>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6,943</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6,358</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Amortization of grants</w:t>
            </w:r>
          </w:p>
        </w:tc>
        <w:tc>
          <w:tcPr>
            <w:tcW w:w="600" w:type="dxa"/>
            <w:vAlign w:val="bottom"/>
          </w:tcPr>
          <w:p>
            <w:pPr>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(97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(9)</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80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7"/>
                <w:szCs w:val="17"/>
                <w:color w:val="auto"/>
              </w:rPr>
              <w:t>Changes in assets and liabilities: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Decrease/(increase) in accounts receivable</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15,128</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(14,141</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 in unbilled revenue</w:t>
            </w:r>
          </w:p>
        </w:tc>
        <w:tc>
          <w:tcPr>
            <w:tcW w:w="600" w:type="dxa"/>
            <w:vAlign w:val="bottom"/>
          </w:tcPr>
          <w:p>
            <w:pPr>
              <w:spacing w:after="0"/>
              <w:rPr>
                <w:sz w:val="20"/>
                <w:szCs w:val="20"/>
                <w:color w:val="auto"/>
              </w:rPr>
            </w:pPr>
            <w:r>
              <w:rPr>
                <w:rFonts w:ascii="Arial" w:cs="Arial" w:eastAsia="Arial" w:hAnsi="Arial"/>
                <w:sz w:val="17"/>
                <w:szCs w:val="17"/>
                <w:color w:val="auto"/>
                <w:w w:val="91"/>
              </w:rPr>
              <w:t>(19,313)</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w w:val="90"/>
              </w:rPr>
              <w:t>(11,617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(Increase)/decrease in other receivables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(1,239)</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6,115</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(Increase)/decrease in prepayments and other current assets</w:t>
            </w:r>
          </w:p>
        </w:tc>
        <w:tc>
          <w:tcPr>
            <w:tcW w:w="600" w:type="dxa"/>
            <w:vAlign w:val="bottom"/>
          </w:tcPr>
          <w:p>
            <w:pPr>
              <w:spacing w:after="0"/>
              <w:rPr>
                <w:sz w:val="20"/>
                <w:szCs w:val="20"/>
                <w:color w:val="auto"/>
              </w:rPr>
            </w:pPr>
            <w:r>
              <w:rPr>
                <w:rFonts w:ascii="Arial" w:cs="Arial" w:eastAsia="Arial" w:hAnsi="Arial"/>
                <w:sz w:val="17"/>
                <w:szCs w:val="17"/>
                <w:color w:val="auto"/>
              </w:rPr>
              <w:t>(719)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632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 in payments on account</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(1,417)</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11,910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Increase/(decrease) in other liabilities</w:t>
            </w:r>
          </w:p>
        </w:tc>
        <w:tc>
          <w:tcPr>
            <w:tcW w:w="600" w:type="dxa"/>
            <w:vAlign w:val="bottom"/>
          </w:tcPr>
          <w:p>
            <w:pPr>
              <w:spacing w:after="0"/>
              <w:rPr>
                <w:sz w:val="20"/>
                <w:szCs w:val="20"/>
                <w:color w:val="auto"/>
              </w:rPr>
            </w:pPr>
            <w:r>
              <w:rPr>
                <w:rFonts w:ascii="Arial" w:cs="Arial" w:eastAsia="Arial" w:hAnsi="Arial"/>
                <w:sz w:val="17"/>
                <w:szCs w:val="17"/>
                <w:color w:val="auto"/>
              </w:rPr>
              <w:t>2,095</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(8,825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 in income taxes payable</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1,990</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1,999</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Decrease in accounts payable</w:t>
            </w:r>
          </w:p>
        </w:tc>
        <w:tc>
          <w:tcPr>
            <w:tcW w:w="600" w:type="dxa"/>
            <w:vAlign w:val="bottom"/>
          </w:tcPr>
          <w:p>
            <w:pPr>
              <w:spacing w:after="0"/>
              <w:rPr>
                <w:sz w:val="20"/>
                <w:szCs w:val="20"/>
                <w:color w:val="auto"/>
              </w:rPr>
            </w:pPr>
            <w:r>
              <w:rPr>
                <w:rFonts w:ascii="Arial" w:cs="Arial" w:eastAsia="Arial" w:hAnsi="Arial"/>
                <w:sz w:val="17"/>
                <w:szCs w:val="17"/>
                <w:color w:val="auto"/>
              </w:rPr>
              <w:t>(2,200)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(7,587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shd w:val="clear" w:color="auto" w:fill="E2EEF6"/>
          </w:tcPr>
          <w:p>
            <w:pPr>
              <w:spacing w:after="0"/>
              <w:rPr>
                <w:sz w:val="19"/>
                <w:szCs w:val="19"/>
                <w:color w:val="auto"/>
              </w:rPr>
            </w:pPr>
          </w:p>
        </w:tc>
        <w:tc>
          <w:tcPr>
            <w:tcW w:w="60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42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400" w:type="dxa"/>
            <w:vAlign w:val="bottom"/>
            <w:tcBorders>
              <w:top w:val="single" w:sz="8" w:color="auto"/>
            </w:tcBorders>
            <w:shd w:val="clear" w:color="auto" w:fill="E2EEF6"/>
          </w:tcPr>
          <w:p>
            <w:pPr>
              <w:spacing w:after="0"/>
              <w:rPr>
                <w:sz w:val="19"/>
                <w:szCs w:val="19"/>
                <w:color w:val="auto"/>
              </w:rPr>
            </w:pPr>
          </w:p>
        </w:tc>
        <w:tc>
          <w:tcPr>
            <w:tcW w:w="20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Net cash provided by/(used in) operating activities</w:t>
            </w:r>
          </w:p>
        </w:tc>
        <w:tc>
          <w:tcPr>
            <w:tcW w:w="600" w:type="dxa"/>
            <w:vAlign w:val="bottom"/>
          </w:tcPr>
          <w:p>
            <w:pPr>
              <w:spacing w:after="0"/>
              <w:rPr>
                <w:sz w:val="20"/>
                <w:szCs w:val="20"/>
                <w:color w:val="auto"/>
              </w:rPr>
            </w:pPr>
            <w:r>
              <w:rPr>
                <w:rFonts w:ascii="Arial" w:cs="Arial" w:eastAsia="Arial" w:hAnsi="Arial"/>
                <w:sz w:val="17"/>
                <w:szCs w:val="17"/>
                <w:color w:val="auto"/>
              </w:rPr>
              <w:t>14,501</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(2,003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Purchase of property, plant and equipment</w:t>
            </w:r>
          </w:p>
        </w:tc>
        <w:tc>
          <w:tcPr>
            <w:tcW w:w="600" w:type="dxa"/>
            <w:vAlign w:val="bottom"/>
          </w:tcPr>
          <w:p>
            <w:pPr>
              <w:spacing w:after="0"/>
              <w:rPr>
                <w:sz w:val="20"/>
                <w:szCs w:val="20"/>
                <w:color w:val="auto"/>
              </w:rPr>
            </w:pPr>
            <w:r>
              <w:rPr>
                <w:rFonts w:ascii="Arial" w:cs="Arial" w:eastAsia="Arial" w:hAnsi="Arial"/>
                <w:sz w:val="17"/>
                <w:szCs w:val="17"/>
                <w:color w:val="auto"/>
                <w:w w:val="91"/>
              </w:rPr>
              <w:t>(11,033)</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(7,491</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Purchase of subsidiary undertakings and acquisition costs.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w:t>
            </w: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(10,010</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Cash acquired with subsidiary undertakings</w:t>
            </w:r>
          </w:p>
        </w:tc>
        <w:tc>
          <w:tcPr>
            <w:tcW w:w="6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1,658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Purchase of short term investments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w w:val="91"/>
              </w:rPr>
              <w:t>(11,787)</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(5,960</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Sale of short term investments</w:t>
            </w:r>
          </w:p>
        </w:tc>
        <w:tc>
          <w:tcPr>
            <w:tcW w:w="600" w:type="dxa"/>
            <w:vAlign w:val="bottom"/>
          </w:tcPr>
          <w:p>
            <w:pPr>
              <w:spacing w:after="0"/>
              <w:rPr>
                <w:sz w:val="20"/>
                <w:szCs w:val="20"/>
                <w:color w:val="auto"/>
              </w:rPr>
            </w:pPr>
            <w:r>
              <w:rPr>
                <w:rFonts w:ascii="Arial" w:cs="Arial" w:eastAsia="Arial" w:hAnsi="Arial"/>
                <w:sz w:val="17"/>
                <w:szCs w:val="17"/>
                <w:color w:val="auto"/>
              </w:rPr>
              <w:t>8,009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Deferred payments in respect of prior year acquisitions</w:t>
            </w:r>
          </w:p>
        </w:tc>
        <w:tc>
          <w:tcPr>
            <w:tcW w:w="6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(3,374)</w:t>
            </w:r>
          </w:p>
        </w:tc>
        <w:tc>
          <w:tcPr>
            <w:tcW w:w="34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E2EEF6"/>
            </w:tcBorders>
            <w:shd w:val="clear" w:color="auto" w:fill="E2EEF6"/>
          </w:tcPr>
          <w:p>
            <w:pPr>
              <w:spacing w:after="0"/>
              <w:rPr>
                <w:sz w:val="24"/>
                <w:szCs w:val="24"/>
                <w:color w:val="auto"/>
              </w:rPr>
            </w:pPr>
          </w:p>
        </w:tc>
        <w:tc>
          <w:tcPr>
            <w:tcW w:w="1080" w:type="dxa"/>
            <w:vAlign w:val="bottom"/>
            <w:tcBorders>
              <w:bottom w:val="single" w:sz="8" w:color="E2EEF6"/>
            </w:tcBorders>
            <w:gridSpan w:val="4"/>
            <w:shd w:val="clear" w:color="auto" w:fill="E2EEF6"/>
          </w:tcPr>
          <w:p>
            <w:pPr>
              <w:ind w:left="540"/>
              <w:spacing w:after="0"/>
              <w:rPr>
                <w:sz w:val="20"/>
                <w:szCs w:val="20"/>
                <w:color w:val="auto"/>
              </w:rPr>
            </w:pPr>
            <w:r>
              <w:rPr>
                <w:rFonts w:ascii="Arial" w:cs="Arial" w:eastAsia="Arial" w:hAnsi="Arial"/>
                <w:sz w:val="17"/>
                <w:szCs w:val="17"/>
                <w:color w:val="auto"/>
              </w:rPr>
              <w:t>(972</w:t>
            </w:r>
          </w:p>
        </w:tc>
        <w:tc>
          <w:tcPr>
            <w:tcW w:w="34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top w:val="single" w:sz="8" w:color="E2EEF6"/>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Net cash used in investing activities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w w:val="91"/>
              </w:rPr>
              <w:t>(18,185)</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(22,775</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Proceeds from bank creditlines and loan facilities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3,000</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10,000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Proceeds from exercise of share options</w:t>
            </w:r>
          </w:p>
        </w:tc>
        <w:tc>
          <w:tcPr>
            <w:tcW w:w="600" w:type="dxa"/>
            <w:vAlign w:val="bottom"/>
          </w:tcPr>
          <w:p>
            <w:pPr>
              <w:spacing w:after="0"/>
              <w:rPr>
                <w:sz w:val="20"/>
                <w:szCs w:val="20"/>
                <w:color w:val="auto"/>
              </w:rPr>
            </w:pPr>
            <w:r>
              <w:rPr>
                <w:rFonts w:ascii="Arial" w:cs="Arial" w:eastAsia="Arial" w:hAnsi="Arial"/>
                <w:sz w:val="17"/>
                <w:szCs w:val="17"/>
                <w:color w:val="auto"/>
              </w:rPr>
              <w:t>1,879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488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Share issuance costs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(22)</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(168</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Repayment of other liabilities</w:t>
            </w: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(83)</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(152</w:t>
            </w:r>
          </w:p>
        </w:tc>
        <w:tc>
          <w:tcPr>
            <w:tcW w:w="200" w:type="dxa"/>
            <w:vAlign w:val="bottom"/>
            <w:tcBorders>
              <w:bottom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Net cash provided by financing activities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4,774</w:t>
            </w:r>
          </w:p>
        </w:tc>
        <w:tc>
          <w:tcPr>
            <w:tcW w:w="34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10,168</w:t>
            </w:r>
          </w:p>
        </w:tc>
        <w:tc>
          <w:tcPr>
            <w:tcW w:w="2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Effect of exchange rate movements on cash</w:t>
            </w: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(1,001)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907</w:t>
            </w: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Net increase/(decrease) in cash and cash equivalents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89</w:t>
            </w:r>
          </w:p>
        </w:tc>
        <w:tc>
          <w:tcPr>
            <w:tcW w:w="340" w:type="dxa"/>
            <w:vAlign w:val="bottom"/>
            <w:shd w:val="clear" w:color="auto" w:fill="E2EEF6"/>
          </w:tcPr>
          <w:p>
            <w:pPr>
              <w:spacing w:after="0"/>
              <w:rPr>
                <w:sz w:val="24"/>
                <w:szCs w:val="24"/>
                <w:color w:val="auto"/>
              </w:rPr>
            </w:pPr>
          </w:p>
        </w:tc>
        <w:tc>
          <w:tcPr>
            <w:tcW w:w="340" w:type="dxa"/>
            <w:vAlign w:val="bottom"/>
            <w:shd w:val="clear" w:color="auto" w:fill="E2EEF6"/>
          </w:tcPr>
          <w:p>
            <w:pPr>
              <w:spacing w:after="0"/>
              <w:rPr>
                <w:sz w:val="24"/>
                <w:szCs w:val="24"/>
                <w:color w:val="auto"/>
              </w:rPr>
            </w:pPr>
          </w:p>
        </w:tc>
        <w:tc>
          <w:tcPr>
            <w:tcW w:w="340" w:type="dxa"/>
            <w:vAlign w:val="bottom"/>
            <w:shd w:val="clear" w:color="auto" w:fill="E2EEF6"/>
          </w:tcPr>
          <w:p>
            <w:pPr>
              <w:spacing w:after="0"/>
              <w:rPr>
                <w:sz w:val="24"/>
                <w:szCs w:val="24"/>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(13,703</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600" w:type="dxa"/>
            <w:vAlign w:val="bottom"/>
          </w:tcPr>
          <w:p>
            <w:pPr>
              <w:spacing w:after="0"/>
              <w:rPr>
                <w:sz w:val="20"/>
                <w:szCs w:val="20"/>
                <w:color w:val="auto"/>
              </w:rPr>
            </w:pPr>
            <w:r>
              <w:rPr>
                <w:rFonts w:ascii="Arial" w:cs="Arial" w:eastAsia="Arial" w:hAnsi="Arial"/>
                <w:sz w:val="17"/>
                <w:szCs w:val="17"/>
                <w:color w:val="auto"/>
              </w:rPr>
              <w:t>56,341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w w:val="99"/>
              </w:rPr>
              <w:t>55,678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shd w:val="clear" w:color="auto" w:fill="E2EEF6"/>
          </w:tcPr>
          <w:p>
            <w:pPr>
              <w:spacing w:after="0"/>
              <w:rPr>
                <w:sz w:val="19"/>
                <w:szCs w:val="19"/>
                <w:color w:val="auto"/>
              </w:rPr>
            </w:pPr>
          </w:p>
        </w:tc>
        <w:tc>
          <w:tcPr>
            <w:tcW w:w="60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42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400" w:type="dxa"/>
            <w:vAlign w:val="bottom"/>
            <w:tcBorders>
              <w:top w:val="single" w:sz="8" w:color="auto"/>
            </w:tcBorders>
            <w:shd w:val="clear" w:color="auto" w:fill="E2EEF6"/>
          </w:tcPr>
          <w:p>
            <w:pPr>
              <w:spacing w:after="0"/>
              <w:rPr>
                <w:sz w:val="19"/>
                <w:szCs w:val="19"/>
                <w:color w:val="auto"/>
              </w:rPr>
            </w:pPr>
          </w:p>
        </w:tc>
        <w:tc>
          <w:tcPr>
            <w:tcW w:w="20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600" w:type="dxa"/>
            <w:vAlign w:val="bottom"/>
          </w:tcPr>
          <w:p>
            <w:pPr>
              <w:spacing w:after="0"/>
              <w:rPr>
                <w:sz w:val="20"/>
                <w:szCs w:val="20"/>
                <w:color w:val="auto"/>
              </w:rPr>
            </w:pPr>
            <w:r>
              <w:rPr>
                <w:rFonts w:ascii="Arial" w:cs="Arial" w:eastAsia="Arial" w:hAnsi="Arial"/>
                <w:sz w:val="17"/>
                <w:szCs w:val="17"/>
                <w:color w:val="auto"/>
                <w:w w:val="94"/>
              </w:rPr>
              <w:t>$56,430</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420"/>
              <w:spacing w:after="0"/>
              <w:rPr>
                <w:sz w:val="20"/>
                <w:szCs w:val="20"/>
                <w:color w:val="auto"/>
              </w:rPr>
            </w:pPr>
            <w:r>
              <w:rPr>
                <w:rFonts w:ascii="Arial" w:cs="Arial" w:eastAsia="Arial" w:hAnsi="Arial"/>
                <w:sz w:val="17"/>
                <w:szCs w:val="17"/>
                <w:color w:val="auto"/>
                <w:w w:val="96"/>
              </w:rPr>
              <w:t>$ 41,975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restart"/>
          </w:tcPr>
          <w:p>
            <w:pPr>
              <w:spacing w:after="0"/>
              <w:rPr>
                <w:sz w:val="18"/>
                <w:szCs w:val="18"/>
                <w:color w:val="auto"/>
              </w:rPr>
            </w:pPr>
          </w:p>
        </w:tc>
        <w:tc>
          <w:tcPr>
            <w:tcW w:w="836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20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4"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EQUITY AND COMPREHENSIVE INCOME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7"/>
          </w:tcPr>
          <w:p>
            <w:pPr>
              <w:jc w:val="center"/>
              <w:ind w:left="2"/>
              <w:spacing w:after="0"/>
              <w:rPr>
                <w:sz w:val="20"/>
                <w:szCs w:val="20"/>
                <w:color w:val="auto"/>
              </w:rPr>
            </w:pPr>
            <w:r>
              <w:rPr>
                <w:rFonts w:ascii="Arial" w:cs="Arial" w:eastAsia="Arial" w:hAnsi="Arial"/>
                <w:sz w:val="16"/>
                <w:szCs w:val="16"/>
                <w:b w:val="1"/>
                <w:bCs w:val="1"/>
                <w:color w:val="auto"/>
                <w:w w:val="87"/>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18"/>
                <w:szCs w:val="18"/>
                <w:color w:val="auto"/>
              </w:rPr>
            </w:pPr>
          </w:p>
        </w:tc>
        <w:tc>
          <w:tcPr>
            <w:tcW w:w="88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3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11"/>
          </w:tcPr>
          <w:p>
            <w:pPr>
              <w:spacing w:after="0"/>
              <w:rPr>
                <w:sz w:val="20"/>
                <w:szCs w:val="20"/>
                <w:color w:val="auto"/>
              </w:rPr>
            </w:pPr>
            <w:r>
              <w:rPr>
                <w:rFonts w:ascii="Arial" w:cs="Arial" w:eastAsia="Arial" w:hAnsi="Arial"/>
                <w:sz w:val="16"/>
                <w:szCs w:val="16"/>
                <w:b w:val="1"/>
                <w:bCs w:val="1"/>
                <w:color w:val="auto"/>
              </w:rPr>
              <w:t>Paid-in   Comprehensive</w:t>
            </w:r>
          </w:p>
        </w:tc>
        <w:tc>
          <w:tcPr>
            <w:tcW w:w="20" w:type="dxa"/>
            <w:vAlign w:val="bottom"/>
          </w:tcPr>
          <w:p>
            <w:pPr>
              <w:spacing w:after="0"/>
              <w:rPr>
                <w:sz w:val="16"/>
                <w:szCs w:val="16"/>
                <w:color w:val="auto"/>
              </w:rPr>
            </w:pPr>
          </w:p>
        </w:tc>
        <w:tc>
          <w:tcPr>
            <w:tcW w:w="940" w:type="dxa"/>
            <w:vAlign w:val="bottom"/>
            <w:gridSpan w:val="5"/>
          </w:tcPr>
          <w:p>
            <w:pPr>
              <w:ind w:left="20"/>
              <w:spacing w:after="0"/>
              <w:rPr>
                <w:sz w:val="20"/>
                <w:szCs w:val="20"/>
                <w:color w:val="auto"/>
              </w:rPr>
            </w:pPr>
            <w:r>
              <w:rPr>
                <w:rFonts w:ascii="Arial" w:cs="Arial" w:eastAsia="Arial" w:hAnsi="Arial"/>
                <w:sz w:val="16"/>
                <w:szCs w:val="16"/>
                <w:b w:val="1"/>
                <w:bCs w:val="1"/>
                <w:color w:val="auto"/>
              </w:rPr>
              <w:t>Retained</w:t>
            </w:r>
          </w:p>
        </w:tc>
        <w:tc>
          <w:tcPr>
            <w:tcW w:w="4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Merger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440"/>
              <w:spacing w:after="0" w:line="169" w:lineRule="exact"/>
              <w:rPr>
                <w:sz w:val="20"/>
                <w:szCs w:val="20"/>
                <w:color w:val="auto"/>
              </w:rPr>
            </w:pPr>
            <w:r>
              <w:rPr>
                <w:rFonts w:ascii="Arial" w:cs="Arial" w:eastAsia="Arial" w:hAnsi="Arial"/>
                <w:sz w:val="16"/>
                <w:szCs w:val="16"/>
                <w:b w:val="1"/>
                <w:bCs w:val="1"/>
                <w:color w:val="auto"/>
                <w:w w:val="78"/>
              </w:rPr>
              <w:t>Shares</w:t>
            </w:r>
          </w:p>
        </w:tc>
        <w:tc>
          <w:tcPr>
            <w:tcW w:w="580" w:type="dxa"/>
            <w:vAlign w:val="bottom"/>
            <w:gridSpan w:val="4"/>
          </w:tcPr>
          <w:p>
            <w:pPr>
              <w:spacing w:after="0" w:line="169" w:lineRule="exact"/>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4"/>
                <w:szCs w:val="14"/>
                <w:color w:val="auto"/>
              </w:rPr>
            </w:pPr>
          </w:p>
        </w:tc>
        <w:tc>
          <w:tcPr>
            <w:tcW w:w="1000" w:type="dxa"/>
            <w:vAlign w:val="bottom"/>
            <w:gridSpan w:val="6"/>
          </w:tcPr>
          <w:p>
            <w:pPr>
              <w:spacing w:after="0" w:line="169"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5"/>
          </w:tcPr>
          <w:p>
            <w:pPr>
              <w:jc w:val="center"/>
              <w:ind w:right="440"/>
              <w:spacing w:after="0" w:line="169" w:lineRule="exact"/>
              <w:rPr>
                <w:sz w:val="20"/>
                <w:szCs w:val="20"/>
                <w:color w:val="auto"/>
              </w:rPr>
            </w:pPr>
            <w:r>
              <w:rPr>
                <w:rFonts w:ascii="Arial" w:cs="Arial" w:eastAsia="Arial" w:hAnsi="Arial"/>
                <w:sz w:val="16"/>
                <w:szCs w:val="16"/>
                <w:b w:val="1"/>
                <w:bCs w:val="1"/>
                <w:color w:val="auto"/>
                <w:w w:val="85"/>
              </w:rPr>
              <w:t>Income</w:t>
            </w:r>
          </w:p>
        </w:tc>
        <w:tc>
          <w:tcPr>
            <w:tcW w:w="960" w:type="dxa"/>
            <w:vAlign w:val="bottom"/>
            <w:gridSpan w:val="6"/>
          </w:tcPr>
          <w:p>
            <w:pPr>
              <w:ind w:left="20"/>
              <w:spacing w:after="0" w:line="169" w:lineRule="exact"/>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14"/>
                <w:szCs w:val="14"/>
                <w:color w:val="auto"/>
              </w:rPr>
            </w:pPr>
          </w:p>
        </w:tc>
        <w:tc>
          <w:tcPr>
            <w:tcW w:w="54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w w:val="83"/>
              </w:rPr>
              <w:t>Reserve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right"/>
              <w:ind w:right="380"/>
              <w:spacing w:after="0" w:line="169" w:lineRule="exact"/>
              <w:rPr>
                <w:sz w:val="20"/>
                <w:szCs w:val="20"/>
                <w:color w:val="auto"/>
              </w:rPr>
            </w:pPr>
            <w:r>
              <w:rPr>
                <w:rFonts w:ascii="Arial" w:cs="Arial" w:eastAsia="Arial" w:hAnsi="Arial"/>
                <w:sz w:val="16"/>
                <w:szCs w:val="16"/>
                <w:b w:val="1"/>
                <w:bCs w:val="1"/>
                <w:color w:val="auto"/>
                <w:w w:val="99"/>
              </w:rPr>
              <w:t>Total</w:t>
            </w:r>
          </w:p>
        </w:tc>
      </w:tr>
      <w:tr>
        <w:trPr>
          <w:trHeight w:val="20"/>
        </w:trPr>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17"/>
          </w:tcPr>
          <w:p>
            <w:pPr>
              <w:ind w:left="20"/>
              <w:spacing w:after="0"/>
              <w:rPr>
                <w:sz w:val="20"/>
                <w:szCs w:val="20"/>
                <w:color w:val="auto"/>
              </w:rPr>
            </w:pPr>
            <w:r>
              <w:rPr>
                <w:rFonts w:ascii="Arial" w:cs="Arial" w:eastAsia="Arial" w:hAnsi="Arial"/>
                <w:sz w:val="16"/>
                <w:szCs w:val="16"/>
                <w:b w:val="1"/>
                <w:bCs w:val="1"/>
                <w:color w:val="auto"/>
                <w:w w:val="91"/>
              </w:rPr>
              <w:t>(dollars in thousands, except share data)</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9"/>
        </w:trPr>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Balance at May 31, 2005</w:t>
            </w:r>
          </w:p>
        </w:tc>
        <w:tc>
          <w:tcPr>
            <w:tcW w:w="2220" w:type="dxa"/>
            <w:vAlign w:val="bottom"/>
            <w:gridSpan w:val="4"/>
            <w:shd w:val="clear" w:color="auto" w:fill="E2EEF6"/>
          </w:tcPr>
          <w:p>
            <w:pPr>
              <w:jc w:val="right"/>
              <w:ind w:right="140"/>
              <w:spacing w:after="0"/>
              <w:rPr>
                <w:sz w:val="20"/>
                <w:szCs w:val="20"/>
                <w:color w:val="auto"/>
              </w:rPr>
            </w:pPr>
            <w:r>
              <w:rPr>
                <w:rFonts w:ascii="Arial" w:cs="Arial" w:eastAsia="Arial" w:hAnsi="Arial"/>
                <w:sz w:val="17"/>
                <w:szCs w:val="17"/>
                <w:color w:val="auto"/>
              </w:rPr>
              <w:t>13,899,096</w:t>
            </w:r>
          </w:p>
        </w:tc>
        <w:tc>
          <w:tcPr>
            <w:tcW w:w="80" w:type="dxa"/>
            <w:vAlign w:val="bottom"/>
            <w:shd w:val="clear" w:color="auto" w:fill="E2EEF6"/>
          </w:tcPr>
          <w:p>
            <w:pPr>
              <w:spacing w:after="0"/>
              <w:rPr>
                <w:sz w:val="20"/>
                <w:szCs w:val="20"/>
                <w:color w:val="auto"/>
              </w:rPr>
            </w:pPr>
          </w:p>
        </w:tc>
        <w:tc>
          <w:tcPr>
            <w:tcW w:w="460" w:type="dxa"/>
            <w:vAlign w:val="bottom"/>
            <w:gridSpan w:val="2"/>
            <w:shd w:val="clear" w:color="auto" w:fill="E2EEF6"/>
          </w:tcPr>
          <w:p>
            <w:pPr>
              <w:ind w:left="120"/>
              <w:spacing w:after="0"/>
              <w:rPr>
                <w:sz w:val="20"/>
                <w:szCs w:val="20"/>
                <w:color w:val="auto"/>
              </w:rPr>
            </w:pPr>
            <w:r>
              <w:rPr>
                <w:rFonts w:ascii="Arial" w:cs="Arial" w:eastAsia="Arial" w:hAnsi="Arial"/>
                <w:sz w:val="17"/>
                <w:szCs w:val="17"/>
                <w:color w:val="auto"/>
                <w:w w:val="84"/>
              </w:rPr>
              <w:t>$985</w:t>
            </w:r>
          </w:p>
        </w:tc>
        <w:tc>
          <w:tcPr>
            <w:tcW w:w="4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80" w:type="dxa"/>
            <w:vAlign w:val="bottom"/>
            <w:gridSpan w:val="3"/>
            <w:shd w:val="clear" w:color="auto" w:fill="E2EEF6"/>
          </w:tcPr>
          <w:p>
            <w:pPr>
              <w:spacing w:after="0"/>
              <w:rPr>
                <w:sz w:val="20"/>
                <w:szCs w:val="20"/>
                <w:color w:val="auto"/>
              </w:rPr>
            </w:pPr>
            <w:r>
              <w:rPr>
                <w:rFonts w:ascii="Arial" w:cs="Arial" w:eastAsia="Arial" w:hAnsi="Arial"/>
                <w:sz w:val="17"/>
                <w:szCs w:val="17"/>
                <w:color w:val="auto"/>
              </w:rPr>
              <w:t>$114,447</w:t>
            </w:r>
          </w:p>
        </w:tc>
        <w:tc>
          <w:tcPr>
            <w:tcW w:w="80" w:type="dxa"/>
            <w:vAlign w:val="bottom"/>
            <w:shd w:val="clear" w:color="auto" w:fill="E2EEF6"/>
          </w:tcPr>
          <w:p>
            <w:pPr>
              <w:spacing w:after="0"/>
              <w:rPr>
                <w:sz w:val="20"/>
                <w:szCs w:val="20"/>
                <w:color w:val="auto"/>
              </w:rPr>
            </w:pPr>
          </w:p>
        </w:tc>
        <w:tc>
          <w:tcPr>
            <w:tcW w:w="860" w:type="dxa"/>
            <w:vAlign w:val="bottom"/>
            <w:gridSpan w:val="4"/>
            <w:shd w:val="clear" w:color="auto" w:fill="E2EEF6"/>
          </w:tcPr>
          <w:p>
            <w:pPr>
              <w:ind w:left="40"/>
              <w:spacing w:after="0"/>
              <w:rPr>
                <w:sz w:val="20"/>
                <w:szCs w:val="20"/>
                <w:color w:val="auto"/>
              </w:rPr>
            </w:pPr>
            <w:r>
              <w:rPr>
                <w:rFonts w:ascii="Arial" w:cs="Arial" w:eastAsia="Arial" w:hAnsi="Arial"/>
                <w:sz w:val="17"/>
                <w:szCs w:val="17"/>
                <w:color w:val="auto"/>
              </w:rPr>
              <w:t>$11,229</w:t>
            </w:r>
          </w:p>
        </w:tc>
        <w:tc>
          <w:tcPr>
            <w:tcW w:w="60" w:type="dxa"/>
            <w:vAlign w:val="bottom"/>
            <w:shd w:val="clear" w:color="auto" w:fill="E2EEF6"/>
          </w:tcPr>
          <w:p>
            <w:pPr>
              <w:spacing w:after="0"/>
              <w:rPr>
                <w:sz w:val="20"/>
                <w:szCs w:val="20"/>
                <w:color w:val="auto"/>
              </w:rPr>
            </w:pPr>
          </w:p>
        </w:tc>
        <w:tc>
          <w:tcPr>
            <w:tcW w:w="840" w:type="dxa"/>
            <w:vAlign w:val="bottom"/>
            <w:gridSpan w:val="5"/>
            <w:shd w:val="clear" w:color="auto" w:fill="E2EEF6"/>
          </w:tcPr>
          <w:p>
            <w:pPr>
              <w:ind w:left="40"/>
              <w:spacing w:after="0"/>
              <w:rPr>
                <w:sz w:val="20"/>
                <w:szCs w:val="20"/>
                <w:color w:val="auto"/>
              </w:rPr>
            </w:pPr>
            <w:r>
              <w:rPr>
                <w:rFonts w:ascii="Arial" w:cs="Arial" w:eastAsia="Arial" w:hAnsi="Arial"/>
                <w:sz w:val="17"/>
                <w:szCs w:val="17"/>
                <w:color w:val="auto"/>
              </w:rPr>
              <w:t>$106,358</w:t>
            </w:r>
          </w:p>
        </w:tc>
        <w:tc>
          <w:tcPr>
            <w:tcW w:w="120" w:type="dxa"/>
            <w:vAlign w:val="bottom"/>
            <w:shd w:val="clear" w:color="auto" w:fill="E2EEF6"/>
          </w:tcPr>
          <w:p>
            <w:pPr>
              <w:spacing w:after="0"/>
              <w:rPr>
                <w:sz w:val="20"/>
                <w:szCs w:val="20"/>
                <w:color w:val="auto"/>
              </w:rPr>
            </w:pPr>
          </w:p>
        </w:tc>
        <w:tc>
          <w:tcPr>
            <w:tcW w:w="56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$47</w:t>
            </w:r>
          </w:p>
        </w:tc>
        <w:tc>
          <w:tcPr>
            <w:tcW w:w="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820" w:type="dxa"/>
            <w:vAlign w:val="bottom"/>
            <w:gridSpan w:val="4"/>
            <w:shd w:val="clear" w:color="auto" w:fill="E2EEF6"/>
          </w:tcPr>
          <w:p>
            <w:pPr>
              <w:spacing w:after="0"/>
              <w:rPr>
                <w:sz w:val="20"/>
                <w:szCs w:val="20"/>
                <w:color w:val="auto"/>
              </w:rPr>
            </w:pPr>
            <w:r>
              <w:rPr>
                <w:rFonts w:ascii="Arial" w:cs="Arial" w:eastAsia="Arial" w:hAnsi="Arial"/>
                <w:sz w:val="17"/>
                <w:szCs w:val="17"/>
                <w:color w:val="auto"/>
              </w:rPr>
              <w:t>$233,066</w:t>
            </w:r>
          </w:p>
        </w:tc>
        <w:tc>
          <w:tcPr>
            <w:tcW w:w="120" w:type="dxa"/>
            <w:vAlign w:val="bottom"/>
            <w:shd w:val="clear" w:color="auto" w:fill="E2EEF6"/>
          </w:tcPr>
          <w:p>
            <w:pPr>
              <w:spacing w:after="0"/>
              <w:rPr>
                <w:sz w:val="20"/>
                <w:szCs w:val="20"/>
                <w:color w:val="auto"/>
              </w:rPr>
            </w:pPr>
          </w:p>
        </w:tc>
      </w:tr>
      <w:tr>
        <w:trPr>
          <w:trHeight w:val="233"/>
        </w:trPr>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Comprehensive Income:</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Net income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13,336</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13,336</w:t>
            </w: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Currency translation adjustment</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(6,300)</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60"/>
              <w:spacing w:after="0"/>
              <w:rPr>
                <w:sz w:val="20"/>
                <w:szCs w:val="20"/>
                <w:color w:val="auto"/>
              </w:rPr>
            </w:pPr>
            <w:r>
              <w:rPr>
                <w:rFonts w:ascii="Arial" w:cs="Arial" w:eastAsia="Arial" w:hAnsi="Arial"/>
                <w:sz w:val="17"/>
                <w:szCs w:val="17"/>
                <w:color w:val="auto"/>
              </w:rPr>
              <w:t>(6,300)</w:t>
            </w: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Total comprehensive income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7,036</w:t>
            </w: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Share issuance costs</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00" w:type="dxa"/>
            <w:vAlign w:val="bottom"/>
            <w:gridSpan w:val="3"/>
            <w:shd w:val="clear" w:color="auto" w:fill="E2EEF6"/>
          </w:tcPr>
          <w:p>
            <w:pPr>
              <w:jc w:val="right"/>
              <w:ind w:right="20"/>
              <w:spacing w:after="0"/>
              <w:rPr>
                <w:sz w:val="20"/>
                <w:szCs w:val="20"/>
                <w:color w:val="auto"/>
              </w:rPr>
            </w:pPr>
            <w:r>
              <w:rPr>
                <w:rFonts w:ascii="Arial" w:cs="Arial" w:eastAsia="Arial" w:hAnsi="Arial"/>
                <w:sz w:val="17"/>
                <w:szCs w:val="17"/>
                <w:color w:val="auto"/>
              </w:rPr>
              <w:t>(22)</w:t>
            </w: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60"/>
              <w:spacing w:after="0"/>
              <w:rPr>
                <w:sz w:val="20"/>
                <w:szCs w:val="20"/>
                <w:color w:val="auto"/>
              </w:rPr>
            </w:pPr>
            <w:r>
              <w:rPr>
                <w:rFonts w:ascii="Arial" w:cs="Arial" w:eastAsia="Arial" w:hAnsi="Arial"/>
                <w:sz w:val="17"/>
                <w:szCs w:val="17"/>
                <w:color w:val="auto"/>
              </w:rPr>
              <w:t>(22)</w:t>
            </w: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Exercise of share options</w:t>
            </w:r>
          </w:p>
        </w:tc>
        <w:tc>
          <w:tcPr>
            <w:tcW w:w="2300" w:type="dxa"/>
            <w:vAlign w:val="bottom"/>
            <w:gridSpan w:val="5"/>
          </w:tcPr>
          <w:p>
            <w:pPr>
              <w:jc w:val="right"/>
              <w:spacing w:after="0"/>
              <w:rPr>
                <w:sz w:val="20"/>
                <w:szCs w:val="20"/>
                <w:color w:val="auto"/>
              </w:rPr>
            </w:pPr>
            <w:r>
              <w:rPr>
                <w:rFonts w:ascii="Arial" w:cs="Arial" w:eastAsia="Arial" w:hAnsi="Arial"/>
                <w:sz w:val="17"/>
                <w:szCs w:val="17"/>
                <w:color w:val="auto"/>
              </w:rPr>
              <w:t>117,916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1,871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1,879</w:t>
            </w:r>
          </w:p>
        </w:tc>
      </w:tr>
      <w:tr>
        <w:trPr>
          <w:trHeight w:val="233"/>
        </w:trPr>
        <w:tc>
          <w:tcPr>
            <w:tcW w:w="3540" w:type="dxa"/>
            <w:vAlign w:val="bottom"/>
            <w:shd w:val="clear" w:color="auto" w:fill="E2EEF6"/>
          </w:tcPr>
          <w:p>
            <w:pPr>
              <w:ind w:left="160"/>
              <w:spacing w:after="0"/>
              <w:rPr>
                <w:sz w:val="20"/>
                <w:szCs w:val="20"/>
                <w:color w:val="auto"/>
              </w:rPr>
            </w:pPr>
            <w:r>
              <w:rPr>
                <w:rFonts w:ascii="Arial" w:cs="Arial" w:eastAsia="Arial" w:hAnsi="Arial"/>
                <w:sz w:val="17"/>
                <w:szCs w:val="17"/>
                <w:color w:val="auto"/>
              </w:rPr>
              <w:t>_________</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w w:val="95"/>
              </w:rPr>
              <w:t>____</w:t>
            </w:r>
          </w:p>
        </w:tc>
        <w:tc>
          <w:tcPr>
            <w:tcW w:w="16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______</w:t>
            </w: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60"/>
              <w:spacing w:after="0"/>
              <w:rPr>
                <w:sz w:val="20"/>
                <w:szCs w:val="20"/>
                <w:color w:val="auto"/>
              </w:rPr>
            </w:pPr>
            <w:r>
              <w:rPr>
                <w:rFonts w:ascii="Arial" w:cs="Arial" w:eastAsia="Arial" w:hAnsi="Arial"/>
                <w:sz w:val="17"/>
                <w:szCs w:val="17"/>
                <w:color w:val="auto"/>
                <w:w w:val="99"/>
              </w:rPr>
              <w:t>_______</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c>
          <w:tcPr>
            <w:tcW w:w="900" w:type="dxa"/>
            <w:vAlign w:val="bottom"/>
            <w:gridSpan w:val="5"/>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r>
      <w:tr>
        <w:trPr>
          <w:trHeight w:val="233"/>
        </w:trPr>
        <w:tc>
          <w:tcPr>
            <w:tcW w:w="3540" w:type="dxa"/>
            <w:vAlign w:val="bottom"/>
          </w:tcPr>
          <w:p>
            <w:pPr>
              <w:spacing w:after="0"/>
              <w:rPr>
                <w:sz w:val="20"/>
                <w:szCs w:val="20"/>
                <w:color w:val="auto"/>
              </w:rPr>
            </w:pPr>
            <w:r>
              <w:rPr>
                <w:rFonts w:ascii="Arial" w:cs="Arial" w:eastAsia="Arial" w:hAnsi="Arial"/>
                <w:sz w:val="17"/>
                <w:szCs w:val="17"/>
                <w:b w:val="1"/>
                <w:bCs w:val="1"/>
                <w:color w:val="auto"/>
              </w:rPr>
              <w:t>Balance at November 30, 2005</w:t>
            </w:r>
          </w:p>
        </w:tc>
        <w:tc>
          <w:tcPr>
            <w:tcW w:w="2300" w:type="dxa"/>
            <w:vAlign w:val="bottom"/>
            <w:gridSpan w:val="5"/>
          </w:tcPr>
          <w:p>
            <w:pPr>
              <w:jc w:val="right"/>
              <w:spacing w:after="0"/>
              <w:rPr>
                <w:sz w:val="20"/>
                <w:szCs w:val="20"/>
                <w:color w:val="auto"/>
              </w:rPr>
            </w:pPr>
            <w:r>
              <w:rPr>
                <w:rFonts w:ascii="Arial" w:cs="Arial" w:eastAsia="Arial" w:hAnsi="Arial"/>
                <w:sz w:val="17"/>
                <w:szCs w:val="17"/>
                <w:color w:val="auto"/>
              </w:rPr>
              <w:t>14,017,012</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993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w w:val="97"/>
              </w:rPr>
              <w:t>116,296</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4,929</w:t>
            </w:r>
          </w:p>
        </w:tc>
        <w:tc>
          <w:tcPr>
            <w:tcW w:w="22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w w:val="97"/>
              </w:rPr>
              <w:t>119,694</w:t>
            </w:r>
          </w:p>
        </w:tc>
        <w:tc>
          <w:tcPr>
            <w:tcW w:w="560" w:type="dxa"/>
            <w:vAlign w:val="bottom"/>
            <w:gridSpan w:val="2"/>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241,959</w:t>
            </w:r>
          </w:p>
        </w:tc>
      </w:tr>
      <w:tr>
        <w:trPr>
          <w:trHeight w:val="20"/>
        </w:trPr>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84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NOVEMBER 30, 2005</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2005.</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2005 annual report on Form 20-F. Operating results for the six months ended November 30, 2005 are not necessarily indicative of the results that may be expected for the fiscal period ending December 31, 2005.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Period Acquisitions</w:t>
      </w:r>
    </w:p>
    <w:p>
      <w:pPr>
        <w:spacing w:after="0" w:line="2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January 24, 2003, the Company acquired 100% of the outstanding shares of Medeval Group Limited (“Medeval”), a company based in Manchester, England, for an initial cash consideration of Stg£9.5 million (U.S.$15.5 million), excluding costs of acquisition which amounted to U.S.$1.0 million. Earn-out provisions have been built into the acquisition contract requiring the potential payment of additional deferred consideration up to a maximum of Stg£4.3 million (U.S.$6.9 million) depending on the performance of Medeval over the period to May 31, 2004. Such additional consideration is accounted for as goodwill.</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September 30, 2004, cash consideration of Stg£0.54 million (U.S.$0.97 million) was paid to a number of the former shareholders of Medeval and guaranteed loan notes with a value of Stg£1.08 million (U.S.$1.93 million) were issued to the remaining selling shareholders. At May 31, 2004, Stg£1.37 million (U.S.$2.5 million) of this amount had been provided, therefore an additional Stg£0.253 million (U.S.$0.452 million) was provided in fiscal 2005. These guaranteed loan notes had a repayment date of three years from the date of issue but were exercisable nine months from the date of issue. The guaranteed loan note holders issued redemption notices to the Company, which required the Company to redeem all the guaranteed loan notes on June 30, 2005, in consideration of a cash payment of Stg£1.08 million (U.S.$1.97 million), the total amount of which was accrued for at May 31, 2005.</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9, 2003, the Company acquired 100% of the outstanding shares of Globomax LLC (“GloboMax”), based in Maryland, USA, for an initial cash consideration of U.S.$10.9 million, excluding costs of acquisition. Earn-out provisions have been built into the acquisition contract requiring the potential payment of additional deferred consideration up to a maximum of U.S.$4.0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May 31, 2005, an amount of U.S.$1.4 million was accrued as the first earn-out target in the acquisition contract was reached on this date. This amount of U.S.$1.4 million was paid to the former shareholders GloboMax on August 31, 2005.</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July 1, 2004, the Company acquired 70% of the common stock of Beacon Biosciences, Inc. (“Beacon”), based in Pennsylvania, USA, for an initial cash consideration of U.S.$9.9 million, excluding costs of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84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6"/>
        </w:trPr>
        <w:tc>
          <w:tcPr>
            <w:tcW w:w="6460" w:type="dxa"/>
            <w:vAlign w:val="bottom"/>
            <w:gridSpan w:val="2"/>
          </w:tcPr>
          <w:p>
            <w:pPr>
              <w:spacing w:after="0"/>
              <w:rPr>
                <w:sz w:val="20"/>
                <w:szCs w:val="20"/>
                <w:color w:val="auto"/>
              </w:rPr>
            </w:pPr>
            <w:r>
              <w:rPr>
                <w:rFonts w:ascii="Arial" w:cs="Arial" w:eastAsia="Arial" w:hAnsi="Arial"/>
                <w:sz w:val="17"/>
                <w:szCs w:val="17"/>
                <w:b w:val="1"/>
                <w:bCs w:val="1"/>
                <w:color w:val="auto"/>
              </w:rPr>
              <w:t>3. Goodwill</w:t>
            </w: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54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Six months ended</w:t>
            </w:r>
          </w:p>
        </w:tc>
        <w:tc>
          <w:tcPr>
            <w:tcW w:w="60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w w:val="87"/>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7"/>
                <w:szCs w:val="17"/>
                <w:b w:val="1"/>
                <w:bCs w:val="1"/>
                <w:color w:val="auto"/>
                <w:w w:val="89"/>
              </w:rPr>
              <w:t>November 30,</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1"/>
              </w:rPr>
              <w:t>May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680" w:type="dxa"/>
            <w:vAlign w:val="bottom"/>
            <w:tcBorders>
              <w:top w:val="single" w:sz="8" w:color="auto"/>
            </w:tcBorders>
            <w:gridSpan w:val="2"/>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2005</w:t>
            </w:r>
          </w:p>
        </w:tc>
        <w:tc>
          <w:tcPr>
            <w:tcW w:w="3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rPr>
              <w:t>(in thousands)</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6440" w:type="dxa"/>
            <w:vAlign w:val="bottom"/>
            <w:shd w:val="clear" w:color="auto" w:fill="E2EEF6"/>
          </w:tcPr>
          <w:p>
            <w:pPr>
              <w:spacing w:after="0"/>
              <w:rPr>
                <w:sz w:val="20"/>
                <w:szCs w:val="20"/>
                <w:color w:val="auto"/>
              </w:rPr>
            </w:pPr>
            <w:r>
              <w:rPr>
                <w:rFonts w:ascii="Arial" w:cs="Arial" w:eastAsia="Arial" w:hAnsi="Arial"/>
                <w:sz w:val="17"/>
                <w:szCs w:val="17"/>
                <w:color w:val="auto"/>
              </w:rPr>
              <w:t>Opening balance</w:t>
            </w:r>
          </w:p>
        </w:tc>
        <w:tc>
          <w:tcPr>
            <w:tcW w:w="3540" w:type="dxa"/>
            <w:vAlign w:val="bottom"/>
            <w:gridSpan w:val="6"/>
            <w:shd w:val="clear" w:color="auto" w:fill="E2EEF6"/>
          </w:tcPr>
          <w:p>
            <w:pPr>
              <w:jc w:val="right"/>
              <w:ind w:right="380"/>
              <w:spacing w:after="0"/>
              <w:rPr>
                <w:sz w:val="20"/>
                <w:szCs w:val="20"/>
                <w:color w:val="auto"/>
              </w:rPr>
            </w:pPr>
            <w:r>
              <w:rPr>
                <w:rFonts w:ascii="Arial" w:cs="Arial" w:eastAsia="Arial" w:hAnsi="Arial"/>
                <w:sz w:val="17"/>
                <w:szCs w:val="17"/>
                <w:color w:val="auto"/>
              </w:rPr>
              <w:t>$67,440</w:t>
            </w:r>
          </w:p>
        </w:tc>
        <w:tc>
          <w:tcPr>
            <w:tcW w:w="14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$64,226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Arising during the year</w:t>
            </w:r>
          </w:p>
        </w:tc>
        <w:tc>
          <w:tcPr>
            <w:tcW w:w="316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7"/>
                <w:szCs w:val="17"/>
                <w:color w:val="auto"/>
              </w:rPr>
              <w:t>8,463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440" w:type="dxa"/>
            <w:vAlign w:val="bottom"/>
            <w:shd w:val="clear" w:color="auto" w:fill="E2EEF6"/>
          </w:tcPr>
          <w:p>
            <w:pPr>
              <w:spacing w:after="0"/>
              <w:rPr>
                <w:sz w:val="20"/>
                <w:szCs w:val="20"/>
                <w:color w:val="auto"/>
              </w:rPr>
            </w:pPr>
            <w:r>
              <w:rPr>
                <w:rFonts w:ascii="Arial" w:cs="Arial" w:eastAsia="Arial" w:hAnsi="Arial"/>
                <w:sz w:val="17"/>
                <w:szCs w:val="17"/>
                <w:color w:val="auto"/>
              </w:rPr>
              <w:t>Arising on earn-out (prior year acquisitions)</w:t>
            </w:r>
          </w:p>
        </w:tc>
        <w:tc>
          <w:tcPr>
            <w:tcW w:w="316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2EEF6"/>
          </w:tcPr>
          <w:p>
            <w:pPr>
              <w:spacing w:after="0"/>
              <w:rPr>
                <w:sz w:val="21"/>
                <w:szCs w:val="21"/>
                <w:color w:val="auto"/>
              </w:rPr>
            </w:pPr>
          </w:p>
        </w:tc>
        <w:tc>
          <w:tcPr>
            <w:tcW w:w="14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1,856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Goodwill impairment</w:t>
            </w:r>
          </w:p>
        </w:tc>
        <w:tc>
          <w:tcPr>
            <w:tcW w:w="316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7"/>
                <w:szCs w:val="17"/>
                <w:color w:val="auto"/>
              </w:rPr>
              <w:t>(7,017)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Foreign exchange movement</w:t>
            </w:r>
          </w:p>
        </w:tc>
        <w:tc>
          <w:tcPr>
            <w:tcW w:w="3540" w:type="dxa"/>
            <w:vAlign w:val="bottom"/>
            <w:tcBorders>
              <w:bottom w:val="single" w:sz="8" w:color="auto"/>
            </w:tcBorders>
            <w:gridSpan w:val="6"/>
            <w:shd w:val="clear" w:color="auto" w:fill="E2EEF6"/>
          </w:tcPr>
          <w:p>
            <w:pPr>
              <w:jc w:val="right"/>
              <w:ind w:right="380"/>
              <w:spacing w:after="0"/>
              <w:rPr>
                <w:sz w:val="20"/>
                <w:szCs w:val="20"/>
                <w:color w:val="auto"/>
              </w:rPr>
            </w:pPr>
            <w:r>
              <w:rPr>
                <w:rFonts w:ascii="Arial" w:cs="Arial" w:eastAsia="Arial" w:hAnsi="Arial"/>
                <w:sz w:val="17"/>
                <w:szCs w:val="17"/>
                <w:color w:val="auto"/>
              </w:rPr>
              <w:t>(1,677)</w:t>
            </w:r>
          </w:p>
        </w:tc>
        <w:tc>
          <w:tcPr>
            <w:tcW w:w="1420" w:type="dxa"/>
            <w:vAlign w:val="bottom"/>
            <w:tcBorders>
              <w:bottom w:val="single" w:sz="8" w:color="auto"/>
            </w:tcBorders>
            <w:gridSpan w:val="4"/>
            <w:shd w:val="clear" w:color="auto" w:fill="E2EEF6"/>
          </w:tcPr>
          <w:p>
            <w:pPr>
              <w:jc w:val="right"/>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6460" w:type="dxa"/>
            <w:vAlign w:val="bottom"/>
            <w:gridSpan w:val="2"/>
          </w:tcPr>
          <w:p>
            <w:pPr>
              <w:spacing w:after="0"/>
              <w:rPr>
                <w:sz w:val="20"/>
                <w:szCs w:val="20"/>
                <w:color w:val="auto"/>
              </w:rPr>
            </w:pPr>
            <w:r>
              <w:rPr>
                <w:rFonts w:ascii="Arial" w:cs="Arial" w:eastAsia="Arial" w:hAnsi="Arial"/>
                <w:sz w:val="17"/>
                <w:szCs w:val="17"/>
                <w:color w:val="auto"/>
              </w:rPr>
              <w:t>Closing balance</w:t>
            </w:r>
          </w:p>
        </w:tc>
        <w:tc>
          <w:tcPr>
            <w:tcW w:w="3540" w:type="dxa"/>
            <w:vAlign w:val="bottom"/>
            <w:gridSpan w:val="6"/>
          </w:tcPr>
          <w:p>
            <w:pPr>
              <w:jc w:val="right"/>
              <w:ind w:right="380"/>
              <w:spacing w:after="0"/>
              <w:rPr>
                <w:sz w:val="20"/>
                <w:szCs w:val="20"/>
                <w:color w:val="auto"/>
              </w:rPr>
            </w:pPr>
            <w:r>
              <w:rPr>
                <w:rFonts w:ascii="Arial" w:cs="Arial" w:eastAsia="Arial" w:hAnsi="Arial"/>
                <w:sz w:val="17"/>
                <w:szCs w:val="17"/>
                <w:color w:val="auto"/>
              </w:rPr>
              <w:t>$65,763</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color w:val="auto"/>
              </w:rPr>
              <w:t>$67,440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460" w:type="dxa"/>
            <w:vAlign w:val="bottom"/>
            <w:gridSpan w:val="2"/>
          </w:tcPr>
          <w:p>
            <w:pPr>
              <w:spacing w:after="0"/>
              <w:rPr>
                <w:sz w:val="20"/>
                <w:szCs w:val="20"/>
                <w:color w:val="auto"/>
              </w:rPr>
            </w:pPr>
            <w:r>
              <w:rPr>
                <w:rFonts w:ascii="Arial" w:cs="Arial" w:eastAsia="Arial" w:hAnsi="Arial"/>
                <w:sz w:val="17"/>
                <w:szCs w:val="17"/>
                <w:color w:val="auto"/>
              </w:rPr>
              <w:t>The goodwill balance relates completely to the clinical research segment.</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Net income per ordinary share</w:t>
      </w: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3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7"/>
          </w:tcPr>
          <w:p>
            <w:pPr>
              <w:spacing w:after="0"/>
              <w:rPr>
                <w:sz w:val="20"/>
                <w:szCs w:val="20"/>
                <w:color w:val="auto"/>
              </w:rPr>
            </w:pPr>
            <w:r>
              <w:rPr>
                <w:rFonts w:ascii="Arial" w:cs="Arial" w:eastAsia="Arial" w:hAnsi="Arial"/>
                <w:sz w:val="17"/>
                <w:szCs w:val="17"/>
                <w:b w:val="1"/>
                <w:bCs w:val="1"/>
                <w:color w:val="auto"/>
                <w:w w:val="92"/>
              </w:rPr>
              <w:t>Three Months Ended</w:t>
            </w:r>
          </w:p>
        </w:tc>
        <w:tc>
          <w:tcPr>
            <w:tcW w:w="1380" w:type="dxa"/>
            <w:vAlign w:val="bottom"/>
            <w:gridSpan w:val="4"/>
          </w:tcPr>
          <w:p>
            <w:pPr>
              <w:spacing w:after="0"/>
              <w:rPr>
                <w:sz w:val="16"/>
                <w:szCs w:val="16"/>
                <w:color w:val="auto"/>
              </w:rPr>
            </w:pPr>
          </w:p>
        </w:tc>
        <w:tc>
          <w:tcPr>
            <w:tcW w:w="2060" w:type="dxa"/>
            <w:vAlign w:val="bottom"/>
            <w:gridSpan w:val="8"/>
          </w:tcPr>
          <w:p>
            <w:pPr>
              <w:jc w:val="right"/>
              <w:ind w:right="740"/>
              <w:spacing w:after="0"/>
              <w:rPr>
                <w:sz w:val="20"/>
                <w:szCs w:val="20"/>
                <w:color w:val="auto"/>
              </w:rPr>
            </w:pPr>
            <w:r>
              <w:rPr>
                <w:rFonts w:ascii="Arial" w:cs="Arial" w:eastAsia="Arial" w:hAnsi="Arial"/>
                <w:sz w:val="17"/>
                <w:szCs w:val="17"/>
                <w:b w:val="1"/>
                <w:bCs w:val="1"/>
                <w:color w:val="auto"/>
                <w:w w:val="88"/>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76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6"/>
              </w:rPr>
              <w:t>November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40" w:type="dxa"/>
            <w:vAlign w:val="bottom"/>
            <w:gridSpan w:val="5"/>
          </w:tcPr>
          <w:p>
            <w:pPr>
              <w:jc w:val="right"/>
              <w:spacing w:after="0" w:line="187" w:lineRule="exact"/>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6"/>
                <w:szCs w:val="16"/>
                <w:color w:val="auto"/>
              </w:rPr>
            </w:pPr>
          </w:p>
        </w:tc>
        <w:tc>
          <w:tcPr>
            <w:tcW w:w="1800" w:type="dxa"/>
            <w:vAlign w:val="bottom"/>
            <w:gridSpan w:val="6"/>
          </w:tcPr>
          <w:p>
            <w:pPr>
              <w:jc w:val="right"/>
              <w:ind w:right="760"/>
              <w:spacing w:after="0" w:line="187" w:lineRule="exact"/>
              <w:rPr>
                <w:sz w:val="20"/>
                <w:szCs w:val="20"/>
                <w:color w:val="auto"/>
              </w:rPr>
            </w:pPr>
            <w:r>
              <w:rPr>
                <w:rFonts w:ascii="Arial" w:cs="Arial" w:eastAsia="Arial" w:hAnsi="Arial"/>
                <w:sz w:val="17"/>
                <w:szCs w:val="17"/>
                <w:b w:val="1"/>
                <w:bCs w:val="1"/>
                <w:color w:val="auto"/>
              </w:rPr>
              <w:t>30</w:t>
            </w:r>
          </w:p>
        </w:tc>
        <w:tc>
          <w:tcPr>
            <w:tcW w:w="1040" w:type="dxa"/>
            <w:vAlign w:val="bottom"/>
            <w:gridSpan w:val="4"/>
          </w:tcPr>
          <w:p>
            <w:pPr>
              <w:jc w:val="right"/>
              <w:ind w:right="260"/>
              <w:spacing w:after="0" w:line="187" w:lineRule="exact"/>
              <w:rPr>
                <w:sz w:val="20"/>
                <w:szCs w:val="20"/>
                <w:color w:val="auto"/>
              </w:rPr>
            </w:pPr>
            <w:r>
              <w:rPr>
                <w:rFonts w:ascii="Arial" w:cs="Arial" w:eastAsia="Arial" w:hAnsi="Arial"/>
                <w:sz w:val="17"/>
                <w:szCs w:val="17"/>
                <w:b w:val="1"/>
                <w:bCs w:val="1"/>
                <w:color w:val="auto"/>
              </w:rPr>
              <w:t>30</w:t>
            </w:r>
          </w:p>
        </w:tc>
        <w:tc>
          <w:tcPr>
            <w:tcW w:w="1020" w:type="dxa"/>
            <w:vAlign w:val="bottom"/>
            <w:gridSpan w:val="4"/>
          </w:tcPr>
          <w:p>
            <w:pPr>
              <w:jc w:val="right"/>
              <w:spacing w:after="0" w:line="187" w:lineRule="exact"/>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54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7"/>
                <w:szCs w:val="17"/>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2004</w:t>
            </w:r>
          </w:p>
        </w:tc>
        <w:tc>
          <w:tcPr>
            <w:tcW w:w="1040" w:type="dxa"/>
            <w:vAlign w:val="bottom"/>
            <w:gridSpan w:val="4"/>
          </w:tcPr>
          <w:p>
            <w:pPr>
              <w:jc w:val="right"/>
              <w:ind w:right="260"/>
              <w:spacing w:after="0"/>
              <w:rPr>
                <w:sz w:val="20"/>
                <w:szCs w:val="20"/>
                <w:color w:val="auto"/>
              </w:rPr>
            </w:pPr>
            <w:r>
              <w:rPr>
                <w:rFonts w:ascii="Arial" w:cs="Arial" w:eastAsia="Arial" w:hAnsi="Arial"/>
                <w:sz w:val="17"/>
                <w:szCs w:val="17"/>
                <w:b w:val="1"/>
                <w:bCs w:val="1"/>
                <w:color w:val="auto"/>
              </w:rPr>
              <w:t>2005</w:t>
            </w:r>
          </w:p>
        </w:tc>
        <w:tc>
          <w:tcPr>
            <w:tcW w:w="10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w w:val="92"/>
              </w:rPr>
              <w:t>Weighted average number of ordinary shares outstanding for basic net income per</w:t>
            </w:r>
          </w:p>
        </w:tc>
        <w:tc>
          <w:tcPr>
            <w:tcW w:w="6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760" w:type="dxa"/>
            <w:vAlign w:val="bottom"/>
            <w:tcBorders>
              <w:right w:val="single" w:sz="8" w:color="E2EEF6"/>
            </w:tcBorders>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rPr>
              <w:t>ordinary share</w:t>
            </w:r>
          </w:p>
        </w:tc>
        <w:tc>
          <w:tcPr>
            <w:tcW w:w="1780" w:type="dxa"/>
            <w:vAlign w:val="bottom"/>
            <w:gridSpan w:val="6"/>
            <w:shd w:val="clear" w:color="auto" w:fill="E2EEF6"/>
          </w:tcPr>
          <w:p>
            <w:pPr>
              <w:jc w:val="right"/>
              <w:ind w:right="240"/>
              <w:spacing w:after="0"/>
              <w:rPr>
                <w:sz w:val="20"/>
                <w:szCs w:val="20"/>
                <w:color w:val="auto"/>
              </w:rPr>
            </w:pPr>
            <w:r>
              <w:rPr>
                <w:rFonts w:ascii="Arial" w:cs="Arial" w:eastAsia="Arial" w:hAnsi="Arial"/>
                <w:sz w:val="17"/>
                <w:szCs w:val="17"/>
                <w:color w:val="auto"/>
              </w:rPr>
              <w:t>14,005,454</w:t>
            </w:r>
          </w:p>
        </w:tc>
        <w:tc>
          <w:tcPr>
            <w:tcW w:w="1800" w:type="dxa"/>
            <w:vAlign w:val="bottom"/>
            <w:tcBorders>
              <w:right w:val="single" w:sz="8" w:color="E2EEF6"/>
            </w:tcBorders>
            <w:gridSpan w:val="6"/>
            <w:shd w:val="clear" w:color="auto" w:fill="E2EEF6"/>
          </w:tcPr>
          <w:p>
            <w:pPr>
              <w:jc w:val="right"/>
              <w:ind w:right="760"/>
              <w:spacing w:after="0"/>
              <w:rPr>
                <w:sz w:val="20"/>
                <w:szCs w:val="20"/>
                <w:color w:val="auto"/>
              </w:rPr>
            </w:pPr>
            <w:r>
              <w:rPr>
                <w:rFonts w:ascii="Arial" w:cs="Arial" w:eastAsia="Arial" w:hAnsi="Arial"/>
                <w:sz w:val="17"/>
                <w:szCs w:val="17"/>
                <w:color w:val="auto"/>
              </w:rPr>
              <w:t>13,847,689</w:t>
            </w:r>
          </w:p>
        </w:tc>
        <w:tc>
          <w:tcPr>
            <w:tcW w:w="1040" w:type="dxa"/>
            <w:vAlign w:val="bottom"/>
            <w:gridSpan w:val="4"/>
            <w:shd w:val="clear" w:color="auto" w:fill="E2EEF6"/>
          </w:tcPr>
          <w:p>
            <w:pPr>
              <w:jc w:val="right"/>
              <w:ind w:right="260"/>
              <w:spacing w:after="0"/>
              <w:rPr>
                <w:sz w:val="20"/>
                <w:szCs w:val="20"/>
                <w:color w:val="auto"/>
              </w:rPr>
            </w:pPr>
            <w:r>
              <w:rPr>
                <w:rFonts w:ascii="Arial" w:cs="Arial" w:eastAsia="Arial" w:hAnsi="Arial"/>
                <w:sz w:val="17"/>
                <w:szCs w:val="17"/>
                <w:color w:val="auto"/>
                <w:w w:val="89"/>
              </w:rPr>
              <w:t>14,027,564</w:t>
            </w:r>
          </w:p>
        </w:tc>
        <w:tc>
          <w:tcPr>
            <w:tcW w:w="10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13,839,857</w:t>
            </w:r>
          </w:p>
        </w:tc>
        <w:tc>
          <w:tcPr>
            <w:tcW w:w="0" w:type="dxa"/>
            <w:vAlign w:val="bottom"/>
          </w:tcPr>
          <w:p>
            <w:pPr>
              <w:spacing w:after="0"/>
              <w:rPr>
                <w:sz w:val="1"/>
                <w:szCs w:val="1"/>
                <w:color w:val="auto"/>
              </w:rPr>
            </w:pPr>
          </w:p>
        </w:tc>
      </w:tr>
      <w:tr>
        <w:trPr>
          <w:trHeight w:val="246"/>
        </w:trPr>
        <w:tc>
          <w:tcPr>
            <w:tcW w:w="5780" w:type="dxa"/>
            <w:vAlign w:val="bottom"/>
            <w:gridSpan w:val="2"/>
          </w:tcPr>
          <w:p>
            <w:pPr>
              <w:spacing w:after="0"/>
              <w:rPr>
                <w:sz w:val="20"/>
                <w:szCs w:val="20"/>
                <w:color w:val="auto"/>
              </w:rPr>
            </w:pPr>
            <w:r>
              <w:rPr>
                <w:rFonts w:ascii="Arial" w:cs="Arial" w:eastAsia="Arial" w:hAnsi="Arial"/>
                <w:sz w:val="17"/>
                <w:szCs w:val="17"/>
                <w:color w:val="auto"/>
              </w:rPr>
              <w:t>Effect of dilutive share options outstanding</w:t>
            </w: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256,280</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color w:val="auto"/>
              </w:rPr>
              <w:t>219,390</w:t>
            </w:r>
          </w:p>
        </w:tc>
        <w:tc>
          <w:tcPr>
            <w:tcW w:w="1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7"/>
                <w:szCs w:val="17"/>
                <w:color w:val="auto"/>
              </w:rPr>
              <w:t>206,762</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248,173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w w:val="95"/>
              </w:rPr>
              <w:t>Weighted average number of ordinary shares for diluted net income per ordinary</w:t>
            </w:r>
          </w:p>
        </w:tc>
        <w:tc>
          <w:tcPr>
            <w:tcW w:w="6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760" w:type="dxa"/>
            <w:vAlign w:val="bottom"/>
            <w:tcBorders>
              <w:right w:val="single" w:sz="8" w:color="E2EEF6"/>
            </w:tcBorders>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280" w:type="dxa"/>
            <w:vAlign w:val="bottom"/>
            <w:tcBorders>
              <w:right w:val="single" w:sz="8" w:color="E2EEF6"/>
            </w:tcBorders>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7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share</w:t>
            </w:r>
          </w:p>
        </w:tc>
        <w:tc>
          <w:tcPr>
            <w:tcW w:w="1780" w:type="dxa"/>
            <w:vAlign w:val="bottom"/>
            <w:tcBorders>
              <w:bottom w:val="single" w:sz="8" w:color="auto"/>
            </w:tcBorders>
            <w:gridSpan w:val="6"/>
            <w:shd w:val="clear" w:color="auto" w:fill="E2EEF6"/>
          </w:tcPr>
          <w:p>
            <w:pPr>
              <w:jc w:val="right"/>
              <w:ind w:right="240"/>
              <w:spacing w:after="0"/>
              <w:rPr>
                <w:sz w:val="20"/>
                <w:szCs w:val="20"/>
                <w:color w:val="auto"/>
              </w:rPr>
            </w:pPr>
            <w:r>
              <w:rPr>
                <w:rFonts w:ascii="Arial" w:cs="Arial" w:eastAsia="Arial" w:hAnsi="Arial"/>
                <w:sz w:val="17"/>
                <w:szCs w:val="17"/>
                <w:color w:val="auto"/>
              </w:rPr>
              <w:t>14,261,734</w:t>
            </w:r>
          </w:p>
        </w:tc>
        <w:tc>
          <w:tcPr>
            <w:tcW w:w="1800" w:type="dxa"/>
            <w:vAlign w:val="bottom"/>
            <w:tcBorders>
              <w:bottom w:val="single" w:sz="8" w:color="auto"/>
              <w:right w:val="single" w:sz="8" w:color="E2EEF6"/>
            </w:tcBorders>
            <w:gridSpan w:val="6"/>
            <w:shd w:val="clear" w:color="auto" w:fill="E2EEF6"/>
          </w:tcPr>
          <w:p>
            <w:pPr>
              <w:jc w:val="right"/>
              <w:ind w:right="760"/>
              <w:spacing w:after="0"/>
              <w:rPr>
                <w:sz w:val="20"/>
                <w:szCs w:val="20"/>
                <w:color w:val="auto"/>
              </w:rPr>
            </w:pPr>
            <w:r>
              <w:rPr>
                <w:rFonts w:ascii="Arial" w:cs="Arial" w:eastAsia="Arial" w:hAnsi="Arial"/>
                <w:sz w:val="17"/>
                <w:szCs w:val="17"/>
                <w:color w:val="auto"/>
              </w:rPr>
              <w:t>14,067,079</w:t>
            </w:r>
          </w:p>
        </w:tc>
        <w:tc>
          <w:tcPr>
            <w:tcW w:w="1040" w:type="dxa"/>
            <w:vAlign w:val="bottom"/>
            <w:tcBorders>
              <w:bottom w:val="single" w:sz="8" w:color="auto"/>
            </w:tcBorders>
            <w:gridSpan w:val="4"/>
            <w:shd w:val="clear" w:color="auto" w:fill="E2EEF6"/>
          </w:tcPr>
          <w:p>
            <w:pPr>
              <w:jc w:val="right"/>
              <w:ind w:right="260"/>
              <w:spacing w:after="0"/>
              <w:rPr>
                <w:sz w:val="20"/>
                <w:szCs w:val="20"/>
                <w:color w:val="auto"/>
              </w:rPr>
            </w:pPr>
            <w:r>
              <w:rPr>
                <w:rFonts w:ascii="Arial" w:cs="Arial" w:eastAsia="Arial" w:hAnsi="Arial"/>
                <w:sz w:val="17"/>
                <w:szCs w:val="17"/>
                <w:color w:val="auto"/>
                <w:w w:val="89"/>
              </w:rPr>
              <w:t>14,234,326</w:t>
            </w:r>
          </w:p>
        </w:tc>
        <w:tc>
          <w:tcPr>
            <w:tcW w:w="1020" w:type="dxa"/>
            <w:vAlign w:val="bottom"/>
            <w:tcBorders>
              <w:bottom w:val="single" w:sz="8" w:color="auto"/>
            </w:tcBorders>
            <w:gridSpan w:val="4"/>
            <w:shd w:val="clear" w:color="auto" w:fill="E2EEF6"/>
          </w:tcPr>
          <w:p>
            <w:pPr>
              <w:jc w:val="right"/>
              <w:spacing w:after="0"/>
              <w:rPr>
                <w:sz w:val="20"/>
                <w:szCs w:val="20"/>
                <w:color w:val="auto"/>
              </w:rPr>
            </w:pPr>
            <w:r>
              <w:rPr>
                <w:rFonts w:ascii="Arial" w:cs="Arial" w:eastAsia="Arial" w:hAnsi="Arial"/>
                <w:sz w:val="17"/>
                <w:szCs w:val="17"/>
                <w:color w:val="auto"/>
              </w:rPr>
              <w:t>14,088,030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Segment Information</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areas of operation outside of Ireland principally include the United Kingdom, United States, Germany, Australia, Argentina, France, Japan, Israel, Singapore, Canada, Sweden, The Netherlands, Latvia, Russia, Taiwan, Hong Kong, South Africa, Spain, Hungary, India, Mexico, Brazil, Korea, China and Thailand. Segment information for the three and six month periods ended November 30, 2005 and 2004 are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w w:val="97"/>
              </w:rPr>
              <w:t>a) The distribution of net revenue by geographical area was as follows: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5"/>
          </w:tcPr>
          <w:p>
            <w:pPr>
              <w:jc w:val="center"/>
              <w:ind w:right="1480"/>
              <w:spacing w:after="0"/>
              <w:rPr>
                <w:sz w:val="20"/>
                <w:szCs w:val="20"/>
                <w:color w:val="auto"/>
              </w:rPr>
            </w:pPr>
            <w:r>
              <w:rPr>
                <w:rFonts w:ascii="Arial" w:cs="Arial" w:eastAsia="Arial" w:hAnsi="Arial"/>
                <w:sz w:val="17"/>
                <w:szCs w:val="17"/>
                <w:b w:val="1"/>
                <w:bCs w:val="1"/>
                <w:color w:val="auto"/>
                <w:w w:val="92"/>
              </w:rPr>
              <w:t>Three Months Ended</w:t>
            </w:r>
          </w:p>
        </w:tc>
        <w:tc>
          <w:tcPr>
            <w:tcW w:w="200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w w:val="92"/>
              </w:rPr>
              <w:t>Six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80" w:type="dxa"/>
            <w:vAlign w:val="bottom"/>
            <w:gridSpan w:val="9"/>
          </w:tcPr>
          <w:p>
            <w:pPr>
              <w:ind w:left="320"/>
              <w:spacing w:after="0"/>
              <w:rPr>
                <w:sz w:val="20"/>
                <w:szCs w:val="20"/>
                <w:color w:val="auto"/>
              </w:rPr>
            </w:pPr>
            <w:r>
              <w:rPr>
                <w:rFonts w:ascii="Arial" w:cs="Arial" w:eastAsia="Arial" w:hAnsi="Arial"/>
                <w:sz w:val="17"/>
                <w:szCs w:val="17"/>
                <w:b w:val="1"/>
                <w:bCs w:val="1"/>
                <w:color w:val="auto"/>
              </w:rPr>
              <w:t>November</w:t>
            </w:r>
          </w:p>
        </w:tc>
        <w:tc>
          <w:tcPr>
            <w:tcW w:w="16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18"/>
                <w:szCs w:val="18"/>
                <w:color w:val="auto"/>
              </w:rPr>
            </w:pPr>
          </w:p>
        </w:tc>
        <w:tc>
          <w:tcPr>
            <w:tcW w:w="1720" w:type="dxa"/>
            <w:vAlign w:val="bottom"/>
            <w:gridSpan w:val="9"/>
          </w:tcPr>
          <w:p>
            <w:pPr>
              <w:ind w:left="260"/>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6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7"/>
                <w:szCs w:val="17"/>
                <w:b w:val="1"/>
                <w:bCs w:val="1"/>
                <w:color w:val="auto"/>
              </w:rPr>
              <w:t>2005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7"/>
          </w:tcPr>
          <w:p>
            <w:pPr>
              <w:jc w:val="center"/>
              <w:ind w:left="34"/>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jc w:val="center"/>
              <w:ind w:right="380"/>
              <w:spacing w:after="0"/>
              <w:rPr>
                <w:sz w:val="20"/>
                <w:szCs w:val="20"/>
                <w:color w:val="auto"/>
              </w:rPr>
            </w:pPr>
            <w:r>
              <w:rPr>
                <w:rFonts w:ascii="Arial" w:cs="Arial" w:eastAsia="Arial" w:hAnsi="Arial"/>
                <w:sz w:val="17"/>
                <w:szCs w:val="17"/>
                <w:b w:val="1"/>
                <w:bCs w:val="1"/>
                <w:color w:val="auto"/>
                <w:w w:val="90"/>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10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$7,909</w:t>
            </w:r>
          </w:p>
        </w:tc>
        <w:tc>
          <w:tcPr>
            <w:tcW w:w="2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76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$8,863</w:t>
            </w:r>
          </w:p>
        </w:tc>
        <w:tc>
          <w:tcPr>
            <w:tcW w:w="24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300" w:type="dxa"/>
            <w:vAlign w:val="bottom"/>
            <w:tcBorders>
              <w:right w:val="single" w:sz="8" w:color="E2EEF6"/>
            </w:tcBorders>
            <w:gridSpan w:val="7"/>
            <w:shd w:val="clear" w:color="auto" w:fill="E2EEF6"/>
          </w:tcPr>
          <w:p>
            <w:pPr>
              <w:jc w:val="right"/>
              <w:spacing w:after="0"/>
              <w:rPr>
                <w:sz w:val="20"/>
                <w:szCs w:val="20"/>
                <w:color w:val="auto"/>
              </w:rPr>
            </w:pPr>
            <w:r>
              <w:rPr>
                <w:rFonts w:ascii="Arial" w:cs="Arial" w:eastAsia="Arial" w:hAnsi="Arial"/>
                <w:sz w:val="17"/>
                <w:szCs w:val="17"/>
                <w:color w:val="auto"/>
              </w:rPr>
              <w:t>$18,662</w:t>
            </w: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$19,501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Rest of Europe</w:t>
            </w:r>
          </w:p>
        </w:tc>
        <w:tc>
          <w:tcPr>
            <w:tcW w:w="1080" w:type="dxa"/>
            <w:vAlign w:val="bottom"/>
            <w:gridSpan w:val="5"/>
          </w:tcPr>
          <w:p>
            <w:pPr>
              <w:jc w:val="right"/>
              <w:spacing w:after="0"/>
              <w:rPr>
                <w:sz w:val="20"/>
                <w:szCs w:val="20"/>
                <w:color w:val="auto"/>
              </w:rPr>
            </w:pPr>
            <w:r>
              <w:rPr>
                <w:rFonts w:ascii="Arial" w:cs="Arial" w:eastAsia="Arial" w:hAnsi="Arial"/>
                <w:sz w:val="17"/>
                <w:szCs w:val="17"/>
                <w:color w:val="auto"/>
              </w:rPr>
              <w:t>21,153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20,246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8"/>
          </w:tcPr>
          <w:p>
            <w:pPr>
              <w:jc w:val="right"/>
              <w:ind w:right="160"/>
              <w:spacing w:after="0"/>
              <w:rPr>
                <w:sz w:val="20"/>
                <w:szCs w:val="20"/>
                <w:color w:val="auto"/>
              </w:rPr>
            </w:pPr>
            <w:r>
              <w:rPr>
                <w:rFonts w:ascii="Arial" w:cs="Arial" w:eastAsia="Arial" w:hAnsi="Arial"/>
                <w:sz w:val="17"/>
                <w:szCs w:val="17"/>
                <w:color w:val="auto"/>
              </w:rPr>
              <w:t>42,663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37,460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10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51,694</w:t>
            </w:r>
          </w:p>
        </w:tc>
        <w:tc>
          <w:tcPr>
            <w:tcW w:w="2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76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46,095</w:t>
            </w:r>
          </w:p>
        </w:tc>
        <w:tc>
          <w:tcPr>
            <w:tcW w:w="24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46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99,319</w:t>
            </w: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91,879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 of the World</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7,316</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4,291</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color w:val="auto"/>
              </w:rPr>
              <w:t>13,349</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$88,072</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$79,495</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color w:val="auto"/>
              </w:rPr>
              <w:t>$173,993</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$157,834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 All sales shown for Ireland are export sales.</w:t>
            </w:r>
          </w:p>
        </w:tc>
        <w:tc>
          <w:tcPr>
            <w:tcW w:w="3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40" w:type="dxa"/>
            <w:vAlign w:val="bottom"/>
            <w:tcBorders>
              <w:right w:val="single" w:sz="8" w:color="E2EEF6"/>
            </w:tcBorders>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0" w:type="dxa"/>
            <w:vAlign w:val="bottom"/>
            <w:shd w:val="clear" w:color="auto" w:fill="E2EEF6"/>
          </w:tcPr>
          <w:p>
            <w:pPr>
              <w:spacing w:after="0"/>
              <w:rPr>
                <w:sz w:val="18"/>
                <w:szCs w:val="18"/>
                <w:color w:val="auto"/>
              </w:rPr>
            </w:pPr>
          </w:p>
        </w:tc>
        <w:tc>
          <w:tcPr>
            <w:tcW w:w="160" w:type="dxa"/>
            <w:vAlign w:val="bottom"/>
            <w:tcBorders>
              <w:right w:val="single" w:sz="8" w:color="E2EEF6"/>
            </w:tcBorders>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360" w:type="dxa"/>
            <w:vAlign w:val="bottom"/>
            <w:tcBorders>
              <w:right w:val="single" w:sz="8" w:color="E2EEF6"/>
            </w:tcBorders>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200" w:type="dxa"/>
            <w:vAlign w:val="bottom"/>
            <w:gridSpan w:val="2"/>
          </w:tcPr>
          <w:p>
            <w:pPr>
              <w:spacing w:after="0"/>
              <w:rPr>
                <w:sz w:val="20"/>
                <w:szCs w:val="20"/>
                <w:color w:val="auto"/>
              </w:rPr>
            </w:pPr>
            <w:r>
              <w:rPr>
                <w:rFonts w:ascii="Arial" w:cs="Arial" w:eastAsia="Arial" w:hAnsi="Arial"/>
                <w:sz w:val="17"/>
                <w:szCs w:val="17"/>
                <w:color w:val="auto"/>
                <w:w w:val="97"/>
              </w:rPr>
              <w:t>b) The distribution of net revenue by business segment was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5"/>
          </w:tcPr>
          <w:p>
            <w:pPr>
              <w:jc w:val="center"/>
              <w:ind w:right="1480"/>
              <w:spacing w:after="0"/>
              <w:rPr>
                <w:sz w:val="20"/>
                <w:szCs w:val="20"/>
                <w:color w:val="auto"/>
              </w:rPr>
            </w:pPr>
            <w:r>
              <w:rPr>
                <w:rFonts w:ascii="Arial" w:cs="Arial" w:eastAsia="Arial" w:hAnsi="Arial"/>
                <w:sz w:val="17"/>
                <w:szCs w:val="17"/>
                <w:b w:val="1"/>
                <w:bCs w:val="1"/>
                <w:color w:val="auto"/>
                <w:w w:val="92"/>
              </w:rPr>
              <w:t>Three Months Ended</w:t>
            </w:r>
          </w:p>
        </w:tc>
        <w:tc>
          <w:tcPr>
            <w:tcW w:w="200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w w:val="92"/>
              </w:rPr>
              <w:t>Six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80" w:type="dxa"/>
            <w:vAlign w:val="bottom"/>
            <w:gridSpan w:val="9"/>
          </w:tcPr>
          <w:p>
            <w:pPr>
              <w:ind w:left="320"/>
              <w:spacing w:after="0"/>
              <w:rPr>
                <w:sz w:val="20"/>
                <w:szCs w:val="20"/>
                <w:color w:val="auto"/>
              </w:rPr>
            </w:pPr>
            <w:r>
              <w:rPr>
                <w:rFonts w:ascii="Arial" w:cs="Arial" w:eastAsia="Arial" w:hAnsi="Arial"/>
                <w:sz w:val="17"/>
                <w:szCs w:val="17"/>
                <w:b w:val="1"/>
                <w:bCs w:val="1"/>
                <w:color w:val="auto"/>
              </w:rPr>
              <w:t>November</w:t>
            </w:r>
          </w:p>
        </w:tc>
        <w:tc>
          <w:tcPr>
            <w:tcW w:w="16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18"/>
                <w:szCs w:val="18"/>
                <w:color w:val="auto"/>
              </w:rPr>
            </w:pPr>
          </w:p>
        </w:tc>
        <w:tc>
          <w:tcPr>
            <w:tcW w:w="1720" w:type="dxa"/>
            <w:vAlign w:val="bottom"/>
            <w:gridSpan w:val="9"/>
          </w:tcPr>
          <w:p>
            <w:pPr>
              <w:ind w:left="260"/>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6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7"/>
                <w:szCs w:val="17"/>
                <w:b w:val="1"/>
                <w:bCs w:val="1"/>
                <w:color w:val="auto"/>
              </w:rPr>
              <w:t>2005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6"/>
          </w:tcPr>
          <w:p>
            <w:pPr>
              <w:jc w:val="center"/>
              <w:ind w:right="20"/>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ind w:left="20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1320" w:type="dxa"/>
            <w:vAlign w:val="bottom"/>
            <w:gridSpan w:val="6"/>
            <w:shd w:val="clear" w:color="auto" w:fill="E2EEF6"/>
          </w:tcPr>
          <w:p>
            <w:pPr>
              <w:jc w:val="right"/>
              <w:ind w:right="74"/>
              <w:spacing w:after="0"/>
              <w:rPr>
                <w:sz w:val="20"/>
                <w:szCs w:val="20"/>
                <w:color w:val="auto"/>
              </w:rPr>
            </w:pPr>
            <w:r>
              <w:rPr>
                <w:rFonts w:ascii="Arial" w:cs="Arial" w:eastAsia="Arial" w:hAnsi="Arial"/>
                <w:sz w:val="17"/>
                <w:szCs w:val="17"/>
                <w:color w:val="auto"/>
              </w:rPr>
              <w:t>$8,058</w:t>
            </w: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180" w:type="dxa"/>
            <w:vAlign w:val="bottom"/>
            <w:gridSpan w:val="6"/>
            <w:shd w:val="clear" w:color="auto" w:fill="E2EEF6"/>
          </w:tcPr>
          <w:p>
            <w:pPr>
              <w:jc w:val="right"/>
              <w:ind w:right="180"/>
              <w:spacing w:after="0"/>
              <w:rPr>
                <w:sz w:val="20"/>
                <w:szCs w:val="20"/>
                <w:color w:val="auto"/>
              </w:rPr>
            </w:pPr>
            <w:r>
              <w:rPr>
                <w:rFonts w:ascii="Arial" w:cs="Arial" w:eastAsia="Arial" w:hAnsi="Arial"/>
                <w:sz w:val="17"/>
                <w:szCs w:val="17"/>
                <w:color w:val="auto"/>
              </w:rPr>
              <w:t>$6,455</w:t>
            </w: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460" w:type="dxa"/>
            <w:vAlign w:val="bottom"/>
            <w:gridSpan w:val="8"/>
            <w:shd w:val="clear" w:color="auto" w:fill="E2EEF6"/>
          </w:tcPr>
          <w:p>
            <w:pPr>
              <w:jc w:val="right"/>
              <w:ind w:right="20"/>
              <w:spacing w:after="0"/>
              <w:rPr>
                <w:sz w:val="20"/>
                <w:szCs w:val="20"/>
                <w:color w:val="auto"/>
              </w:rPr>
            </w:pPr>
            <w:r>
              <w:rPr>
                <w:rFonts w:ascii="Arial" w:cs="Arial" w:eastAsia="Arial" w:hAnsi="Arial"/>
                <w:sz w:val="17"/>
                <w:szCs w:val="17"/>
                <w:color w:val="auto"/>
              </w:rPr>
              <w:t>$15,293</w:t>
            </w: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$13,005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Clinical research</w:t>
            </w:r>
          </w:p>
        </w:tc>
        <w:tc>
          <w:tcPr>
            <w:tcW w:w="1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color w:val="auto"/>
              </w:rPr>
              <w:t>80,014</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color w:val="auto"/>
              </w:rPr>
              <w:t>73,040</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color w:val="auto"/>
              </w:rPr>
              <w:t>158,700</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144,829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color w:val="auto"/>
              </w:rPr>
              <w:t>$88,072</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color w:val="auto"/>
              </w:rPr>
              <w:t>$79,495</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color w:val="auto"/>
              </w:rPr>
              <w:t>$173,993</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$157,834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080" w:type="dxa"/>
            <w:vAlign w:val="bottom"/>
            <w:gridSpan w:val="11"/>
          </w:tcPr>
          <w:p>
            <w:pPr>
              <w:spacing w:after="0"/>
              <w:rPr>
                <w:sz w:val="20"/>
                <w:szCs w:val="20"/>
                <w:color w:val="auto"/>
              </w:rPr>
            </w:pPr>
            <w:r>
              <w:rPr>
                <w:rFonts w:ascii="Arial" w:cs="Arial" w:eastAsia="Arial" w:hAnsi="Arial"/>
                <w:sz w:val="17"/>
                <w:szCs w:val="17"/>
                <w:color w:val="auto"/>
              </w:rPr>
              <w:t>c) The distribution of income from operations by geographical area was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12"/>
          </w:tcPr>
          <w:p>
            <w:pPr>
              <w:jc w:val="right"/>
              <w:ind w:right="840"/>
              <w:spacing w:after="0"/>
              <w:rPr>
                <w:sz w:val="20"/>
                <w:szCs w:val="20"/>
                <w:color w:val="auto"/>
              </w:rPr>
            </w:pPr>
            <w:r>
              <w:rPr>
                <w:rFonts w:ascii="Arial" w:cs="Arial" w:eastAsia="Arial" w:hAnsi="Arial"/>
                <w:sz w:val="17"/>
                <w:szCs w:val="17"/>
                <w:b w:val="1"/>
                <w:bCs w:val="1"/>
                <w:color w:val="auto"/>
                <w:w w:val="91"/>
              </w:rPr>
              <w:t>Three Months Ended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12"/>
          </w:tcPr>
          <w:p>
            <w:pPr>
              <w:ind w:left="10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November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00" w:type="dxa"/>
            <w:vAlign w:val="bottom"/>
            <w:gridSpan w:val="4"/>
          </w:tcPr>
          <w:p>
            <w:pPr>
              <w:spacing w:after="0"/>
              <w:rPr>
                <w:sz w:val="18"/>
                <w:szCs w:val="18"/>
                <w:color w:val="auto"/>
              </w:rPr>
            </w:pPr>
          </w:p>
        </w:tc>
        <w:tc>
          <w:tcPr>
            <w:tcW w:w="580" w:type="dxa"/>
            <w:vAlign w:val="bottom"/>
            <w:gridSpan w:val="3"/>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30</w:t>
            </w:r>
          </w:p>
        </w:tc>
        <w:tc>
          <w:tcPr>
            <w:tcW w:w="2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rPr>
              <w:t>30</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30</w:t>
            </w: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60" w:type="dxa"/>
            <w:vAlign w:val="bottom"/>
            <w:gridSpan w:val="8"/>
          </w:tcPr>
          <w:p>
            <w:pPr>
              <w:jc w:val="right"/>
              <w:spacing w:after="0"/>
              <w:rPr>
                <w:sz w:val="20"/>
                <w:szCs w:val="20"/>
                <w:color w:val="auto"/>
              </w:rPr>
            </w:pPr>
            <w:r>
              <w:rPr>
                <w:rFonts w:ascii="Arial" w:cs="Arial" w:eastAsia="Arial" w:hAnsi="Arial"/>
                <w:sz w:val="17"/>
                <w:szCs w:val="17"/>
                <w:b w:val="1"/>
                <w:bCs w:val="1"/>
                <w:color w:val="auto"/>
              </w:rPr>
              <w:t>2005</w:t>
            </w:r>
          </w:p>
        </w:tc>
        <w:tc>
          <w:tcPr>
            <w:tcW w:w="220" w:type="dxa"/>
            <w:vAlign w:val="bottom"/>
          </w:tcPr>
          <w:p>
            <w:pPr>
              <w:spacing w:after="0"/>
              <w:rPr>
                <w:sz w:val="18"/>
                <w:szCs w:val="18"/>
                <w:color w:val="auto"/>
              </w:rPr>
            </w:pPr>
          </w:p>
        </w:tc>
        <w:tc>
          <w:tcPr>
            <w:tcW w:w="1600" w:type="dxa"/>
            <w:vAlign w:val="bottom"/>
            <w:gridSpan w:val="8"/>
          </w:tcPr>
          <w:p>
            <w:pPr>
              <w:jc w:val="right"/>
              <w:ind w:right="260"/>
              <w:spacing w:after="0"/>
              <w:rPr>
                <w:sz w:val="20"/>
                <w:szCs w:val="20"/>
                <w:color w:val="auto"/>
              </w:rPr>
            </w:pPr>
            <w:r>
              <w:rPr>
                <w:rFonts w:ascii="Arial" w:cs="Arial" w:eastAsia="Arial" w:hAnsi="Arial"/>
                <w:sz w:val="17"/>
                <w:szCs w:val="17"/>
                <w:b w:val="1"/>
                <w:bCs w:val="1"/>
                <w:color w:val="auto"/>
              </w:rPr>
              <w:t>2004</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2005</w:t>
            </w: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6"/>
          </w:tcPr>
          <w:p>
            <w:pPr>
              <w:jc w:val="center"/>
              <w:ind w:right="20"/>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ind w:left="20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1660" w:type="dxa"/>
            <w:vAlign w:val="bottom"/>
            <w:gridSpan w:val="8"/>
            <w:shd w:val="clear" w:color="auto" w:fill="E2EEF6"/>
          </w:tcPr>
          <w:p>
            <w:pPr>
              <w:jc w:val="right"/>
              <w:spacing w:after="0"/>
              <w:rPr>
                <w:sz w:val="20"/>
                <w:szCs w:val="20"/>
                <w:color w:val="auto"/>
              </w:rPr>
            </w:pPr>
            <w:r>
              <w:rPr>
                <w:rFonts w:ascii="Arial" w:cs="Arial" w:eastAsia="Arial" w:hAnsi="Arial"/>
                <w:sz w:val="17"/>
                <w:szCs w:val="17"/>
                <w:color w:val="auto"/>
              </w:rPr>
              <w:t>$(1,448)</w:t>
            </w:r>
          </w:p>
        </w:tc>
        <w:tc>
          <w:tcPr>
            <w:tcW w:w="220" w:type="dxa"/>
            <w:vAlign w:val="bottom"/>
            <w:shd w:val="clear" w:color="auto" w:fill="E2EEF6"/>
          </w:tcPr>
          <w:p>
            <w:pPr>
              <w:spacing w:after="0"/>
              <w:rPr>
                <w:sz w:val="17"/>
                <w:szCs w:val="17"/>
                <w:color w:val="auto"/>
              </w:rPr>
            </w:pPr>
          </w:p>
        </w:tc>
        <w:tc>
          <w:tcPr>
            <w:tcW w:w="1600" w:type="dxa"/>
            <w:vAlign w:val="bottom"/>
            <w:gridSpan w:val="8"/>
            <w:shd w:val="clear" w:color="auto" w:fill="E2EEF6"/>
          </w:tcPr>
          <w:p>
            <w:pPr>
              <w:jc w:val="right"/>
              <w:ind w:right="260"/>
              <w:spacing w:after="0"/>
              <w:rPr>
                <w:sz w:val="20"/>
                <w:szCs w:val="20"/>
                <w:color w:val="auto"/>
              </w:rPr>
            </w:pPr>
            <w:r>
              <w:rPr>
                <w:rFonts w:ascii="Arial" w:cs="Arial" w:eastAsia="Arial" w:hAnsi="Arial"/>
                <w:sz w:val="17"/>
                <w:szCs w:val="17"/>
                <w:color w:val="auto"/>
              </w:rPr>
              <w:t>$3,609</w:t>
            </w:r>
          </w:p>
        </w:tc>
        <w:tc>
          <w:tcPr>
            <w:tcW w:w="1640" w:type="dxa"/>
            <w:vAlign w:val="bottom"/>
            <w:gridSpan w:val="9"/>
            <w:shd w:val="clear" w:color="auto" w:fill="E2EEF6"/>
          </w:tcPr>
          <w:p>
            <w:pPr>
              <w:jc w:val="right"/>
              <w:ind w:right="180"/>
              <w:spacing w:after="0"/>
              <w:rPr>
                <w:sz w:val="20"/>
                <w:szCs w:val="20"/>
                <w:color w:val="auto"/>
              </w:rPr>
            </w:pPr>
            <w:r>
              <w:rPr>
                <w:rFonts w:ascii="Arial" w:cs="Arial" w:eastAsia="Arial" w:hAnsi="Arial"/>
                <w:sz w:val="17"/>
                <w:szCs w:val="17"/>
                <w:color w:val="auto"/>
              </w:rPr>
              <w:t>$(986)</w:t>
            </w: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$6,420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Rest of Europe</w:t>
            </w:r>
          </w:p>
        </w:tc>
        <w:tc>
          <w:tcPr>
            <w:tcW w:w="1660" w:type="dxa"/>
            <w:vAlign w:val="bottom"/>
            <w:gridSpan w:val="8"/>
          </w:tcPr>
          <w:p>
            <w:pPr>
              <w:jc w:val="right"/>
              <w:spacing w:after="0"/>
              <w:rPr>
                <w:sz w:val="20"/>
                <w:szCs w:val="20"/>
                <w:color w:val="auto"/>
              </w:rPr>
            </w:pPr>
            <w:r>
              <w:rPr>
                <w:rFonts w:ascii="Arial" w:cs="Arial" w:eastAsia="Arial" w:hAnsi="Arial"/>
                <w:sz w:val="17"/>
                <w:szCs w:val="17"/>
                <w:color w:val="auto"/>
              </w:rPr>
              <w:t>5,172</w:t>
            </w:r>
          </w:p>
        </w:tc>
        <w:tc>
          <w:tcPr>
            <w:tcW w:w="220" w:type="dxa"/>
            <w:vAlign w:val="bottom"/>
          </w:tcPr>
          <w:p>
            <w:pPr>
              <w:spacing w:after="0"/>
              <w:rPr>
                <w:sz w:val="17"/>
                <w:szCs w:val="17"/>
                <w:color w:val="auto"/>
              </w:rPr>
            </w:pPr>
          </w:p>
        </w:tc>
        <w:tc>
          <w:tcPr>
            <w:tcW w:w="1600" w:type="dxa"/>
            <w:vAlign w:val="bottom"/>
            <w:gridSpan w:val="8"/>
          </w:tcPr>
          <w:p>
            <w:pPr>
              <w:jc w:val="right"/>
              <w:ind w:right="260"/>
              <w:spacing w:after="0"/>
              <w:rPr>
                <w:sz w:val="20"/>
                <w:szCs w:val="20"/>
                <w:color w:val="auto"/>
              </w:rPr>
            </w:pPr>
            <w:r>
              <w:rPr>
                <w:rFonts w:ascii="Arial" w:cs="Arial" w:eastAsia="Arial" w:hAnsi="Arial"/>
                <w:sz w:val="17"/>
                <w:szCs w:val="17"/>
                <w:color w:val="auto"/>
              </w:rPr>
              <w:t>971</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color w:val="auto"/>
              </w:rPr>
              <w:t>9,795</w:t>
            </w:r>
          </w:p>
        </w:tc>
        <w:tc>
          <w:tcPr>
            <w:tcW w:w="3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1660" w:type="dxa"/>
            <w:vAlign w:val="bottom"/>
            <w:gridSpan w:val="8"/>
            <w:shd w:val="clear" w:color="auto" w:fill="E2EEF6"/>
          </w:tcPr>
          <w:p>
            <w:pPr>
              <w:jc w:val="right"/>
              <w:spacing w:after="0"/>
              <w:rPr>
                <w:sz w:val="20"/>
                <w:szCs w:val="20"/>
                <w:color w:val="auto"/>
              </w:rPr>
            </w:pPr>
            <w:r>
              <w:rPr>
                <w:rFonts w:ascii="Arial" w:cs="Arial" w:eastAsia="Arial" w:hAnsi="Arial"/>
                <w:sz w:val="17"/>
                <w:szCs w:val="17"/>
                <w:color w:val="auto"/>
              </w:rPr>
              <w:t>2,922</w:t>
            </w:r>
          </w:p>
        </w:tc>
        <w:tc>
          <w:tcPr>
            <w:tcW w:w="220" w:type="dxa"/>
            <w:vAlign w:val="bottom"/>
            <w:shd w:val="clear" w:color="auto" w:fill="E2EEF6"/>
          </w:tcPr>
          <w:p>
            <w:pPr>
              <w:spacing w:after="0"/>
              <w:rPr>
                <w:sz w:val="17"/>
                <w:szCs w:val="17"/>
                <w:color w:val="auto"/>
              </w:rPr>
            </w:pPr>
          </w:p>
        </w:tc>
        <w:tc>
          <w:tcPr>
            <w:tcW w:w="1600" w:type="dxa"/>
            <w:vAlign w:val="bottom"/>
            <w:gridSpan w:val="8"/>
            <w:shd w:val="clear" w:color="auto" w:fill="E2EEF6"/>
          </w:tcPr>
          <w:p>
            <w:pPr>
              <w:jc w:val="right"/>
              <w:ind w:right="260"/>
              <w:spacing w:after="0"/>
              <w:rPr>
                <w:sz w:val="20"/>
                <w:szCs w:val="20"/>
                <w:color w:val="auto"/>
              </w:rPr>
            </w:pPr>
            <w:r>
              <w:rPr>
                <w:rFonts w:ascii="Arial" w:cs="Arial" w:eastAsia="Arial" w:hAnsi="Arial"/>
                <w:sz w:val="17"/>
                <w:szCs w:val="17"/>
                <w:color w:val="auto"/>
              </w:rPr>
              <w:t>1,915</w:t>
            </w:r>
          </w:p>
        </w:tc>
        <w:tc>
          <w:tcPr>
            <w:tcW w:w="1640" w:type="dxa"/>
            <w:vAlign w:val="bottom"/>
            <w:gridSpan w:val="9"/>
            <w:shd w:val="clear" w:color="auto" w:fill="E2EEF6"/>
          </w:tcPr>
          <w:p>
            <w:pPr>
              <w:jc w:val="right"/>
              <w:ind w:right="180"/>
              <w:spacing w:after="0"/>
              <w:rPr>
                <w:sz w:val="20"/>
                <w:szCs w:val="20"/>
                <w:color w:val="auto"/>
              </w:rPr>
            </w:pPr>
            <w:r>
              <w:rPr>
                <w:rFonts w:ascii="Arial" w:cs="Arial" w:eastAsia="Arial" w:hAnsi="Arial"/>
                <w:sz w:val="17"/>
                <w:szCs w:val="17"/>
                <w:color w:val="auto"/>
              </w:rPr>
              <w:t>4,562</w:t>
            </w: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4,614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 of the World</w:t>
            </w:r>
          </w:p>
        </w:tc>
        <w:tc>
          <w:tcPr>
            <w:tcW w:w="166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2,372</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7"/>
                <w:szCs w:val="17"/>
                <w:color w:val="auto"/>
              </w:rPr>
              <w:t>513</w:t>
            </w:r>
          </w:p>
        </w:tc>
        <w:tc>
          <w:tcPr>
            <w:tcW w:w="16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7"/>
                <w:szCs w:val="17"/>
                <w:color w:val="auto"/>
              </w:rPr>
              <w:t>4,015</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66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$9,018</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7"/>
                <w:szCs w:val="17"/>
                <w:color w:val="auto"/>
              </w:rPr>
              <w:t>$7,008</w:t>
            </w:r>
          </w:p>
        </w:tc>
        <w:tc>
          <w:tcPr>
            <w:tcW w:w="16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7"/>
                <w:szCs w:val="17"/>
                <w:color w:val="auto"/>
              </w:rPr>
              <w:t>$17,386</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$16,493</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d) The distribution of income from operations by business segment was as follows: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6"/>
          </w:tcPr>
          <w:p>
            <w:pPr>
              <w:spacing w:after="0"/>
              <w:rPr>
                <w:sz w:val="20"/>
                <w:szCs w:val="20"/>
                <w:color w:val="auto"/>
              </w:rPr>
            </w:pPr>
            <w:r>
              <w:rPr>
                <w:rFonts w:ascii="Arial" w:cs="Arial" w:eastAsia="Arial" w:hAnsi="Arial"/>
                <w:sz w:val="16"/>
                <w:szCs w:val="16"/>
                <w:b w:val="1"/>
                <w:bCs w:val="1"/>
                <w:color w:val="auto"/>
                <w:w w:val="96"/>
              </w:rPr>
              <w:t>Three Months Ended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6"/>
          </w:tcPr>
          <w:p>
            <w:pPr>
              <w:ind w:left="80"/>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80" w:type="dxa"/>
            <w:vAlign w:val="bottom"/>
            <w:gridSpan w:val="8"/>
          </w:tcPr>
          <w:p>
            <w:pPr>
              <w:ind w:left="2300"/>
              <w:spacing w:after="0"/>
              <w:rPr>
                <w:sz w:val="20"/>
                <w:szCs w:val="20"/>
                <w:color w:val="auto"/>
              </w:rPr>
            </w:pPr>
            <w:r>
              <w:rPr>
                <w:rFonts w:ascii="Arial" w:cs="Arial" w:eastAsia="Arial" w:hAnsi="Arial"/>
                <w:sz w:val="16"/>
                <w:szCs w:val="16"/>
                <w:b w:val="1"/>
                <w:bCs w:val="1"/>
                <w:color w:val="auto"/>
              </w:rPr>
              <w:t>November</w:t>
            </w:r>
          </w:p>
        </w:tc>
        <w:tc>
          <w:tcPr>
            <w:tcW w:w="110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1"/>
              </w:rPr>
              <w:t>November</w:t>
            </w:r>
          </w:p>
        </w:tc>
        <w:tc>
          <w:tcPr>
            <w:tcW w:w="80" w:type="dxa"/>
            <w:vAlign w:val="bottom"/>
          </w:tcPr>
          <w:p>
            <w:pPr>
              <w:spacing w:after="0"/>
              <w:rPr>
                <w:sz w:val="16"/>
                <w:szCs w:val="16"/>
                <w:color w:val="auto"/>
              </w:rPr>
            </w:pPr>
          </w:p>
        </w:tc>
        <w:tc>
          <w:tcPr>
            <w:tcW w:w="214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November</w:t>
            </w: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w w:val="84"/>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0" w:type="dxa"/>
            <w:vAlign w:val="bottom"/>
            <w:tcBorders>
              <w:top w:val="single" w:sz="8" w:color="auto"/>
            </w:tcBorders>
            <w:gridSpan w:val="3"/>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3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960" w:type="dxa"/>
            <w:vAlign w:val="bottom"/>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4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2004</w:t>
            </w:r>
          </w:p>
        </w:tc>
        <w:tc>
          <w:tcPr>
            <w:tcW w:w="3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6"/>
                <w:szCs w:val="16"/>
                <w:b w:val="1"/>
                <w:bCs w:val="1"/>
                <w:color w:val="auto"/>
              </w:rPr>
              <w:t>2005</w:t>
            </w:r>
          </w:p>
        </w:tc>
        <w:tc>
          <w:tcPr>
            <w:tcW w:w="9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5"/>
          </w:tcPr>
          <w:p>
            <w:pPr>
              <w:ind w:left="12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5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5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3740" w:type="dxa"/>
            <w:vAlign w:val="bottom"/>
            <w:gridSpan w:val="7"/>
            <w:shd w:val="clear" w:color="auto" w:fill="E2EEF6"/>
          </w:tcPr>
          <w:p>
            <w:pPr>
              <w:jc w:val="right"/>
              <w:ind w:right="440"/>
              <w:spacing w:after="0"/>
              <w:rPr>
                <w:sz w:val="20"/>
                <w:szCs w:val="20"/>
                <w:color w:val="auto"/>
              </w:rPr>
            </w:pPr>
            <w:r>
              <w:rPr>
                <w:rFonts w:ascii="Arial" w:cs="Arial" w:eastAsia="Arial" w:hAnsi="Arial"/>
                <w:sz w:val="17"/>
                <w:szCs w:val="17"/>
                <w:color w:val="auto"/>
              </w:rPr>
              <w:t>$(1,194)</w:t>
            </w:r>
          </w:p>
        </w:tc>
        <w:tc>
          <w:tcPr>
            <w:tcW w:w="140" w:type="dxa"/>
            <w:vAlign w:val="bottom"/>
            <w:shd w:val="clear" w:color="auto" w:fill="E2EEF6"/>
          </w:tcPr>
          <w:p>
            <w:pPr>
              <w:spacing w:after="0"/>
              <w:rPr>
                <w:sz w:val="17"/>
                <w:szCs w:val="17"/>
                <w:color w:val="auto"/>
              </w:rPr>
            </w:pPr>
          </w:p>
        </w:tc>
        <w:tc>
          <w:tcPr>
            <w:tcW w:w="1100" w:type="dxa"/>
            <w:vAlign w:val="bottom"/>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$(1,893)</w:t>
            </w:r>
          </w:p>
        </w:tc>
        <w:tc>
          <w:tcPr>
            <w:tcW w:w="2220" w:type="dxa"/>
            <w:vAlign w:val="bottom"/>
            <w:gridSpan w:val="6"/>
            <w:shd w:val="clear" w:color="auto" w:fill="E2EEF6"/>
          </w:tcPr>
          <w:p>
            <w:pPr>
              <w:jc w:val="right"/>
              <w:ind w:right="800"/>
              <w:spacing w:after="0"/>
              <w:rPr>
                <w:sz w:val="20"/>
                <w:szCs w:val="20"/>
                <w:color w:val="auto"/>
              </w:rPr>
            </w:pPr>
            <w:r>
              <w:rPr>
                <w:rFonts w:ascii="Arial" w:cs="Arial" w:eastAsia="Arial" w:hAnsi="Arial"/>
                <w:sz w:val="17"/>
                <w:szCs w:val="17"/>
                <w:color w:val="auto"/>
              </w:rPr>
              <w:t>$(2,809)</w:t>
            </w:r>
          </w:p>
        </w:tc>
        <w:tc>
          <w:tcPr>
            <w:tcW w:w="68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$(2,754)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Clinical research</w:t>
            </w:r>
          </w:p>
        </w:tc>
        <w:tc>
          <w:tcPr>
            <w:tcW w:w="37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7"/>
                <w:szCs w:val="17"/>
                <w:color w:val="auto"/>
              </w:rPr>
              <w:t>10,212</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8,901</w:t>
            </w:r>
          </w:p>
        </w:tc>
        <w:tc>
          <w:tcPr>
            <w:tcW w:w="22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7"/>
                <w:szCs w:val="17"/>
                <w:color w:val="auto"/>
              </w:rPr>
              <w:t>20,195</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19,247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5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Total</w:t>
            </w:r>
          </w:p>
        </w:tc>
        <w:tc>
          <w:tcPr>
            <w:tcW w:w="3740" w:type="dxa"/>
            <w:vAlign w:val="bottom"/>
            <w:tcBorders>
              <w:bottom w:val="single" w:sz="8" w:color="auto"/>
            </w:tcBorders>
            <w:gridSpan w:val="7"/>
            <w:shd w:val="clear" w:color="auto" w:fill="E2EEF6"/>
          </w:tcPr>
          <w:p>
            <w:pPr>
              <w:jc w:val="right"/>
              <w:ind w:right="440"/>
              <w:spacing w:after="0"/>
              <w:rPr>
                <w:sz w:val="20"/>
                <w:szCs w:val="20"/>
                <w:color w:val="auto"/>
              </w:rPr>
            </w:pPr>
            <w:r>
              <w:rPr>
                <w:rFonts w:ascii="Arial" w:cs="Arial" w:eastAsia="Arial" w:hAnsi="Arial"/>
                <w:sz w:val="17"/>
                <w:szCs w:val="17"/>
                <w:color w:val="auto"/>
              </w:rPr>
              <w:t>$9,018</w:t>
            </w:r>
          </w:p>
        </w:tc>
        <w:tc>
          <w:tcPr>
            <w:tcW w:w="140" w:type="dxa"/>
            <w:vAlign w:val="bottom"/>
            <w:tcBorders>
              <w:bottom w:val="single" w:sz="8" w:color="auto"/>
            </w:tcBorders>
            <w:shd w:val="clear" w:color="auto" w:fill="E2EEF6"/>
          </w:tcPr>
          <w:p>
            <w:pPr>
              <w:spacing w:after="0"/>
              <w:rPr>
                <w:sz w:val="24"/>
                <w:szCs w:val="24"/>
                <w:color w:val="auto"/>
              </w:rPr>
            </w:pPr>
          </w:p>
        </w:tc>
        <w:tc>
          <w:tcPr>
            <w:tcW w:w="1100" w:type="dxa"/>
            <w:vAlign w:val="bottom"/>
            <w:tcBorders>
              <w:bottom w:val="single" w:sz="8" w:color="auto"/>
            </w:tcBorders>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$7,008</w:t>
            </w:r>
          </w:p>
        </w:tc>
        <w:tc>
          <w:tcPr>
            <w:tcW w:w="2220" w:type="dxa"/>
            <w:vAlign w:val="bottom"/>
            <w:tcBorders>
              <w:bottom w:val="single" w:sz="8" w:color="auto"/>
            </w:tcBorders>
            <w:gridSpan w:val="6"/>
            <w:shd w:val="clear" w:color="auto" w:fill="E2EEF6"/>
          </w:tcPr>
          <w:p>
            <w:pPr>
              <w:jc w:val="right"/>
              <w:ind w:right="800"/>
              <w:spacing w:after="0"/>
              <w:rPr>
                <w:sz w:val="20"/>
                <w:szCs w:val="20"/>
                <w:color w:val="auto"/>
              </w:rPr>
            </w:pPr>
            <w:r>
              <w:rPr>
                <w:rFonts w:ascii="Arial" w:cs="Arial" w:eastAsia="Arial" w:hAnsi="Arial"/>
                <w:sz w:val="17"/>
                <w:szCs w:val="17"/>
                <w:color w:val="auto"/>
              </w:rPr>
              <w:t>$17,386</w:t>
            </w:r>
          </w:p>
        </w:tc>
        <w:tc>
          <w:tcPr>
            <w:tcW w:w="680" w:type="dxa"/>
            <w:vAlign w:val="bottom"/>
            <w:tcBorders>
              <w:bottom w:val="single" w:sz="8" w:color="auto"/>
            </w:tcBorders>
            <w:gridSpan w:val="3"/>
            <w:shd w:val="clear" w:color="auto" w:fill="E2EEF6"/>
          </w:tcPr>
          <w:p>
            <w:pPr>
              <w:jc w:val="right"/>
              <w:spacing w:after="0"/>
              <w:rPr>
                <w:sz w:val="20"/>
                <w:szCs w:val="20"/>
                <w:color w:val="auto"/>
              </w:rPr>
            </w:pPr>
            <w:r>
              <w:rPr>
                <w:rFonts w:ascii="Arial" w:cs="Arial" w:eastAsia="Arial" w:hAnsi="Arial"/>
                <w:sz w:val="17"/>
                <w:szCs w:val="17"/>
                <w:color w:val="auto"/>
              </w:rPr>
              <w:t>$16,493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20" w:type="dxa"/>
            <w:vAlign w:val="bottom"/>
          </w:tcPr>
          <w:p>
            <w:pPr>
              <w:spacing w:after="0"/>
              <w:rPr>
                <w:sz w:val="20"/>
                <w:szCs w:val="20"/>
                <w:color w:val="auto"/>
              </w:rPr>
            </w:pPr>
            <w:r>
              <w:rPr>
                <w:rFonts w:ascii="Arial" w:cs="Arial" w:eastAsia="Arial" w:hAnsi="Arial"/>
                <w:sz w:val="17"/>
                <w:szCs w:val="17"/>
                <w:color w:val="auto"/>
              </w:rPr>
              <w:t>e) The distribution of property, plant and equipment, net, by geographical area was as follows: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November 30,</w:t>
            </w:r>
          </w:p>
        </w:tc>
        <w:tc>
          <w:tcPr>
            <w:tcW w:w="6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May 31,</w:t>
            </w:r>
          </w:p>
        </w:tc>
      </w:tr>
      <w:tr>
        <w:trPr>
          <w:trHeight w:val="226"/>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2005</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440" w:type="dxa"/>
            <w:vAlign w:val="bottom"/>
            <w:gridSpan w:val="2"/>
            <w:shd w:val="clear" w:color="auto" w:fill="E2EEF6"/>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22,584</w:t>
            </w: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20,471</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Rest of Europe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6,731</w:t>
            </w: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7,273</w:t>
            </w: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16,733</w:t>
            </w:r>
          </w:p>
        </w:tc>
        <w:tc>
          <w:tcPr>
            <w:tcW w:w="64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15,927</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Rest of the World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1,568</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1,615</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47,616</w:t>
            </w:r>
          </w:p>
        </w:tc>
        <w:tc>
          <w:tcPr>
            <w:tcW w:w="22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45,286</w:t>
            </w:r>
          </w:p>
        </w:tc>
      </w:tr>
      <w:tr>
        <w:trPr>
          <w:trHeight w:val="445"/>
        </w:trPr>
        <w:tc>
          <w:tcPr>
            <w:tcW w:w="8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 The distribution of property, plant and equipment, net, by business segment was as follows:</w:t>
            </w:r>
          </w:p>
        </w:tc>
        <w:tc>
          <w:tcPr>
            <w:tcW w:w="220" w:type="dxa"/>
            <w:vAlign w:val="bottom"/>
            <w:tcBorders>
              <w:top w:val="single" w:sz="8" w:color="E2EEF6"/>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447"/>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November 30,</w:t>
            </w:r>
          </w:p>
        </w:tc>
        <w:tc>
          <w:tcPr>
            <w:tcW w:w="6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May 31,</w:t>
            </w:r>
          </w:p>
        </w:tc>
      </w:tr>
      <w:tr>
        <w:trPr>
          <w:trHeight w:val="226"/>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2005</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4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65"/>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8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40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440" w:type="dxa"/>
            <w:vAlign w:val="bottom"/>
            <w:gridSpan w:val="2"/>
            <w:shd w:val="clear" w:color="auto" w:fill="E2EEF6"/>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3,609</w:t>
            </w: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2,940</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Clinical research</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44,007</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42,346</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47,616</w:t>
            </w:r>
          </w:p>
        </w:tc>
        <w:tc>
          <w:tcPr>
            <w:tcW w:w="22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45,286</w:t>
            </w:r>
          </w:p>
        </w:tc>
      </w:tr>
      <w:tr>
        <w:trPr>
          <w:trHeight w:val="20"/>
        </w:trPr>
        <w:tc>
          <w:tcPr>
            <w:tcW w:w="8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g) The distribution of depreciation and amortization by geographical area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Arial" w:cs="Arial" w:eastAsia="Arial" w:hAnsi="Arial"/>
                <w:sz w:val="16"/>
                <w:szCs w:val="16"/>
                <w:b w:val="1"/>
                <w:bCs w:val="1"/>
                <w:color w:val="auto"/>
                <w:w w:val="98"/>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7"/>
          </w:tcPr>
          <w:p>
            <w:pPr>
              <w:ind w:left="80"/>
              <w:spacing w:after="0"/>
              <w:rPr>
                <w:sz w:val="20"/>
                <w:szCs w:val="20"/>
                <w:color w:val="auto"/>
              </w:rPr>
            </w:pPr>
            <w:r>
              <w:rPr>
                <w:rFonts w:ascii="Arial" w:cs="Arial" w:eastAsia="Arial" w:hAnsi="Arial"/>
                <w:sz w:val="16"/>
                <w:szCs w:val="16"/>
                <w:b w:val="1"/>
                <w:bCs w:val="1"/>
                <w:color w:val="auto"/>
                <w:w w:val="93"/>
              </w:rPr>
              <w:t>Six Months Ended</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rPr>
              <w:t>November</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6"/>
                <w:szCs w:val="16"/>
                <w:b w:val="1"/>
                <w:bCs w:val="1"/>
                <w:color w:val="auto"/>
              </w:rPr>
              <w:t>November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6"/>
          </w:tcPr>
          <w:p>
            <w:pPr>
              <w:ind w:left="460"/>
              <w:spacing w:after="0"/>
              <w:rPr>
                <w:sz w:val="20"/>
                <w:szCs w:val="20"/>
                <w:color w:val="auto"/>
              </w:rPr>
            </w:pPr>
            <w:r>
              <w:rPr>
                <w:rFonts w:ascii="Arial" w:cs="Arial" w:eastAsia="Arial" w:hAnsi="Arial"/>
                <w:sz w:val="16"/>
                <w:szCs w:val="16"/>
                <w:b w:val="1"/>
                <w:bCs w:val="1"/>
                <w:color w:val="auto"/>
              </w:rPr>
              <w:t>November</w:t>
            </w:r>
          </w:p>
        </w:tc>
        <w:tc>
          <w:tcPr>
            <w:tcW w:w="7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November</w:t>
            </w: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gridSpan w:val="3"/>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30</w:t>
            </w: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2"/>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6"/>
          </w:tcPr>
          <w:p>
            <w:pPr>
              <w:ind w:left="120"/>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$1,337</w:t>
            </w:r>
          </w:p>
        </w:tc>
        <w:tc>
          <w:tcPr>
            <w:tcW w:w="5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$1,290</w:t>
            </w:r>
          </w:p>
        </w:tc>
        <w:tc>
          <w:tcPr>
            <w:tcW w:w="180" w:type="dxa"/>
            <w:vAlign w:val="bottom"/>
            <w:shd w:val="clear" w:color="auto" w:fill="E2EEF6"/>
          </w:tcPr>
          <w:p>
            <w:pPr>
              <w:spacing w:after="0"/>
              <w:rPr>
                <w:sz w:val="20"/>
                <w:szCs w:val="20"/>
                <w:color w:val="auto"/>
              </w:rPr>
            </w:pP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$2,690</w:t>
            </w:r>
          </w:p>
        </w:tc>
        <w:tc>
          <w:tcPr>
            <w:tcW w:w="12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$2,409</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Europe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6"/>
          </w:tcPr>
          <w:p>
            <w:pPr>
              <w:jc w:val="right"/>
              <w:ind w:right="220"/>
              <w:spacing w:after="0"/>
              <w:rPr>
                <w:sz w:val="20"/>
                <w:szCs w:val="20"/>
                <w:color w:val="auto"/>
              </w:rPr>
            </w:pPr>
            <w:r>
              <w:rPr>
                <w:rFonts w:ascii="Arial" w:cs="Arial" w:eastAsia="Arial" w:hAnsi="Arial"/>
                <w:sz w:val="17"/>
                <w:szCs w:val="17"/>
                <w:color w:val="auto"/>
              </w:rPr>
              <w:t>519</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7"/>
                <w:szCs w:val="17"/>
                <w:color w:val="auto"/>
              </w:rPr>
              <w:t>514</w:t>
            </w:r>
          </w:p>
        </w:tc>
        <w:tc>
          <w:tcPr>
            <w:tcW w:w="18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7"/>
                <w:szCs w:val="17"/>
                <w:color w:val="auto"/>
              </w:rPr>
              <w:t>1,007</w:t>
            </w: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1,502</w:t>
            </w:r>
          </w:p>
        </w:tc>
        <w:tc>
          <w:tcPr>
            <w:tcW w:w="5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1,397</w:t>
            </w:r>
          </w:p>
        </w:tc>
        <w:tc>
          <w:tcPr>
            <w:tcW w:w="180" w:type="dxa"/>
            <w:vAlign w:val="bottom"/>
            <w:shd w:val="clear" w:color="auto" w:fill="E2EEF6"/>
          </w:tcPr>
          <w:p>
            <w:pPr>
              <w:spacing w:after="0"/>
              <w:rPr>
                <w:sz w:val="20"/>
                <w:szCs w:val="20"/>
                <w:color w:val="auto"/>
              </w:rPr>
            </w:pP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2,911</w:t>
            </w:r>
          </w:p>
        </w:tc>
        <w:tc>
          <w:tcPr>
            <w:tcW w:w="12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2,758</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the World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151</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7"/>
                <w:szCs w:val="17"/>
                <w:color w:val="auto"/>
              </w:rPr>
              <w:t>184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3,509</w:t>
            </w:r>
          </w:p>
        </w:tc>
        <w:tc>
          <w:tcPr>
            <w:tcW w:w="520" w:type="dxa"/>
            <w:vAlign w:val="bottom"/>
            <w:shd w:val="clear" w:color="auto" w:fill="E2EEF6"/>
          </w:tcPr>
          <w:p>
            <w:pPr>
              <w:jc w:val="right"/>
              <w:ind w:right="334"/>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E2EEF6"/>
          </w:tcPr>
          <w:p>
            <w:pPr>
              <w:spacing w:after="0"/>
              <w:rPr>
                <w:sz w:val="24"/>
                <w:szCs w:val="24"/>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3,296</w:t>
            </w:r>
          </w:p>
        </w:tc>
        <w:tc>
          <w:tcPr>
            <w:tcW w:w="18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6,943</w:t>
            </w:r>
          </w:p>
        </w:tc>
        <w:tc>
          <w:tcPr>
            <w:tcW w:w="120" w:type="dxa"/>
            <w:vAlign w:val="bottom"/>
            <w:tcBorders>
              <w:left w:val="single" w:sz="8" w:color="E2EEF6"/>
            </w:tcBorders>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780" w:type="dxa"/>
            <w:vAlign w:val="bottom"/>
            <w:shd w:val="clear" w:color="auto" w:fill="E2EEF6"/>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6,358</w:t>
            </w:r>
          </w:p>
        </w:tc>
      </w:tr>
      <w:tr>
        <w:trPr>
          <w:trHeight w:val="20"/>
        </w:trPr>
        <w:tc>
          <w:tcPr>
            <w:tcW w:w="4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left w:val="single" w:sz="8" w:color="auto"/>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9"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7"/>
          <w:szCs w:val="17"/>
          <w:color w:val="auto"/>
        </w:rPr>
        <w:t>h) The distribution of depreciation and amortization by business segment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88"/>
              </w:rPr>
              <w:t>Three Months Ended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8"/>
          </w:tcPr>
          <w:p>
            <w:pPr>
              <w:ind w:left="20"/>
              <w:spacing w:after="0"/>
              <w:rPr>
                <w:sz w:val="20"/>
                <w:szCs w:val="20"/>
                <w:color w:val="auto"/>
              </w:rPr>
            </w:pPr>
            <w:r>
              <w:rPr>
                <w:rFonts w:ascii="Arial" w:cs="Arial" w:eastAsia="Arial" w:hAnsi="Arial"/>
                <w:sz w:val="16"/>
                <w:szCs w:val="16"/>
                <w:b w:val="1"/>
                <w:bCs w:val="1"/>
                <w:color w:val="auto"/>
                <w:w w:val="90"/>
              </w:rPr>
              <w:t>Six Months Ended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6"/>
          </w:tcPr>
          <w:p>
            <w:pPr>
              <w:spacing w:after="0"/>
              <w:rPr>
                <w:sz w:val="20"/>
                <w:szCs w:val="20"/>
                <w:color w:val="auto"/>
              </w:rPr>
            </w:pPr>
            <w:r>
              <w:rPr>
                <w:rFonts w:ascii="Arial" w:cs="Arial" w:eastAsia="Arial" w:hAnsi="Arial"/>
                <w:sz w:val="16"/>
                <w:szCs w:val="16"/>
                <w:b w:val="1"/>
                <w:bCs w:val="1"/>
                <w:color w:val="auto"/>
              </w:rPr>
              <w:t>November</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5"/>
          </w:tcPr>
          <w:p>
            <w:pPr>
              <w:ind w:left="40"/>
              <w:spacing w:after="0"/>
              <w:rPr>
                <w:sz w:val="20"/>
                <w:szCs w:val="20"/>
                <w:color w:val="auto"/>
              </w:rPr>
            </w:pPr>
            <w:r>
              <w:rPr>
                <w:rFonts w:ascii="Arial" w:cs="Arial" w:eastAsia="Arial" w:hAnsi="Arial"/>
                <w:sz w:val="16"/>
                <w:szCs w:val="16"/>
                <w:b w:val="1"/>
                <w:bCs w:val="1"/>
                <w:color w:val="auto"/>
              </w:rPr>
              <w:t>November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rPr>
              <w:t>November</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spacing w:after="0"/>
              <w:rPr>
                <w:sz w:val="20"/>
                <w:szCs w:val="20"/>
                <w:color w:val="auto"/>
              </w:rPr>
            </w:pPr>
            <w:r>
              <w:rPr>
                <w:rFonts w:ascii="Arial" w:cs="Arial" w:eastAsia="Arial" w:hAnsi="Arial"/>
                <w:sz w:val="16"/>
                <w:szCs w:val="16"/>
                <w:b w:val="1"/>
                <w:bCs w:val="1"/>
                <w:color w:val="auto"/>
                <w:w w:val="84"/>
              </w:rPr>
              <w:t>November</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6"/>
                <w:szCs w:val="16"/>
                <w:b w:val="1"/>
                <w:bCs w:val="1"/>
                <w:color w:val="auto"/>
              </w:rPr>
              <w:t>30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6"/>
                <w:szCs w:val="16"/>
                <w:b w:val="1"/>
                <w:bCs w:val="1"/>
                <w:color w:val="auto"/>
              </w:rPr>
              <w:t>2005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6"/>
                <w:szCs w:val="16"/>
                <w:b w:val="1"/>
                <w:bCs w:val="1"/>
                <w:color w:val="auto"/>
              </w:rPr>
              <w:t>2004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2"/>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7"/>
              </w:rPr>
              <w:t>(in thousands)</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w w:val="94"/>
              </w:rPr>
              <w:t>(in thousands)</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7"/>
            <w:shd w:val="clear" w:color="auto" w:fill="E2EEF6"/>
          </w:tcPr>
          <w:p>
            <w:pPr>
              <w:jc w:val="right"/>
              <w:ind w:right="220"/>
              <w:spacing w:after="0"/>
              <w:rPr>
                <w:sz w:val="20"/>
                <w:szCs w:val="20"/>
                <w:color w:val="auto"/>
              </w:rPr>
            </w:pPr>
            <w:r>
              <w:rPr>
                <w:rFonts w:ascii="Arial" w:cs="Arial" w:eastAsia="Arial" w:hAnsi="Arial"/>
                <w:sz w:val="17"/>
                <w:szCs w:val="17"/>
                <w:color w:val="auto"/>
              </w:rPr>
              <w:t>303</w:t>
            </w:r>
          </w:p>
        </w:tc>
        <w:tc>
          <w:tcPr>
            <w:tcW w:w="480" w:type="dxa"/>
            <w:vAlign w:val="bottom"/>
            <w:shd w:val="clear" w:color="auto" w:fill="E2EEF6"/>
          </w:tcPr>
          <w:p>
            <w:pPr>
              <w:jc w:val="right"/>
              <w:ind w:right="2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E2EEF6"/>
          </w:tcPr>
          <w:p>
            <w:pPr>
              <w:spacing w:after="0"/>
              <w:rPr>
                <w:sz w:val="20"/>
                <w:szCs w:val="20"/>
                <w:color w:val="auto"/>
              </w:rPr>
            </w:pPr>
          </w:p>
        </w:tc>
        <w:tc>
          <w:tcPr>
            <w:tcW w:w="1040" w:type="dxa"/>
            <w:vAlign w:val="bottom"/>
            <w:tcBorders>
              <w:right w:val="single" w:sz="8" w:color="E2EEF6"/>
            </w:tcBorders>
            <w:gridSpan w:val="5"/>
            <w:shd w:val="clear" w:color="auto" w:fill="E2EEF6"/>
          </w:tcPr>
          <w:p>
            <w:pPr>
              <w:jc w:val="right"/>
              <w:ind w:right="220"/>
              <w:spacing w:after="0"/>
              <w:rPr>
                <w:sz w:val="20"/>
                <w:szCs w:val="20"/>
                <w:color w:val="auto"/>
              </w:rPr>
            </w:pPr>
            <w:r>
              <w:rPr>
                <w:rFonts w:ascii="Arial" w:cs="Arial" w:eastAsia="Arial" w:hAnsi="Arial"/>
                <w:sz w:val="17"/>
                <w:szCs w:val="17"/>
                <w:color w:val="auto"/>
              </w:rPr>
              <w:t>244</w:t>
            </w:r>
          </w:p>
        </w:tc>
        <w:tc>
          <w:tcPr>
            <w:tcW w:w="180" w:type="dxa"/>
            <w:vAlign w:val="bottom"/>
            <w:shd w:val="clear" w:color="auto" w:fill="E2EEF6"/>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589</w:t>
            </w: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480</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Clinical research</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6"/>
          </w:tcPr>
          <w:p>
            <w:pPr>
              <w:jc w:val="right"/>
              <w:spacing w:after="0"/>
              <w:rPr>
                <w:sz w:val="20"/>
                <w:szCs w:val="20"/>
                <w:color w:val="auto"/>
              </w:rPr>
            </w:pPr>
            <w:r>
              <w:rPr>
                <w:rFonts w:ascii="Arial" w:cs="Arial" w:eastAsia="Arial" w:hAnsi="Arial"/>
                <w:sz w:val="17"/>
                <w:szCs w:val="17"/>
                <w:color w:val="auto"/>
              </w:rPr>
              <w:t>3,206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3,052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6,354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5,878</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7"/>
            <w:shd w:val="clear" w:color="auto" w:fill="E2EEF6"/>
          </w:tcPr>
          <w:p>
            <w:pPr>
              <w:jc w:val="right"/>
              <w:ind w:right="220"/>
              <w:spacing w:after="0"/>
              <w:rPr>
                <w:sz w:val="20"/>
                <w:szCs w:val="20"/>
                <w:color w:val="auto"/>
              </w:rPr>
            </w:pPr>
            <w:r>
              <w:rPr>
                <w:rFonts w:ascii="Arial" w:cs="Arial" w:eastAsia="Arial" w:hAnsi="Arial"/>
                <w:sz w:val="17"/>
                <w:szCs w:val="17"/>
                <w:color w:val="auto"/>
              </w:rPr>
              <w:t>3,509</w:t>
            </w:r>
          </w:p>
        </w:tc>
        <w:tc>
          <w:tcPr>
            <w:tcW w:w="480" w:type="dxa"/>
            <w:vAlign w:val="bottom"/>
            <w:shd w:val="clear" w:color="auto" w:fill="E2EEF6"/>
          </w:tcPr>
          <w:p>
            <w:pPr>
              <w:jc w:val="right"/>
              <w:ind w:right="2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E2EEF6"/>
          </w:tcPr>
          <w:p>
            <w:pPr>
              <w:spacing w:after="0"/>
              <w:rPr>
                <w:sz w:val="24"/>
                <w:szCs w:val="24"/>
                <w:color w:val="auto"/>
              </w:rPr>
            </w:pPr>
          </w:p>
        </w:tc>
        <w:tc>
          <w:tcPr>
            <w:tcW w:w="1040" w:type="dxa"/>
            <w:vAlign w:val="bottom"/>
            <w:tcBorders>
              <w:right w:val="single" w:sz="8" w:color="E2EEF6"/>
            </w:tcBorders>
            <w:gridSpan w:val="5"/>
            <w:shd w:val="clear" w:color="auto" w:fill="E2EEF6"/>
          </w:tcPr>
          <w:p>
            <w:pPr>
              <w:jc w:val="right"/>
              <w:ind w:right="220"/>
              <w:spacing w:after="0"/>
              <w:rPr>
                <w:sz w:val="20"/>
                <w:szCs w:val="20"/>
                <w:color w:val="auto"/>
              </w:rPr>
            </w:pPr>
            <w:r>
              <w:rPr>
                <w:rFonts w:ascii="Arial" w:cs="Arial" w:eastAsia="Arial" w:hAnsi="Arial"/>
                <w:sz w:val="17"/>
                <w:szCs w:val="17"/>
                <w:color w:val="auto"/>
              </w:rPr>
              <w:t>3,296</w:t>
            </w:r>
          </w:p>
        </w:tc>
        <w:tc>
          <w:tcPr>
            <w:tcW w:w="180" w:type="dxa"/>
            <w:vAlign w:val="bottom"/>
            <w:shd w:val="clear" w:color="auto" w:fill="E2EEF6"/>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6,943</w:t>
            </w: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6,358</w:t>
            </w:r>
          </w:p>
        </w:tc>
      </w:tr>
      <w:tr>
        <w:trPr>
          <w:trHeight w:val="20"/>
        </w:trPr>
        <w:tc>
          <w:tcPr>
            <w:tcW w:w="4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right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left w:val="single" w:sz="8" w:color="auto"/>
            </w:tcBorders>
            <w:shd w:val="clear" w:color="auto" w:fill="E2EEF6"/>
          </w:tcPr>
          <w:p>
            <w:pPr>
              <w:spacing w:after="0" w:line="20" w:lineRule="exact"/>
              <w:rPr>
                <w:sz w:val="1"/>
                <w:szCs w:val="1"/>
                <w:color w:val="auto"/>
              </w:rPr>
            </w:pPr>
          </w:p>
        </w:tc>
        <w:tc>
          <w:tcPr>
            <w:tcW w:w="60" w:type="dxa"/>
            <w:vAlign w:val="bottom"/>
            <w:tcBorders>
              <w:top w:val="single" w:sz="8" w:color="E2EEF6"/>
            </w:tcBorders>
            <w:shd w:val="clear" w:color="auto" w:fill="E2EEF6"/>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r>
        <w:trPr>
          <w:trHeight w:val="445"/>
        </w:trPr>
        <w:tc>
          <w:tcPr>
            <w:tcW w:w="5540" w:type="dxa"/>
            <w:vAlign w:val="bottom"/>
            <w:gridSpan w:val="3"/>
          </w:tcPr>
          <w:p>
            <w:pPr>
              <w:ind w:left="620"/>
              <w:spacing w:after="0"/>
              <w:rPr>
                <w:sz w:val="20"/>
                <w:szCs w:val="20"/>
                <w:color w:val="auto"/>
              </w:rPr>
            </w:pPr>
            <w:r>
              <w:rPr>
                <w:rFonts w:ascii="Arial" w:cs="Arial" w:eastAsia="Arial" w:hAnsi="Arial"/>
                <w:sz w:val="17"/>
                <w:szCs w:val="17"/>
                <w:color w:val="auto"/>
                <w:w w:val="93"/>
              </w:rPr>
              <w:t>i) The distribution of total assets by geographical area was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w w:val="89"/>
              </w:rPr>
              <w:t>November 30,</w:t>
            </w: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Arial" w:cs="Arial" w:eastAsia="Arial" w:hAnsi="Arial"/>
                <w:sz w:val="17"/>
                <w:szCs w:val="17"/>
                <w:b w:val="1"/>
                <w:bCs w:val="1"/>
                <w:color w:val="auto"/>
              </w:rPr>
              <w:t>May 31,</w:t>
            </w: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gridSpan w:val="3"/>
          </w:tcPr>
          <w:p>
            <w:pPr>
              <w:spacing w:after="0"/>
              <w:rPr>
                <w:sz w:val="16"/>
                <w:szCs w:val="16"/>
                <w:color w:val="auto"/>
              </w:rPr>
            </w:pPr>
          </w:p>
        </w:tc>
        <w:tc>
          <w:tcPr>
            <w:tcW w:w="360" w:type="dxa"/>
            <w:vAlign w:val="bottom"/>
            <w:tcBorders>
              <w:top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2005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6"/>
          </w:tcPr>
          <w:p>
            <w:pPr>
              <w:jc w:val="right"/>
              <w:ind w:right="65"/>
              <w:spacing w:after="0"/>
              <w:rPr>
                <w:sz w:val="20"/>
                <w:szCs w:val="20"/>
                <w:color w:val="auto"/>
              </w:rPr>
            </w:pPr>
            <w:r>
              <w:rPr>
                <w:rFonts w:ascii="Arial" w:cs="Arial" w:eastAsia="Arial" w:hAnsi="Arial"/>
                <w:sz w:val="17"/>
                <w:szCs w:val="17"/>
                <w:b w:val="1"/>
                <w:bCs w:val="1"/>
                <w:color w:val="auto"/>
                <w:w w:val="90"/>
              </w:rPr>
              <w:t>(in thousands)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104,480</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109,596</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Europe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72,706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79,878</w:t>
            </w: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171,346</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spacing w:after="0"/>
              <w:rPr>
                <w:sz w:val="20"/>
                <w:szCs w:val="20"/>
                <w:color w:val="auto"/>
              </w:rPr>
            </w:pP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153,577</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the World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6,340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4,502</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220" w:type="dxa"/>
            <w:vAlign w:val="bottom"/>
            <w:shd w:val="clear" w:color="auto" w:fill="E2EEF6"/>
          </w:tcPr>
          <w:p>
            <w:pPr>
              <w:spacing w:after="0"/>
              <w:rPr>
                <w:sz w:val="24"/>
                <w:szCs w:val="24"/>
                <w:color w:val="auto"/>
              </w:rPr>
            </w:pPr>
          </w:p>
        </w:tc>
        <w:tc>
          <w:tcPr>
            <w:tcW w:w="48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00" w:type="dxa"/>
            <w:vAlign w:val="bottom"/>
            <w:tcBorders>
              <w:left w:val="single" w:sz="8" w:color="E2EEF6"/>
            </w:tcBorders>
            <w:shd w:val="clear" w:color="auto" w:fill="E2EEF6"/>
          </w:tcPr>
          <w:p>
            <w:pPr>
              <w:spacing w:after="0"/>
              <w:rPr>
                <w:sz w:val="24"/>
                <w:szCs w:val="24"/>
                <w:color w:val="auto"/>
              </w:rPr>
            </w:pPr>
          </w:p>
        </w:tc>
        <w:tc>
          <w:tcPr>
            <w:tcW w:w="220" w:type="dxa"/>
            <w:vAlign w:val="bottom"/>
            <w:tcBorders>
              <w:right w:val="single" w:sz="8" w:color="E2EEF6"/>
            </w:tcBorders>
            <w:shd w:val="clear" w:color="auto" w:fill="E2EEF6"/>
          </w:tcPr>
          <w:p>
            <w:pPr>
              <w:spacing w:after="0"/>
              <w:rPr>
                <w:sz w:val="24"/>
                <w:szCs w:val="24"/>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354,872</w:t>
            </w:r>
          </w:p>
        </w:tc>
        <w:tc>
          <w:tcPr>
            <w:tcW w:w="160" w:type="dxa"/>
            <w:vAlign w:val="bottom"/>
            <w:tcBorders>
              <w:left w:val="single" w:sz="8" w:color="E2EEF6"/>
            </w:tcBorders>
            <w:shd w:val="clear" w:color="auto" w:fill="E2EEF6"/>
          </w:tcPr>
          <w:p>
            <w:pPr>
              <w:spacing w:after="0"/>
              <w:rPr>
                <w:sz w:val="24"/>
                <w:szCs w:val="24"/>
                <w:color w:val="auto"/>
              </w:rPr>
            </w:pP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347,553</w:t>
            </w:r>
          </w:p>
        </w:tc>
      </w:tr>
      <w:tr>
        <w:trPr>
          <w:trHeight w:val="445"/>
        </w:trPr>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3"/>
              </w:rPr>
              <w:t>j) The distribution of total assets by business segment was as follows:</w:t>
            </w: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42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w w:val="89"/>
              </w:rPr>
              <w:t>November 30,</w:t>
            </w: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Arial" w:cs="Arial" w:eastAsia="Arial" w:hAnsi="Arial"/>
                <w:sz w:val="17"/>
                <w:szCs w:val="17"/>
                <w:b w:val="1"/>
                <w:bCs w:val="1"/>
                <w:color w:val="auto"/>
              </w:rPr>
              <w:t>May 31,</w:t>
            </w: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gridSpan w:val="3"/>
          </w:tcPr>
          <w:p>
            <w:pPr>
              <w:spacing w:after="0"/>
              <w:rPr>
                <w:sz w:val="16"/>
                <w:szCs w:val="16"/>
                <w:color w:val="auto"/>
              </w:rPr>
            </w:pPr>
          </w:p>
        </w:tc>
        <w:tc>
          <w:tcPr>
            <w:tcW w:w="360" w:type="dxa"/>
            <w:vAlign w:val="bottom"/>
            <w:tcBorders>
              <w:top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2005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6"/>
          </w:tcPr>
          <w:p>
            <w:pPr>
              <w:jc w:val="right"/>
              <w:ind w:right="65"/>
              <w:spacing w:after="0"/>
              <w:rPr>
                <w:sz w:val="20"/>
                <w:szCs w:val="20"/>
                <w:color w:val="auto"/>
              </w:rPr>
            </w:pPr>
            <w:r>
              <w:rPr>
                <w:rFonts w:ascii="Arial" w:cs="Arial" w:eastAsia="Arial" w:hAnsi="Arial"/>
                <w:sz w:val="17"/>
                <w:szCs w:val="17"/>
                <w:b w:val="1"/>
                <w:bCs w:val="1"/>
                <w:color w:val="auto"/>
                <w:w w:val="90"/>
              </w:rPr>
              <w:t>(in thousands)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20,561</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18,083</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Clinical research</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334,311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329,470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220" w:type="dxa"/>
            <w:vAlign w:val="bottom"/>
            <w:shd w:val="clear" w:color="auto" w:fill="E2EEF6"/>
          </w:tcPr>
          <w:p>
            <w:pPr>
              <w:spacing w:after="0"/>
              <w:rPr>
                <w:sz w:val="24"/>
                <w:szCs w:val="24"/>
                <w:color w:val="auto"/>
              </w:rPr>
            </w:pPr>
          </w:p>
        </w:tc>
        <w:tc>
          <w:tcPr>
            <w:tcW w:w="48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00" w:type="dxa"/>
            <w:vAlign w:val="bottom"/>
            <w:tcBorders>
              <w:left w:val="single" w:sz="8" w:color="E2EEF6"/>
            </w:tcBorders>
            <w:shd w:val="clear" w:color="auto" w:fill="E2EEF6"/>
          </w:tcPr>
          <w:p>
            <w:pPr>
              <w:spacing w:after="0"/>
              <w:rPr>
                <w:sz w:val="24"/>
                <w:szCs w:val="24"/>
                <w:color w:val="auto"/>
              </w:rPr>
            </w:pPr>
          </w:p>
        </w:tc>
        <w:tc>
          <w:tcPr>
            <w:tcW w:w="220" w:type="dxa"/>
            <w:vAlign w:val="bottom"/>
            <w:tcBorders>
              <w:right w:val="single" w:sz="8" w:color="E2EEF6"/>
            </w:tcBorders>
            <w:shd w:val="clear" w:color="auto" w:fill="E2EEF6"/>
          </w:tcPr>
          <w:p>
            <w:pPr>
              <w:spacing w:after="0"/>
              <w:rPr>
                <w:sz w:val="24"/>
                <w:szCs w:val="24"/>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354,872</w:t>
            </w:r>
          </w:p>
        </w:tc>
        <w:tc>
          <w:tcPr>
            <w:tcW w:w="160" w:type="dxa"/>
            <w:vAlign w:val="bottom"/>
            <w:tcBorders>
              <w:left w:val="single" w:sz="8" w:color="E2EEF6"/>
            </w:tcBorders>
            <w:shd w:val="clear" w:color="auto" w:fill="E2EEF6"/>
          </w:tcPr>
          <w:p>
            <w:pPr>
              <w:spacing w:after="0"/>
              <w:rPr>
                <w:sz w:val="24"/>
                <w:szCs w:val="24"/>
                <w:color w:val="auto"/>
              </w:rPr>
            </w:pP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347,553</w:t>
            </w:r>
          </w:p>
        </w:tc>
      </w:tr>
      <w:tr>
        <w:trPr>
          <w:trHeight w:val="627"/>
        </w:trPr>
        <w:tc>
          <w:tcPr>
            <w:tcW w:w="4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99"/>
        </w:trPr>
        <w:tc>
          <w:tcPr>
            <w:tcW w:w="4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ICON plc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7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fiscal year ended May 31, 2005. The Consolidated Financial Statements have been prepared in accordance with accounting principles generally accepted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3,000 employees worldwide, with operations in 39 locations in 25 countries including the United States and major markets in Europe and Rest of World and have managed clinical trials in over 55 countries. For the six months ended November 30, 2005, we derived approximately 57.1%, 35.2%, and 7.7% of our net revenue in the United States, Europe and Rest of World, respectively.</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3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3" w:name="page14"/>
    <w:bookmarkEnd w:id="13"/>
    <w:p>
      <w:pPr>
        <w:jc w:val="both"/>
        <w:spacing w:after="0" w:line="274"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thirteen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Hong Kong dollar, Mexican Peso, Brazilian Real, Thai Baht and Chinese Yuan Renminbi.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2005, we have received $2,418,697 and $1,797,739 under the capital grants and operating grants, respectively. Pursuant to the terms of the grant agreements, we are restricted from distributing some of these amounts by way of dividend or otherwise.</w:t>
      </w:r>
    </w:p>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November 30, 2005 Compared with Three Months Ended November 30, 2004</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2"/>
              </w:rPr>
              <w:t>Three Months Ended</w:t>
            </w:r>
          </w:p>
        </w:tc>
        <w:tc>
          <w:tcPr>
            <w:tcW w:w="180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46"/>
        </w:trPr>
        <w:tc>
          <w:tcPr>
            <w:tcW w:w="4920" w:type="dxa"/>
            <w:vAlign w:val="bottom"/>
          </w:tcPr>
          <w:p>
            <w:pPr>
              <w:spacing w:after="0"/>
              <w:rPr>
                <w:sz w:val="24"/>
                <w:szCs w:val="24"/>
                <w:color w:val="auto"/>
              </w:rPr>
            </w:pPr>
          </w:p>
        </w:tc>
        <w:tc>
          <w:tcPr>
            <w:tcW w:w="1700" w:type="dxa"/>
            <w:vAlign w:val="bottom"/>
            <w:gridSpan w:val="5"/>
          </w:tcPr>
          <w:p>
            <w:pPr>
              <w:jc w:val="center"/>
              <w:ind w:right="680"/>
              <w:spacing w:after="0"/>
              <w:rPr>
                <w:sz w:val="20"/>
                <w:szCs w:val="20"/>
                <w:color w:val="auto"/>
              </w:rPr>
            </w:pPr>
            <w:r>
              <w:rPr>
                <w:rFonts w:ascii="Arial" w:cs="Arial" w:eastAsia="Arial" w:hAnsi="Arial"/>
                <w:sz w:val="17"/>
                <w:szCs w:val="17"/>
                <w:b w:val="1"/>
                <w:bCs w:val="1"/>
                <w:color w:val="auto"/>
                <w:w w:val="91"/>
              </w:rPr>
              <w:t>November 30,</w:t>
            </w:r>
          </w:p>
        </w:tc>
        <w:tc>
          <w:tcPr>
            <w:tcW w:w="212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91"/>
              </w:rPr>
              <w:t>November 30,</w:t>
            </w:r>
          </w:p>
        </w:tc>
        <w:tc>
          <w:tcPr>
            <w:tcW w:w="2080" w:type="dxa"/>
            <w:vAlign w:val="bottom"/>
            <w:gridSpan w:val="6"/>
          </w:tcPr>
          <w:p>
            <w:pPr>
              <w:jc w:val="center"/>
              <w:ind w:left="1454"/>
              <w:spacing w:after="0"/>
              <w:rPr>
                <w:sz w:val="20"/>
                <w:szCs w:val="20"/>
                <w:color w:val="auto"/>
              </w:rPr>
            </w:pPr>
            <w:r>
              <w:rPr>
                <w:rFonts w:ascii="Arial" w:cs="Arial" w:eastAsia="Arial" w:hAnsi="Arial"/>
                <w:sz w:val="17"/>
                <w:szCs w:val="17"/>
                <w:b w:val="1"/>
                <w:bCs w:val="1"/>
                <w:color w:val="auto"/>
                <w:w w:val="89"/>
              </w:rPr>
              <w:t>2004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7"/>
          </w:tcPr>
          <w:p>
            <w:pPr>
              <w:jc w:val="center"/>
              <w:ind w:right="460"/>
              <w:spacing w:after="0"/>
              <w:rPr>
                <w:sz w:val="20"/>
                <w:szCs w:val="20"/>
                <w:color w:val="auto"/>
              </w:rPr>
            </w:pPr>
            <w:r>
              <w:rPr>
                <w:rFonts w:ascii="Arial" w:cs="Arial" w:eastAsia="Arial" w:hAnsi="Arial"/>
                <w:sz w:val="17"/>
                <w:szCs w:val="17"/>
                <w:b w:val="1"/>
                <w:bCs w:val="1"/>
                <w:color w:val="auto"/>
                <w:w w:val="92"/>
              </w:rPr>
              <w:t>to 2005</w:t>
            </w: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460" w:type="dxa"/>
            <w:vAlign w:val="bottom"/>
            <w:gridSpan w:val="2"/>
          </w:tcPr>
          <w:p>
            <w:pPr>
              <w:spacing w:after="0"/>
              <w:rPr>
                <w:sz w:val="18"/>
                <w:szCs w:val="18"/>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9"/>
          </w:tcPr>
          <w:p>
            <w:pPr>
              <w:spacing w:after="0"/>
              <w:rPr>
                <w:sz w:val="20"/>
                <w:szCs w:val="20"/>
                <w:color w:val="auto"/>
              </w:rPr>
            </w:pPr>
            <w:r>
              <w:rPr>
                <w:rFonts w:ascii="Arial" w:cs="Arial" w:eastAsia="Arial" w:hAnsi="Arial"/>
                <w:sz w:val="17"/>
                <w:szCs w:val="17"/>
                <w:b w:val="1"/>
                <w:bCs w:val="1"/>
                <w:color w:val="auto"/>
              </w:rPr>
              <w:t>Percentage of Net Revenue</w:t>
            </w:r>
          </w:p>
        </w:tc>
        <w:tc>
          <w:tcPr>
            <w:tcW w:w="2680" w:type="dxa"/>
            <w:vAlign w:val="bottom"/>
            <w:gridSpan w:val="9"/>
          </w:tcPr>
          <w:p>
            <w:pPr>
              <w:jc w:val="center"/>
              <w:ind w:left="854"/>
              <w:spacing w:after="0"/>
              <w:rPr>
                <w:sz w:val="20"/>
                <w:szCs w:val="20"/>
                <w:color w:val="auto"/>
              </w:rPr>
            </w:pPr>
            <w:r>
              <w:rPr>
                <w:rFonts w:ascii="Arial" w:cs="Arial" w:eastAsia="Arial" w:hAnsi="Arial"/>
                <w:sz w:val="17"/>
                <w:szCs w:val="17"/>
                <w:b w:val="1"/>
                <w:bCs w:val="1"/>
                <w:color w:val="auto"/>
                <w:w w:val="89"/>
              </w:rPr>
              <w:t>Increase/(decrease)</w:t>
            </w:r>
          </w:p>
        </w:tc>
      </w:tr>
      <w:tr>
        <w:trPr>
          <w:trHeight w:val="277"/>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100.0%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0"/>
              </w:rPr>
              <w:t>100.0%</w:t>
            </w:r>
          </w:p>
        </w:tc>
        <w:tc>
          <w:tcPr>
            <w:tcW w:w="1100" w:type="dxa"/>
            <w:vAlign w:val="bottom"/>
            <w:shd w:val="clear" w:color="auto" w:fill="E2EEF6"/>
          </w:tcPr>
          <w:p>
            <w:pPr>
              <w:spacing w:after="0"/>
              <w:rPr>
                <w:sz w:val="22"/>
                <w:szCs w:val="22"/>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10.8%</w:t>
            </w:r>
          </w:p>
        </w:tc>
        <w:tc>
          <w:tcPr>
            <w:tcW w:w="30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7"/>
                <w:szCs w:val="17"/>
                <w:color w:val="auto"/>
              </w:rPr>
              <w:t>Costs and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Direct costs</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55.3%</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1"/>
              </w:rPr>
              <w:t>54.9%</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11.6%</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gridSpan w:val="5"/>
          </w:tcPr>
          <w:p>
            <w:pPr>
              <w:jc w:val="right"/>
              <w:ind w:right="360"/>
              <w:spacing w:after="0"/>
              <w:rPr>
                <w:sz w:val="20"/>
                <w:szCs w:val="20"/>
                <w:color w:val="auto"/>
              </w:rPr>
            </w:pPr>
            <w:r>
              <w:rPr>
                <w:rFonts w:ascii="Arial" w:cs="Arial" w:eastAsia="Arial" w:hAnsi="Arial"/>
                <w:sz w:val="17"/>
                <w:szCs w:val="17"/>
                <w:color w:val="auto"/>
              </w:rPr>
              <w:t>30.5%</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32.1%</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5.1%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4.0%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2"/>
              </w:rPr>
              <w:t>4.2%</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2"/>
              </w:rPr>
              <w:t>6.5%</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700" w:type="dxa"/>
            <w:vAlign w:val="bottom"/>
            <w:gridSpan w:val="5"/>
          </w:tcPr>
          <w:p>
            <w:pPr>
              <w:jc w:val="right"/>
              <w:ind w:right="360"/>
              <w:spacing w:after="0"/>
              <w:rPr>
                <w:sz w:val="20"/>
                <w:szCs w:val="20"/>
                <w:color w:val="auto"/>
              </w:rPr>
            </w:pPr>
            <w:r>
              <w:rPr>
                <w:rFonts w:ascii="Arial" w:cs="Arial" w:eastAsia="Arial" w:hAnsi="Arial"/>
                <w:sz w:val="17"/>
                <w:szCs w:val="17"/>
                <w:color w:val="auto"/>
              </w:rPr>
              <w:t>10.2%</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2"/>
              </w:rPr>
              <w:t>8.8%</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1"/>
              </w:rPr>
              <w:t>28.7%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4920" w:type="dxa"/>
            <w:vAlign w:val="bottom"/>
            <w:shd w:val="clear" w:color="auto" w:fill="E2EEF6"/>
          </w:tcPr>
          <w:p>
            <w:pPr>
              <w:spacing w:after="0"/>
              <w:rPr>
                <w:sz w:val="20"/>
                <w:szCs w:val="20"/>
                <w:color w:val="auto"/>
              </w:rPr>
            </w:pPr>
          </w:p>
        </w:tc>
        <w:tc>
          <w:tcPr>
            <w:tcW w:w="360" w:type="dxa"/>
            <w:vAlign w:val="bottom"/>
            <w:tcBorders>
              <w:right w:val="single" w:sz="8" w:color="E2EEF6"/>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68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40" w:type="dxa"/>
            <w:vAlign w:val="bottom"/>
            <w:tcBorders>
              <w:right w:val="single" w:sz="8" w:color="E2EEF6"/>
            </w:tcBorders>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r>
    </w:tbl>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revenue increased by $8.6 million, or 10.8%, from $79.5 million to $88.1 million. This improvement arose through a combination of increased business from existing clients and business won from new clients. Revenues in the United States, Europe and the Rest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6"/>
          <w:szCs w:val="16"/>
          <w:color w:val="auto"/>
        </w:rPr>
        <w:t>World grew by 12.1%, (0.2)% and 70.5% respectively. In the three months ended November 30, 2005, net revenue from our central laboratory business increased by 24.8% from $6.5 million to $8.1 million, while our clinical research segment grew by 9.5% from $73.0 million to $80.0 million over the comparable period. The increase in net revenue in our central laboratory segment is primarily due to higher testing volumes in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increased by $5.0 million, or 11.6%, from $43.7 million to $48.7 million, primarily due to increased staff numbers needed to support increased project related activity. Direct costs as a percentage of net revenue increased from 54.9% in the three months to November 30, 2004 to 55.3% in the three months to November 30, 2005.</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Selling, general and administrative expenses increased by $1.3 million, or 5.1%, from $25.5 million to $26.8 million. This increase is due to the continued expansion of our operations. As a percentage of net revenue, selling, general and administrative expenses, decreased from 32.1% in the three months ended November 30, 2004, to 30.5% in the three months ended November 30, 2005.</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and amortization expense increased by $0.2 million, or 6.5%, from $3.3 million to $3.5million. This increase is due to the continued investment in facilities and information technology to support the growth in activity and in providing for future capacity. As a percentage of net revenue, depreciation and amortization decreased from 4.2% in the three months ended November 30, 2004 to 4.0% in the three months ended November 30, 2005.</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Income from operations increased by $2.0 million, or 28.7%, from $7.0 million to $9.0 million. As a percentage of net revenue, income from operations increased from 8.8% for the three months to November 30, 2004 to 10.2% of net revenues for the three months ended November 30, 2005. As a percentage of net revenue, losses from operations for the central laboratory decreased from 29.3% for the second quarter of fiscal 2005, to 14.8% for the second quarter of fiscal 2006 due to the efficiencies gained in the higher testing volumes in fiscal 2006. The central laboratory constitutes approximately 9% of our business revenues. Operating margins for our clinical research segment increased from 12.2% in the three months ended November 30, 2004, to 12.8% for the three months ended November 30, 2005.</w:t>
      </w:r>
    </w:p>
    <w:p>
      <w:pPr>
        <w:spacing w:after="0" w:line="201"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Net interest income for the three months ended November 30, 2005 was $0.6 million, an increase of $0.4 million over the amount of net interest income for the three months ended November 30, 2004. Higher average level of funds invested and higher interest rates over fiscal 2005 contributed to the increased interest income.</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ICON's effective tax rate for the three months ended November 30, 2005 was 27.2% compared with 18.2% for the comparable period last year. The increase in the effective rate was primarily due to a change in the geographic distribution of pre-tax earnings.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November 30, 2005 Compared with Six Months Ended November 30, 2004</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86"/>
              </w:rPr>
              <w:t>Six Months Ended</w:t>
            </w:r>
          </w:p>
        </w:tc>
        <w:tc>
          <w:tcPr>
            <w:tcW w:w="184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46"/>
        </w:trPr>
        <w:tc>
          <w:tcPr>
            <w:tcW w:w="4920" w:type="dxa"/>
            <w:vAlign w:val="bottom"/>
          </w:tcPr>
          <w:p>
            <w:pPr>
              <w:spacing w:after="0"/>
              <w:rPr>
                <w:sz w:val="24"/>
                <w:szCs w:val="24"/>
                <w:color w:val="auto"/>
              </w:rPr>
            </w:pPr>
          </w:p>
        </w:tc>
        <w:tc>
          <w:tcPr>
            <w:tcW w:w="1700" w:type="dxa"/>
            <w:vAlign w:val="bottom"/>
            <w:gridSpan w:val="4"/>
          </w:tcPr>
          <w:p>
            <w:pPr>
              <w:jc w:val="center"/>
              <w:ind w:right="680"/>
              <w:spacing w:after="0"/>
              <w:rPr>
                <w:sz w:val="20"/>
                <w:szCs w:val="20"/>
                <w:color w:val="auto"/>
              </w:rPr>
            </w:pPr>
            <w:r>
              <w:rPr>
                <w:rFonts w:ascii="Arial" w:cs="Arial" w:eastAsia="Arial" w:hAnsi="Arial"/>
                <w:sz w:val="17"/>
                <w:szCs w:val="17"/>
                <w:b w:val="1"/>
                <w:bCs w:val="1"/>
                <w:color w:val="auto"/>
                <w:w w:val="91"/>
              </w:rPr>
              <w:t>November 30,</w:t>
            </w:r>
          </w:p>
        </w:tc>
        <w:tc>
          <w:tcPr>
            <w:tcW w:w="212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91"/>
              </w:rPr>
              <w:t>November 30,</w:t>
            </w:r>
          </w:p>
        </w:tc>
        <w:tc>
          <w:tcPr>
            <w:tcW w:w="2080" w:type="dxa"/>
            <w:vAlign w:val="bottom"/>
            <w:gridSpan w:val="6"/>
          </w:tcPr>
          <w:p>
            <w:pPr>
              <w:jc w:val="center"/>
              <w:ind w:left="1454"/>
              <w:spacing w:after="0"/>
              <w:rPr>
                <w:sz w:val="20"/>
                <w:szCs w:val="20"/>
                <w:color w:val="auto"/>
              </w:rPr>
            </w:pPr>
            <w:r>
              <w:rPr>
                <w:rFonts w:ascii="Arial" w:cs="Arial" w:eastAsia="Arial" w:hAnsi="Arial"/>
                <w:sz w:val="17"/>
                <w:szCs w:val="17"/>
                <w:b w:val="1"/>
                <w:bCs w:val="1"/>
                <w:color w:val="auto"/>
                <w:w w:val="89"/>
              </w:rPr>
              <w:t>2004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7"/>
          </w:tcPr>
          <w:p>
            <w:pPr>
              <w:jc w:val="center"/>
              <w:ind w:right="460"/>
              <w:spacing w:after="0"/>
              <w:rPr>
                <w:sz w:val="20"/>
                <w:szCs w:val="20"/>
                <w:color w:val="auto"/>
              </w:rPr>
            </w:pPr>
            <w:r>
              <w:rPr>
                <w:rFonts w:ascii="Arial" w:cs="Arial" w:eastAsia="Arial" w:hAnsi="Arial"/>
                <w:sz w:val="17"/>
                <w:szCs w:val="17"/>
                <w:b w:val="1"/>
                <w:bCs w:val="1"/>
                <w:color w:val="auto"/>
                <w:w w:val="92"/>
              </w:rPr>
              <w:t>to 2005</w:t>
            </w: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460" w:type="dxa"/>
            <w:vAlign w:val="bottom"/>
            <w:gridSpan w:val="2"/>
          </w:tcPr>
          <w:p>
            <w:pPr>
              <w:spacing w:after="0"/>
              <w:rPr>
                <w:sz w:val="18"/>
                <w:szCs w:val="18"/>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8"/>
          </w:tcPr>
          <w:p>
            <w:pPr>
              <w:spacing w:after="0"/>
              <w:rPr>
                <w:sz w:val="20"/>
                <w:szCs w:val="20"/>
                <w:color w:val="auto"/>
              </w:rPr>
            </w:pPr>
            <w:r>
              <w:rPr>
                <w:rFonts w:ascii="Arial" w:cs="Arial" w:eastAsia="Arial" w:hAnsi="Arial"/>
                <w:sz w:val="17"/>
                <w:szCs w:val="17"/>
                <w:b w:val="1"/>
                <w:bCs w:val="1"/>
                <w:color w:val="auto"/>
              </w:rPr>
              <w:t>Percentage of Net Revenue</w:t>
            </w:r>
          </w:p>
        </w:tc>
        <w:tc>
          <w:tcPr>
            <w:tcW w:w="2680" w:type="dxa"/>
            <w:vAlign w:val="bottom"/>
            <w:gridSpan w:val="9"/>
          </w:tcPr>
          <w:p>
            <w:pPr>
              <w:jc w:val="center"/>
              <w:ind w:left="854"/>
              <w:spacing w:after="0"/>
              <w:rPr>
                <w:sz w:val="20"/>
                <w:szCs w:val="20"/>
                <w:color w:val="auto"/>
              </w:rPr>
            </w:pPr>
            <w:r>
              <w:rPr>
                <w:rFonts w:ascii="Arial" w:cs="Arial" w:eastAsia="Arial" w:hAnsi="Arial"/>
                <w:sz w:val="17"/>
                <w:szCs w:val="17"/>
                <w:b w:val="1"/>
                <w:bCs w:val="1"/>
                <w:color w:val="auto"/>
                <w:w w:val="89"/>
              </w:rPr>
              <w:t>Increase/(decrease)</w:t>
            </w:r>
          </w:p>
        </w:tc>
      </w:tr>
      <w:tr>
        <w:trPr>
          <w:trHeight w:val="536"/>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100.0%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0"/>
              </w:rPr>
              <w:t>100.0%</w:t>
            </w:r>
          </w:p>
        </w:tc>
        <w:tc>
          <w:tcPr>
            <w:tcW w:w="1100" w:type="dxa"/>
            <w:vAlign w:val="bottom"/>
            <w:shd w:val="clear" w:color="auto" w:fill="E2EEF6"/>
          </w:tcPr>
          <w:p>
            <w:pPr>
              <w:spacing w:after="0"/>
              <w:rPr>
                <w:sz w:val="22"/>
                <w:szCs w:val="22"/>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10.2%</w:t>
            </w:r>
          </w:p>
        </w:tc>
        <w:tc>
          <w:tcPr>
            <w:tcW w:w="30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7"/>
                <w:szCs w:val="17"/>
                <w:color w:val="auto"/>
              </w:rPr>
              <w:t>Costs and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Direct costs</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55.2%</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1"/>
              </w:rPr>
              <w:t>54.6%</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11.5%</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gridSpan w:val="4"/>
          </w:tcPr>
          <w:p>
            <w:pPr>
              <w:jc w:val="right"/>
              <w:ind w:right="360"/>
              <w:spacing w:after="0"/>
              <w:rPr>
                <w:sz w:val="20"/>
                <w:szCs w:val="20"/>
                <w:color w:val="auto"/>
              </w:rPr>
            </w:pPr>
            <w:r>
              <w:rPr>
                <w:rFonts w:ascii="Arial" w:cs="Arial" w:eastAsia="Arial" w:hAnsi="Arial"/>
                <w:sz w:val="17"/>
                <w:szCs w:val="17"/>
                <w:color w:val="auto"/>
              </w:rPr>
              <w:t>30.8%</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31.0%</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9.8%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4.0%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2"/>
              </w:rPr>
              <w:t>4.0%</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2"/>
              </w:rPr>
              <w:t>9.2%</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46"/>
        </w:trPr>
        <w:tc>
          <w:tcPr>
            <w:tcW w:w="49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700" w:type="dxa"/>
            <w:vAlign w:val="bottom"/>
            <w:gridSpan w:val="4"/>
          </w:tcPr>
          <w:p>
            <w:pPr>
              <w:jc w:val="right"/>
              <w:ind w:right="360"/>
              <w:spacing w:after="0"/>
              <w:rPr>
                <w:sz w:val="20"/>
                <w:szCs w:val="20"/>
                <w:color w:val="auto"/>
              </w:rPr>
            </w:pPr>
            <w:r>
              <w:rPr>
                <w:rFonts w:ascii="Arial" w:cs="Arial" w:eastAsia="Arial" w:hAnsi="Arial"/>
                <w:sz w:val="17"/>
                <w:szCs w:val="17"/>
                <w:color w:val="auto"/>
              </w:rPr>
              <w:t>10.0%</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10.4%</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661"/>
        </w:trPr>
        <w:tc>
          <w:tcPr>
            <w:tcW w:w="4920" w:type="dxa"/>
            <w:vAlign w:val="bottom"/>
          </w:tcPr>
          <w:p>
            <w:pPr>
              <w:spacing w:after="0"/>
              <w:rPr>
                <w:sz w:val="24"/>
                <w:szCs w:val="24"/>
                <w:color w:val="auto"/>
              </w:rPr>
            </w:pPr>
          </w:p>
        </w:tc>
        <w:tc>
          <w:tcPr>
            <w:tcW w:w="1020" w:type="dxa"/>
            <w:vAlign w:val="bottom"/>
            <w:gridSpan w:val="3"/>
          </w:tcPr>
          <w:p>
            <w:pPr>
              <w:jc w:val="right"/>
              <w:ind w:right="74"/>
              <w:spacing w:after="0"/>
              <w:rPr>
                <w:sz w:val="20"/>
                <w:szCs w:val="20"/>
                <w:color w:val="auto"/>
              </w:rPr>
            </w:pPr>
            <w:r>
              <w:rPr>
                <w:rFonts w:ascii="Arial" w:cs="Arial" w:eastAsia="Arial" w:hAnsi="Arial"/>
                <w:sz w:val="14"/>
                <w:szCs w:val="14"/>
                <w:color w:val="auto"/>
              </w:rPr>
              <w:t>13</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9"/>
        </w:trPr>
        <w:tc>
          <w:tcPr>
            <w:tcW w:w="4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6"/>
          <w:szCs w:val="16"/>
          <w:color w:val="auto"/>
        </w:rPr>
        <w:t>Net revenue increased by $16.2 million, or 10.2%, from $157.8 million to $174.0 million. This improvement arose through a combination of increased business from existing clients, business won from new clients and revenues from acquisition not included in the comparative period. The additional revenues relating to the Beacon acquisition amounted to $0.6 million not included in the comparative period. Revenues in the United States, Europe and the Rest of World grew by 8.1%, 7.7% and 48.4% respectively. In the six months ended November 30, 2005, net revenue from our central laboratory business increased by 17.6% from $13.0 million to $15.3 million, while our clinical research segment grew by 9.6% from $144.8 million to $158.7 million over the comparable period. The increase in net revenue in our central laboratory segment is primarily due to higher testing volumes in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increased by $9.9 million, or 11.5%, from $86.1 million to $96.0 million, primarily due to increased staff numbers needed to support increased project related activity and increased costs arising from the Beacon acquisition amounting to $0.3 million. Direct costs as a percentage of net revenue increased from 54.6% in the six months to November 30, 2004 to 55.2% in the three months to November 30, 2005.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Selling, general and administrative expenses increased by $4.7 million, or 9.8%, from $48.9 million to $53.6 million. This increase is due to the continued expansion of our operations and additional selling, general and administrative costs of $0.2 million from the Beacon acquisition not included in the comparative period. As a percentage of net revenue, selling, general and administrative expenses, decreased from 31.0% in the six months ended November 30, 2004 to 30.8% in the six months ended November 30, 2005.</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Depreciation and amortization expense increased by $0.5 million, or 9.2%, from $6.4 million to $6.9 million. This increase is due to the continued investment in facilities and information technology to support the growth in activity and in providing for future capacity. As a percentage of net revenue, depreciation and amortization was unchanged at 4.0% in the six months ended November 30, 2005 over the comparative period in fiscal 2005.</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Income from operations increased by $0.9 million, or 5.4%, from $16.5 million to $17.4 million. As a percentage of net revenue, income from operations decreased from 10.4% for the six months to November 30, 2004 to 10.0% of net revenues for the six months ended November 30, 2005. As a percentage of net revenue losses from operations for the central laboratory decreased from 21.2% for the six months ended November 30, 2004, to 18.4% for the comparable period in 2005 due to the efficiencies gained in the higher testing volumes in fiscal 2006. The central laboratory constitutes approximately 9% of our business revenues. Operating margins for our clinical research segment decreased from 13.3% in the six months ended November 30, 2004 to 12.7% for the six months ended November 30, 2005.</w:t>
      </w:r>
    </w:p>
    <w:p>
      <w:pPr>
        <w:spacing w:after="0" w:line="20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Net interest income for the six months ended November 30, 2005 was $1.0 million, an increase of $0.7 million over the amount of net interest income for the six months ended November 30, 2004. Higher average level of funds invested and higher interest rates over fiscal 2005 contributed to the increased interest income.</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ICON's effective tax rate for the six months ended November 30, 2005 was 27.6% compared with 21.6% for the comparable period last year. The increase in the effective rate was primarily due to a change in the geographic distribution of pre-tax earnings.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November 30, 2004 and November 30, 2005 amounted to $92.7 million and $104.8 million, respectively. Investing activities primarily reflect capital expenditures for facilities and for information systems enhancements, the sale and purchase of short-term investments and acquisitions.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November 30, 2005, our working capital amounted to $133.4 million, compared to $125.3 million at May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67 days at November 30, 2005, compared to 70 days at August 31, 2005 and 63 days at May 31, 2005.</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cash provided by operating activities was $14.5 million in the six months ended November 30, 2005, compared to $2.0 million used in the six months ended November 30, 2004.</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cash used in investing activities was $18.2 million in the six months ended November 30, 2005, compared to $22.8 million in the six months ended November 30, 2004. The decrease in cash used in investing activities is due principally to the acquisition of Beacon in July 2004.</w:t>
      </w:r>
    </w:p>
    <w:p>
      <w:pPr>
        <w:spacing w:after="0" w:line="21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Net cash provided by financing activities was $4.8 million in the six months ended November 30, 2005, compared to $10.2 million in the six months ended November 30, 2004. This decrease is principally due to the funds drawdown from a bank overdraft in the first quarter of fiscal 2005 over the funds drawn in the comparable period in fiscal 06.</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As a result of these cash flows, cash and cash equivalents increased by less that $0.1 million in the six months ended November 30, 2005, compared to a decrease of $13.7 million in the six months ended November 30, 2004.</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November 30, 2005, the full amount of these facilities were available to be drawn down. ICON Clinical Research, Inc. (a subsidiary of ICON plc) is entitled to make borrowings under a revolving credit facility of $15 million. As at November 30, 2005, $12 million of this facility was available to be drawn down.</w:t>
      </w:r>
    </w:p>
    <w:p>
      <w:pPr>
        <w:spacing w:after="0" w:line="221" w:lineRule="exact"/>
        <w:rPr>
          <w:sz w:val="20"/>
          <w:szCs w:val="20"/>
          <w:color w:val="auto"/>
        </w:rPr>
      </w:pPr>
    </w:p>
    <w:p>
      <w:pPr>
        <w:ind w:right="440"/>
        <w:spacing w:after="0" w:line="316" w:lineRule="auto"/>
        <w:rPr>
          <w:sz w:val="20"/>
          <w:szCs w:val="20"/>
          <w:color w:val="auto"/>
        </w:rPr>
      </w:pPr>
      <w:r>
        <w:rPr>
          <w:rFonts w:ascii="Arial" w:cs="Arial" w:eastAsia="Arial" w:hAnsi="Arial"/>
          <w:sz w:val="16"/>
          <w:szCs w:val="16"/>
          <w:color w:val="auto"/>
        </w:rPr>
        <w:t>The Company entered into an overdraft agreement with Allied Irish Banks, plc (“AIB”) whereby the company guarantees any overdraft of its subsidiary ICON Clinical Research GmbH up to an amount €120,000 (U.S.$141,468). As November 30, 2005, the full facility was available to be drawn down.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effects of inflation generally do not have a material adverse impact on our operations or financial conditions.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New Accounting Pronouncements not yet adopted</w:t>
      </w:r>
    </w:p>
    <w:p>
      <w:pPr>
        <w:spacing w:after="0" w:line="27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March 2005, the Financial Accounting Standards Board (FASB) issued FASB Interpretation No. 47. In accordance with FASB Interpretation 47 companies must recognise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company does not expect the impacts of adopting FASB Interpretation No 47 to be material.</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year that begins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220"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216"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22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7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SIGNATURES</w:t>
      </w:r>
    </w:p>
    <w:p>
      <w:pPr>
        <w:spacing w:after="0" w:line="27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580"/>
        <w:spacing w:after="0"/>
        <w:rPr>
          <w:sz w:val="20"/>
          <w:szCs w:val="20"/>
          <w:color w:val="auto"/>
        </w:rPr>
      </w:pPr>
      <w:r>
        <w:rPr>
          <w:rFonts w:ascii="Arial" w:cs="Arial" w:eastAsia="Arial" w:hAnsi="Arial"/>
          <w:sz w:val="17"/>
          <w:szCs w:val="17"/>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20"/>
                <w:szCs w:val="20"/>
                <w:color w:val="auto"/>
              </w:rPr>
            </w:pPr>
            <w:r>
              <w:rPr>
                <w:rFonts w:ascii="Arial" w:cs="Arial" w:eastAsia="Arial" w:hAnsi="Arial"/>
                <w:sz w:val="17"/>
                <w:szCs w:val="17"/>
                <w:color w:val="auto"/>
              </w:rPr>
              <w:t>January 9, 2006</w:t>
            </w:r>
          </w:p>
        </w:tc>
        <w:tc>
          <w:tcPr>
            <w:tcW w:w="2500" w:type="dxa"/>
            <w:vAlign w:val="bottom"/>
          </w:tcPr>
          <w:p>
            <w:pPr>
              <w:spacing w:after="0"/>
              <w:rPr>
                <w:sz w:val="19"/>
                <w:szCs w:val="19"/>
                <w:color w:val="auto"/>
              </w:rPr>
            </w:pPr>
          </w:p>
        </w:tc>
      </w:tr>
      <w:tr>
        <w:trPr>
          <w:trHeight w:val="194"/>
        </w:trPr>
        <w:tc>
          <w:tcPr>
            <w:tcW w:w="7580" w:type="dxa"/>
            <w:vAlign w:val="bottom"/>
          </w:tcPr>
          <w:p>
            <w:pPr>
              <w:spacing w:after="0" w:line="194" w:lineRule="exact"/>
              <w:rPr>
                <w:sz w:val="20"/>
                <w:szCs w:val="20"/>
                <w:color w:val="auto"/>
              </w:rPr>
            </w:pPr>
            <w:r>
              <w:rPr>
                <w:rFonts w:ascii="Arial" w:cs="Arial" w:eastAsia="Arial" w:hAnsi="Arial"/>
                <w:sz w:val="17"/>
                <w:szCs w:val="17"/>
                <w:color w:val="auto"/>
              </w:rPr>
              <w:t>____________________________</w:t>
            </w:r>
          </w:p>
        </w:tc>
        <w:tc>
          <w:tcPr>
            <w:tcW w:w="25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/s/ Ciaran Murray</w:t>
            </w:r>
          </w:p>
        </w:tc>
      </w:tr>
      <w:tr>
        <w:trPr>
          <w:trHeight w:val="226"/>
        </w:trPr>
        <w:tc>
          <w:tcPr>
            <w:tcW w:w="7580" w:type="dxa"/>
            <w:vAlign w:val="bottom"/>
          </w:tcPr>
          <w:p>
            <w:pPr>
              <w:spacing w:after="0"/>
              <w:rPr>
                <w:sz w:val="20"/>
                <w:szCs w:val="20"/>
                <w:color w:val="auto"/>
              </w:rPr>
            </w:pPr>
            <w:r>
              <w:rPr>
                <w:rFonts w:ascii="Arial" w:cs="Arial" w:eastAsia="Arial" w:hAnsi="Arial"/>
                <w:sz w:val="17"/>
                <w:szCs w:val="17"/>
                <w:color w:val="auto"/>
              </w:rPr>
              <w:t>Date</w:t>
            </w:r>
          </w:p>
        </w:tc>
        <w:tc>
          <w:tcPr>
            <w:tcW w:w="2500" w:type="dxa"/>
            <w:vAlign w:val="bottom"/>
          </w:tcPr>
          <w:p>
            <w:pPr>
              <w:spacing w:after="0"/>
              <w:rPr>
                <w:sz w:val="20"/>
                <w:szCs w:val="20"/>
                <w:color w:val="auto"/>
              </w:rPr>
            </w:pPr>
            <w:r>
              <w:rPr>
                <w:rFonts w:ascii="Arial" w:cs="Arial" w:eastAsia="Arial" w:hAnsi="Arial"/>
                <w:sz w:val="17"/>
                <w:szCs w:val="17"/>
                <w:color w:val="auto"/>
              </w:rPr>
              <w:t>Ciaran Murray</w:t>
            </w:r>
          </w:p>
        </w:tc>
      </w:tr>
      <w:tr>
        <w:trPr>
          <w:trHeight w:val="220"/>
        </w:trPr>
        <w:tc>
          <w:tcPr>
            <w:tcW w:w="758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sectPr>
      <w:pgSz w:w="11900" w:h="16838" w:orient="portrait"/>
      <w:cols w:equalWidth="0" w:num="1">
        <w:col w:w="11420"/>
      </w:cols>
      <w:pgMar w:left="240" w:top="3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2019-12-14T20:52:12Z</dcterms:created>
  <dcterms:modified xsi:type="dcterms:W3CDTF">2019-12-14T20:52:12Z</dcterms:modified>
</cp:coreProperties>
</file>