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D.C.20549</w:t>
      </w:r>
    </w:p>
    <w:p>
      <w:pPr>
        <w:spacing w:after="0" w:line="7"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____________</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20-F</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___</w:t>
      </w:r>
      <w:r>
        <w:rPr>
          <w:rFonts w:ascii="Arial" w:cs="Arial" w:eastAsia="Arial" w:hAnsi="Arial"/>
          <w:sz w:val="16"/>
          <w:szCs w:val="16"/>
          <w:b w:val="1"/>
          <w:bCs w:val="1"/>
          <w:color w:val="auto"/>
        </w:rPr>
        <w:t xml:space="preserve"> Registration statement pursuant to Section 12(b) or (g)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_X_</w:t>
      </w:r>
      <w:r>
        <w:rPr>
          <w:rFonts w:ascii="Arial" w:cs="Arial" w:eastAsia="Arial" w:hAnsi="Arial"/>
          <w:sz w:val="17"/>
          <w:szCs w:val="17"/>
          <w:b w:val="1"/>
          <w:bCs w:val="1"/>
          <w:color w:val="auto"/>
        </w:rPr>
        <w:t xml:space="preserve"> Annual report pursuant to Section 13 or 15 (d)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___</w:t>
      </w:r>
      <w:r>
        <w:rPr>
          <w:rFonts w:ascii="Arial" w:cs="Arial" w:eastAsia="Arial" w:hAnsi="Arial"/>
          <w:sz w:val="17"/>
          <w:szCs w:val="17"/>
          <w:b w:val="1"/>
          <w:bCs w:val="1"/>
          <w:color w:val="auto"/>
        </w:rPr>
        <w:t xml:space="preserve"> Transition report pursuant to Section 13 or 15(d) of the Securities Exchange Act of 1934.</w:t>
      </w:r>
    </w:p>
    <w:p>
      <w:pPr>
        <w:spacing w:after="0" w:line="21" w:lineRule="exact"/>
        <w:rPr>
          <w:sz w:val="24"/>
          <w:szCs w:val="24"/>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000-29714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PUBLIC LIMITED COMPANY</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8"/>
          <w:szCs w:val="18"/>
          <w:u w:val="single" w:color="auto"/>
          <w:color w:val="auto"/>
        </w:rPr>
        <w:t>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Ireland</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(Jurisdiction of Incorporation or Organization)</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COUNTY BUSINESS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LEOPARDSTOWN,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DUBLIN 18, IRELAND</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u w:val="single" w:color="auto"/>
          <w:color w:val="auto"/>
        </w:rPr>
        <w:t>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Ciaran Murray, CFO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County Business Park Leopardstown, Dublin 18, Ireland.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Ciaran.Murray@iconplc.com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011-353-1-291-2000</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u w:val="single" w:color="auto"/>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or to be registered pursuant to Section 12(b) of the Act:</w:t>
      </w:r>
    </w:p>
    <w:p>
      <w:pPr>
        <w:sectPr>
          <w:pgSz w:w="11900" w:h="16838" w:orient="portrait"/>
          <w:cols w:equalWidth="0" w:num="1">
            <w:col w:w="11400"/>
          </w:cols>
          <w:pgMar w:left="240" w:top="215" w:right="259" w:bottom="1440" w:gutter="0" w:footer="0" w:header="0"/>
        </w:sectPr>
      </w:pPr>
    </w:p>
    <w:p>
      <w:pPr>
        <w:spacing w:after="0" w:line="238" w:lineRule="exact"/>
        <w:rPr>
          <w:sz w:val="24"/>
          <w:szCs w:val="24"/>
          <w:color w:val="auto"/>
        </w:rPr>
      </w:pPr>
    </w:p>
    <w:p>
      <w:pPr>
        <w:ind w:left="1440"/>
        <w:spacing w:after="0"/>
        <w:rPr>
          <w:sz w:val="20"/>
          <w:szCs w:val="20"/>
          <w:color w:val="auto"/>
        </w:rPr>
      </w:pPr>
      <w:r>
        <w:rPr>
          <w:rFonts w:ascii="Arial" w:cs="Arial" w:eastAsia="Arial" w:hAnsi="Arial"/>
          <w:sz w:val="18"/>
          <w:szCs w:val="18"/>
          <w:i w:val="1"/>
          <w:iCs w:val="1"/>
          <w:color w:val="auto"/>
        </w:rPr>
        <w:t>Title of each class</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AMERICAN DEPOSITORY SHARES, REPRESENTING</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Name of exchange on which registered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NASDAQ GLOBAL SELECT MARKET</w:t>
      </w:r>
    </w:p>
    <w:p>
      <w:pPr>
        <w:spacing w:after="0" w:line="9" w:lineRule="exact"/>
        <w:rPr>
          <w:sz w:val="24"/>
          <w:szCs w:val="24"/>
          <w:color w:val="auto"/>
        </w:rPr>
      </w:pPr>
    </w:p>
    <w:p>
      <w:pPr>
        <w:sectPr>
          <w:pgSz w:w="11900" w:h="16838" w:orient="portrait"/>
          <w:cols w:equalWidth="0" w:num="2">
            <w:col w:w="5000" w:space="720"/>
            <w:col w:w="5680"/>
          </w:cols>
          <w:pgMar w:left="240" w:top="215"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ORDINARY SHARES,PAR VALUE €0.06 EACH</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3" w:lineRule="exact"/>
        <w:rPr>
          <w:sz w:val="24"/>
          <w:szCs w:val="24"/>
          <w:color w:val="auto"/>
        </w:rPr>
      </w:pPr>
    </w:p>
    <w:p>
      <w:pPr>
        <w:ind w:left="5180"/>
        <w:spacing w:after="0"/>
        <w:rPr>
          <w:sz w:val="20"/>
          <w:szCs w:val="20"/>
          <w:color w:val="auto"/>
        </w:rPr>
      </w:pPr>
      <w:r>
        <w:rPr>
          <w:rFonts w:ascii="Arial" w:cs="Arial" w:eastAsia="Arial" w:hAnsi="Arial"/>
          <w:sz w:val="18"/>
          <w:szCs w:val="18"/>
          <w:i w:val="1"/>
          <w:iCs w:val="1"/>
          <w:color w:val="auto"/>
        </w:rPr>
        <w:t>Title of each class</w:t>
      </w:r>
    </w:p>
    <w:p>
      <w:pPr>
        <w:spacing w:after="0" w:line="9" w:lineRule="exact"/>
        <w:rPr>
          <w:sz w:val="24"/>
          <w:szCs w:val="24"/>
          <w:color w:val="auto"/>
        </w:rPr>
      </w:pPr>
    </w:p>
    <w:p>
      <w:pPr>
        <w:ind w:left="5460"/>
        <w:spacing w:after="0"/>
        <w:rPr>
          <w:sz w:val="20"/>
          <w:szCs w:val="20"/>
          <w:color w:val="auto"/>
        </w:rPr>
      </w:pPr>
      <w:r>
        <w:rPr>
          <w:rFonts w:ascii="Arial" w:cs="Arial" w:eastAsia="Arial" w:hAnsi="Arial"/>
          <w:sz w:val="18"/>
          <w:szCs w:val="18"/>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(Title of class)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60,247,092 Ordinary Shares.</w:t>
      </w:r>
    </w:p>
    <w:p>
      <w:pPr>
        <w:spacing w:after="0" w:line="9" w:lineRule="exact"/>
        <w:rPr>
          <w:sz w:val="24"/>
          <w:szCs w:val="24"/>
          <w:color w:val="auto"/>
        </w:rPr>
      </w:pPr>
    </w:p>
    <w:p>
      <w:pPr>
        <w:spacing w:after="0"/>
        <w:tabs>
          <w:tab w:leader="none" w:pos="9420" w:val="left"/>
        </w:tabs>
        <w:rPr>
          <w:sz w:val="20"/>
          <w:szCs w:val="20"/>
          <w:color w:val="auto"/>
        </w:rPr>
      </w:pPr>
      <w:r>
        <w:rPr>
          <w:rFonts w:ascii="Arial" w:cs="Arial" w:eastAsia="Arial" w:hAnsi="Arial"/>
          <w:sz w:val="17"/>
          <w:szCs w:val="17"/>
          <w:color w:val="auto"/>
        </w:rPr>
        <w:t xml:space="preserve">Indicate by check mark if the registrant is a well-known seasoned issuer, as determined in Rule 405 of the Securities Act. Yes </w:t>
      </w:r>
      <w:r>
        <w:rPr>
          <w:rFonts w:ascii="Arial" w:cs="Arial" w:eastAsia="Arial" w:hAnsi="Arial"/>
          <w:sz w:val="17"/>
          <w:szCs w:val="17"/>
          <w:u w:val="single" w:color="auto"/>
          <w:color w:val="auto"/>
        </w:rPr>
        <w:t>X</w:t>
      </w:r>
      <w:r>
        <w:rPr>
          <w:sz w:val="20"/>
          <w:szCs w:val="20"/>
          <w:color w:val="auto"/>
        </w:rPr>
        <w:tab/>
      </w:r>
      <w:r>
        <w:rPr>
          <w:rFonts w:ascii="Arial" w:cs="Arial" w:eastAsia="Arial" w:hAnsi="Arial"/>
          <w:sz w:val="16"/>
          <w:szCs w:val="16"/>
          <w:color w:val="auto"/>
        </w:rPr>
        <w:t>No__</w:t>
      </w:r>
    </w:p>
    <w:p>
      <w:pPr>
        <w:spacing w:after="0" w:line="21" w:lineRule="exact"/>
        <w:rPr>
          <w:sz w:val="24"/>
          <w:szCs w:val="24"/>
          <w:color w:val="auto"/>
        </w:rPr>
      </w:pPr>
    </w:p>
    <w:p>
      <w:pPr>
        <w:ind w:right="460"/>
        <w:spacing w:after="0" w:line="250" w:lineRule="auto"/>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__ No </w:t>
      </w:r>
      <w:r>
        <w:rPr>
          <w:rFonts w:ascii="Arial" w:cs="Arial" w:eastAsia="Arial" w:hAnsi="Arial"/>
          <w:sz w:val="18"/>
          <w:szCs w:val="18"/>
          <w:u w:val="single" w:color="auto"/>
          <w:color w:val="auto"/>
        </w:rPr>
        <w:t>X</w:t>
      </w:r>
    </w:p>
    <w:p>
      <w:pPr>
        <w:spacing w:after="0" w:line="1" w:lineRule="exact"/>
        <w:rPr>
          <w:sz w:val="24"/>
          <w:szCs w:val="24"/>
          <w:color w:val="auto"/>
        </w:rPr>
      </w:pPr>
    </w:p>
    <w:p>
      <w:pPr>
        <w:ind w:right="140"/>
        <w:spacing w:after="0" w:line="28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w:t>
      </w:r>
    </w:p>
    <w:tbl>
      <w:tblPr>
        <w:tblLayout w:type="fixed"/>
        <w:tblInd w:w="0" w:type="dxa"/>
        <w:tblCellMar>
          <w:top w:w="0" w:type="dxa"/>
          <w:left w:w="0" w:type="dxa"/>
          <w:bottom w:w="0" w:type="dxa"/>
          <w:right w:w="0" w:type="dxa"/>
        </w:tblCellMar>
      </w:tblPr>
      <w:tr>
        <w:trPr>
          <w:trHeight w:val="177"/>
        </w:trPr>
        <w:tc>
          <w:tcPr>
            <w:tcW w:w="2000" w:type="dxa"/>
            <w:vAlign w:val="bottom"/>
            <w:gridSpan w:val="5"/>
          </w:tcPr>
          <w:p>
            <w:pPr>
              <w:spacing w:after="0" w:line="177" w:lineRule="exact"/>
              <w:rPr>
                <w:sz w:val="20"/>
                <w:szCs w:val="20"/>
                <w:color w:val="auto"/>
              </w:rPr>
            </w:pPr>
            <w:r>
              <w:rPr>
                <w:rFonts w:ascii="Arial" w:cs="Arial" w:eastAsia="Arial" w:hAnsi="Arial"/>
                <w:sz w:val="18"/>
                <w:szCs w:val="18"/>
                <w:color w:val="auto"/>
                <w:w w:val="91"/>
              </w:rPr>
              <w:t>for the past 90 days: Yes X</w:t>
            </w:r>
          </w:p>
        </w:tc>
        <w:tc>
          <w:tcPr>
            <w:tcW w:w="5660" w:type="dxa"/>
            <w:vAlign w:val="bottom"/>
          </w:tcPr>
          <w:p>
            <w:pPr>
              <w:ind w:left="180"/>
              <w:spacing w:after="0" w:line="177" w:lineRule="exact"/>
              <w:rPr>
                <w:sz w:val="20"/>
                <w:szCs w:val="20"/>
                <w:color w:val="auto"/>
              </w:rPr>
            </w:pPr>
            <w:r>
              <w:rPr>
                <w:rFonts w:ascii="Arial" w:cs="Arial" w:eastAsia="Arial" w:hAnsi="Arial"/>
                <w:sz w:val="18"/>
                <w:szCs w:val="18"/>
                <w:color w:val="auto"/>
              </w:rPr>
              <w:t>No__</w:t>
            </w:r>
          </w:p>
        </w:tc>
        <w:tc>
          <w:tcPr>
            <w:tcW w:w="248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r>
      <w:tr>
        <w:trPr>
          <w:trHeight w:val="222"/>
        </w:trPr>
        <w:tc>
          <w:tcPr>
            <w:tcW w:w="10140" w:type="dxa"/>
            <w:vAlign w:val="bottom"/>
            <w:gridSpan w:val="7"/>
          </w:tcPr>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w:t>
            </w:r>
          </w:p>
        </w:tc>
      </w:tr>
      <w:tr>
        <w:trPr>
          <w:trHeight w:val="190"/>
        </w:trPr>
        <w:tc>
          <w:tcPr>
            <w:tcW w:w="2000" w:type="dxa"/>
            <w:vAlign w:val="bottom"/>
            <w:gridSpan w:val="5"/>
          </w:tcPr>
          <w:p>
            <w:pPr>
              <w:spacing w:after="0" w:line="190" w:lineRule="exact"/>
              <w:rPr>
                <w:sz w:val="20"/>
                <w:szCs w:val="20"/>
                <w:color w:val="auto"/>
              </w:rPr>
            </w:pPr>
            <w:r>
              <w:rPr>
                <w:rFonts w:ascii="Arial" w:cs="Arial" w:eastAsia="Arial" w:hAnsi="Arial"/>
                <w:sz w:val="18"/>
                <w:szCs w:val="18"/>
                <w:color w:val="auto"/>
              </w:rPr>
              <w:t>Large accelerated filer X</w:t>
            </w:r>
          </w:p>
        </w:tc>
        <w:tc>
          <w:tcPr>
            <w:tcW w:w="5660" w:type="dxa"/>
            <w:vAlign w:val="bottom"/>
          </w:tcPr>
          <w:p>
            <w:pPr>
              <w:ind w:left="2540"/>
              <w:spacing w:after="0" w:line="190" w:lineRule="exact"/>
              <w:rPr>
                <w:sz w:val="20"/>
                <w:szCs w:val="20"/>
                <w:color w:val="auto"/>
              </w:rPr>
            </w:pPr>
            <w:r>
              <w:rPr>
                <w:rFonts w:ascii="Arial" w:cs="Arial" w:eastAsia="Arial" w:hAnsi="Arial"/>
                <w:sz w:val="18"/>
                <w:szCs w:val="18"/>
                <w:color w:val="auto"/>
              </w:rPr>
              <w:t>Accelerated filer __</w:t>
            </w:r>
          </w:p>
        </w:tc>
        <w:tc>
          <w:tcPr>
            <w:tcW w:w="2480" w:type="dxa"/>
            <w:vAlign w:val="bottom"/>
          </w:tcPr>
          <w:p>
            <w:pPr>
              <w:ind w:left="740"/>
              <w:spacing w:after="0" w:line="190" w:lineRule="exact"/>
              <w:rPr>
                <w:sz w:val="20"/>
                <w:szCs w:val="20"/>
                <w:color w:val="auto"/>
              </w:rPr>
            </w:pPr>
            <w:r>
              <w:rPr>
                <w:rFonts w:ascii="Arial" w:cs="Arial" w:eastAsia="Arial" w:hAnsi="Arial"/>
                <w:sz w:val="18"/>
                <w:szCs w:val="18"/>
                <w:color w:val="auto"/>
                <w:w w:val="89"/>
              </w:rPr>
              <w:t>Non-accelerated filer __</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r>
      <w:tr>
        <w:trPr>
          <w:trHeight w:val="222"/>
        </w:trPr>
        <w:tc>
          <w:tcPr>
            <w:tcW w:w="10140" w:type="dxa"/>
            <w:vAlign w:val="bottom"/>
            <w:gridSpan w:val="7"/>
          </w:tcPr>
          <w:p>
            <w:pPr>
              <w:spacing w:after="0"/>
              <w:rPr>
                <w:sz w:val="20"/>
                <w:szCs w:val="20"/>
                <w:color w:val="auto"/>
              </w:rPr>
            </w:pPr>
            <w:r>
              <w:rPr>
                <w:rFonts w:ascii="Arial" w:cs="Arial" w:eastAsia="Arial" w:hAnsi="Arial"/>
                <w:sz w:val="18"/>
                <w:szCs w:val="18"/>
                <w:color w:val="auto"/>
                <w:w w:val="97"/>
              </w:rPr>
              <w:t>Indicate by check mark which basis of accounting the registrant has used to prepare the financial statements included in this filing:</w:t>
            </w:r>
          </w:p>
        </w:tc>
      </w:tr>
      <w:tr>
        <w:trPr>
          <w:trHeight w:val="190"/>
        </w:trPr>
        <w:tc>
          <w:tcPr>
            <w:tcW w:w="2000" w:type="dxa"/>
            <w:vAlign w:val="bottom"/>
            <w:gridSpan w:val="5"/>
          </w:tcPr>
          <w:p>
            <w:pPr>
              <w:spacing w:after="0" w:line="190" w:lineRule="exact"/>
              <w:rPr>
                <w:sz w:val="20"/>
                <w:szCs w:val="20"/>
                <w:color w:val="auto"/>
              </w:rPr>
            </w:pPr>
            <w:r>
              <w:rPr>
                <w:rFonts w:ascii="Arial" w:cs="Arial" w:eastAsia="Arial" w:hAnsi="Arial"/>
                <w:sz w:val="18"/>
                <w:szCs w:val="18"/>
                <w:color w:val="auto"/>
              </w:rPr>
              <w:t>U.S. GAAP X</w:t>
            </w:r>
          </w:p>
        </w:tc>
        <w:tc>
          <w:tcPr>
            <w:tcW w:w="5660" w:type="dxa"/>
            <w:vAlign w:val="bottom"/>
          </w:tcPr>
          <w:p>
            <w:pPr>
              <w:ind w:left="880"/>
              <w:spacing w:after="0" w:line="190" w:lineRule="exact"/>
              <w:rPr>
                <w:sz w:val="20"/>
                <w:szCs w:val="20"/>
                <w:color w:val="auto"/>
              </w:rPr>
            </w:pPr>
            <w:r>
              <w:rPr>
                <w:rFonts w:ascii="Arial" w:cs="Arial" w:eastAsia="Arial" w:hAnsi="Arial"/>
                <w:sz w:val="18"/>
                <w:szCs w:val="18"/>
                <w:color w:val="auto"/>
              </w:rPr>
              <w:t>International Financial Reporting Standards as issued __</w:t>
            </w:r>
          </w:p>
        </w:tc>
        <w:tc>
          <w:tcPr>
            <w:tcW w:w="2480" w:type="dxa"/>
            <w:vAlign w:val="bottom"/>
          </w:tcPr>
          <w:p>
            <w:pPr>
              <w:ind w:left="920"/>
              <w:spacing w:after="0" w:line="190" w:lineRule="exact"/>
              <w:rPr>
                <w:sz w:val="20"/>
                <w:szCs w:val="20"/>
                <w:color w:val="auto"/>
              </w:rPr>
            </w:pPr>
            <w:r>
              <w:rPr>
                <w:rFonts w:ascii="Arial" w:cs="Arial" w:eastAsia="Arial" w:hAnsi="Arial"/>
                <w:sz w:val="18"/>
                <w:szCs w:val="18"/>
                <w:color w:val="auto"/>
              </w:rPr>
              <w:t>Other __</w:t>
            </w:r>
          </w:p>
        </w:tc>
      </w:tr>
      <w:tr>
        <w:trPr>
          <w:trHeight w:val="237"/>
        </w:trPr>
        <w:tc>
          <w:tcPr>
            <w:tcW w:w="9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60" w:type="dxa"/>
            <w:vAlign w:val="bottom"/>
          </w:tcPr>
          <w:p>
            <w:pPr>
              <w:ind w:left="880"/>
              <w:spacing w:after="0"/>
              <w:rPr>
                <w:sz w:val="20"/>
                <w:szCs w:val="20"/>
                <w:color w:val="auto"/>
              </w:rPr>
            </w:pPr>
            <w:r>
              <w:rPr>
                <w:rFonts w:ascii="Arial" w:cs="Arial" w:eastAsia="Arial" w:hAnsi="Arial"/>
                <w:sz w:val="18"/>
                <w:szCs w:val="18"/>
                <w:color w:val="auto"/>
              </w:rPr>
              <w:t>by the International Accounting Standards Board</w:t>
            </w:r>
          </w:p>
        </w:tc>
        <w:tc>
          <w:tcPr>
            <w:tcW w:w="2480" w:type="dxa"/>
            <w:vAlign w:val="bottom"/>
          </w:tcPr>
          <w:p>
            <w:pPr>
              <w:spacing w:after="0"/>
              <w:rPr>
                <w:sz w:val="20"/>
                <w:szCs w:val="20"/>
                <w:color w:val="auto"/>
              </w:rPr>
            </w:pPr>
          </w:p>
        </w:tc>
      </w:tr>
    </w:tbl>
    <w:p>
      <w:pPr>
        <w:ind w:right="140"/>
        <w:spacing w:after="0" w:line="250"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 Item 17 __ Item 18__</w:t>
      </w:r>
    </w:p>
    <w:p>
      <w:pPr>
        <w:spacing w:after="0" w:line="1" w:lineRule="exact"/>
        <w:rPr>
          <w:sz w:val="24"/>
          <w:szCs w:val="24"/>
          <w:color w:val="auto"/>
        </w:rPr>
      </w:pPr>
    </w:p>
    <w:p>
      <w:pPr>
        <w:spacing w:after="0"/>
        <w:tabs>
          <w:tab w:leader="none" w:pos="10720" w:val="left"/>
        </w:tabs>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 Yes __</w:t>
        <w:tab/>
        <w:t xml:space="preserve">No </w:t>
      </w:r>
      <w:r>
        <w:rPr>
          <w:rFonts w:ascii="Arial" w:cs="Arial" w:eastAsia="Arial" w:hAnsi="Arial"/>
          <w:sz w:val="17"/>
          <w:szCs w:val="17"/>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gridSpan w:val="9"/>
          </w:tcPr>
          <w:p>
            <w:pPr>
              <w:ind w:left="18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8820" w:type="dxa"/>
            <w:vAlign w:val="bottom"/>
            <w:gridSpan w:val="2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General</w:t>
              </w:r>
            </w:hyperlink>
          </w:p>
        </w:tc>
        <w:tc>
          <w:tcPr>
            <w:tcW w:w="21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20" w:type="dxa"/>
            <w:vAlign w:val="bottom"/>
            <w:gridSpan w:val="2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Statement</w:t>
              </w:r>
            </w:hyperlink>
          </w:p>
        </w:tc>
        <w:tc>
          <w:tcPr>
            <w:tcW w:w="260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12"/>
        </w:trPr>
        <w:tc>
          <w:tcPr>
            <w:tcW w:w="6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gridSpan w:val="5"/>
          </w:tcPr>
          <w:p>
            <w:pPr>
              <w:jc w:val="center"/>
              <w:ind w:right="310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58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Item 1. Identity of Directors, Senior Management and Advisors</w:t>
              </w:r>
            </w:hyperlink>
          </w:p>
        </w:tc>
        <w:tc>
          <w:tcPr>
            <w:tcW w:w="560" w:type="dxa"/>
            <w:vAlign w:val="bottom"/>
            <w:gridSpan w:val="4"/>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100" w:type="dxa"/>
            <w:vAlign w:val="bottom"/>
            <w:gridSpan w:val="4"/>
          </w:tcPr>
          <w:p>
            <w:pPr>
              <w:spacing w:after="0"/>
              <w:rPr>
                <w:sz w:val="24"/>
                <w:szCs w:val="24"/>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2. Offer Statistics and Expected Timetable</w:t>
              </w:r>
            </w:hyperlink>
          </w:p>
        </w:tc>
        <w:tc>
          <w:tcPr>
            <w:tcW w:w="5380" w:type="dxa"/>
            <w:vAlign w:val="bottom"/>
            <w:gridSpan w:val="15"/>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20" w:type="dxa"/>
            <w:vAlign w:val="bottom"/>
            <w:gridSpan w:val="2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3. Key Information</w:t>
              </w:r>
            </w:hyperlink>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Item 4. Information on the Company</w:t>
              </w:r>
            </w:hyperlink>
          </w:p>
        </w:tc>
        <w:tc>
          <w:tcPr>
            <w:tcW w:w="6160" w:type="dxa"/>
            <w:vAlign w:val="bottom"/>
            <w:gridSpan w:val="17"/>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5. Operating and Financial Review and Prospects</w:t>
              </w:r>
            </w:hyperlink>
          </w:p>
        </w:tc>
        <w:tc>
          <w:tcPr>
            <w:tcW w:w="4880" w:type="dxa"/>
            <w:vAlign w:val="bottom"/>
            <w:gridSpan w:val="13"/>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820" w:type="dxa"/>
            <w:vAlign w:val="bottom"/>
            <w:gridSpan w:val="2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6. Directors, Senior Management and Employees</w:t>
              </w:r>
            </w:hyperlink>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7. Major Shareholders and Related Party Transactions</w:t>
              </w:r>
            </w:hyperlink>
          </w:p>
        </w:tc>
        <w:tc>
          <w:tcPr>
            <w:tcW w:w="4540" w:type="dxa"/>
            <w:vAlign w:val="bottom"/>
            <w:gridSpan w:val="11"/>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Item 8. Financial Information</w:t>
              </w:r>
            </w:hyperlink>
          </w:p>
        </w:tc>
        <w:tc>
          <w:tcPr>
            <w:tcW w:w="6680" w:type="dxa"/>
            <w:vAlign w:val="bottom"/>
            <w:gridSpan w:val="22"/>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9. The Offer and the Listing</w:t>
              </w:r>
            </w:hyperlink>
          </w:p>
        </w:tc>
        <w:tc>
          <w:tcPr>
            <w:tcW w:w="6420" w:type="dxa"/>
            <w:vAlign w:val="bottom"/>
            <w:gridSpan w:val="19"/>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8820" w:type="dxa"/>
            <w:vAlign w:val="bottom"/>
            <w:gridSpan w:val="2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10. Additional Information</w:t>
              </w:r>
            </w:hyperlink>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Item 11. Quantitative and Qualitative Disclosures about Market Risk</w:t>
              </w:r>
            </w:hyperlink>
          </w:p>
        </w:tc>
        <w:tc>
          <w:tcPr>
            <w:tcW w:w="3860" w:type="dxa"/>
            <w:vAlign w:val="bottom"/>
            <w:gridSpan w:val="8"/>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8820" w:type="dxa"/>
            <w:vAlign w:val="bottom"/>
            <w:gridSpan w:val="2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12. Description of Securities Other than Equity Securities</w:t>
              </w:r>
            </w:hyperlink>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2"/>
        </w:trPr>
        <w:tc>
          <w:tcPr>
            <w:tcW w:w="6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w:t>
              </w:r>
            </w:hyperlink>
          </w:p>
        </w:tc>
        <w:tc>
          <w:tcPr>
            <w:tcW w:w="3060" w:type="dxa"/>
            <w:vAlign w:val="bottom"/>
            <w:gridSpan w:val="3"/>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4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Item 13. Defaults, Dividend Arrearages and Delinquencies</w:t>
              </w:r>
            </w:hyperlink>
          </w:p>
        </w:tc>
        <w:tc>
          <w:tcPr>
            <w:tcW w:w="4580" w:type="dxa"/>
            <w:vAlign w:val="bottom"/>
            <w:gridSpan w:val="12"/>
          </w:tcPr>
          <w:p>
            <w:pPr>
              <w:spacing w:after="0"/>
              <w:rPr>
                <w:sz w:val="24"/>
                <w:szCs w:val="24"/>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Item 14. Material Modifications to the Rights of Security Holders and Use of Proceeds</w:t>
              </w:r>
            </w:hyperlink>
          </w:p>
        </w:tc>
        <w:tc>
          <w:tcPr>
            <w:tcW w:w="2560" w:type="dxa"/>
            <w:vAlign w:val="bottom"/>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8820" w:type="dxa"/>
            <w:vAlign w:val="bottom"/>
            <w:gridSpan w:val="2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15. Controls and Procedures</w:t>
              </w:r>
            </w:hyperlink>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16. Reserved</w:t>
              </w:r>
            </w:hyperlink>
          </w:p>
        </w:tc>
        <w:tc>
          <w:tcPr>
            <w:tcW w:w="6400" w:type="dxa"/>
            <w:vAlign w:val="bottom"/>
            <w:gridSpan w:val="18"/>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6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III</w:t>
              </w:r>
            </w:hyperlink>
          </w:p>
        </w:tc>
        <w:tc>
          <w:tcPr>
            <w:tcW w:w="3020" w:type="dxa"/>
            <w:vAlign w:val="bottom"/>
            <w:gridSpan w:val="2"/>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Item 17. Financial Statements</w:t>
              </w:r>
            </w:hyperlink>
          </w:p>
        </w:tc>
        <w:tc>
          <w:tcPr>
            <w:tcW w:w="6660" w:type="dxa"/>
            <w:vAlign w:val="bottom"/>
            <w:gridSpan w:val="21"/>
          </w:tcPr>
          <w:p>
            <w:pPr>
              <w:spacing w:after="0"/>
              <w:rPr>
                <w:sz w:val="24"/>
                <w:szCs w:val="24"/>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Item 18. Financial Statements</w:t>
              </w:r>
            </w:hyperlink>
          </w:p>
        </w:tc>
        <w:tc>
          <w:tcPr>
            <w:tcW w:w="6660" w:type="dxa"/>
            <w:vAlign w:val="bottom"/>
            <w:gridSpan w:val="21"/>
          </w:tcPr>
          <w:p>
            <w:pPr>
              <w:spacing w:after="0"/>
              <w:rPr>
                <w:sz w:val="17"/>
                <w:szCs w:val="17"/>
                <w:color w:val="auto"/>
              </w:rPr>
            </w:pPr>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8820" w:type="dxa"/>
            <w:vAlign w:val="bottom"/>
            <w:gridSpan w:val="2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19. Financial Statements and Exhibits</w:t>
              </w:r>
            </w:hyperlink>
          </w:p>
        </w:tc>
        <w:tc>
          <w:tcPr>
            <w:tcW w:w="2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679"/>
        </w:trPr>
        <w:tc>
          <w:tcPr>
            <w:tcW w:w="620" w:type="dxa"/>
            <w:vAlign w:val="bottom"/>
            <w:tcBorders>
              <w:top w:val="single" w:sz="8" w:color="0000EE"/>
              <w:bottom w:val="single" w:sz="8" w:color="808080"/>
            </w:tcBorders>
          </w:tcPr>
          <w:p>
            <w:pPr>
              <w:spacing w:after="0"/>
              <w:rPr>
                <w:sz w:val="24"/>
                <w:szCs w:val="24"/>
                <w:color w:val="auto"/>
              </w:rPr>
            </w:pPr>
          </w:p>
        </w:tc>
        <w:tc>
          <w:tcPr>
            <w:tcW w:w="70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38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440" w:type="dxa"/>
            <w:vAlign w:val="bottom"/>
            <w:tcBorders>
              <w:top w:val="single" w:sz="8" w:color="0000EE"/>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“ICON plc”, “ICON”, the “Company” and “we” or “us” refer to ICON public limited company and its consolidated subsidiaries, unless the context requires otherwise.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seventeen members of the European Union (including the Republic of Ireland, France, Germany, Spain, Italy, Finland and the Netherlands). ICON publishes its consolidated financial statements in U.S. dollars.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the Company’s Securities and Exchange Commission filings and in the risk factors included on pages 5 to 11. The Company has no obligation under the PSLRA to update any forward looking statements and does not intend to do so.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3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23"/>
        </w:trPr>
        <w:tc>
          <w:tcPr>
            <w:tcW w:w="3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w w:val="92"/>
              </w:rPr>
              <w:t>(in thousands, except share and per share data)</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432"/>
        </w:trPr>
        <w:tc>
          <w:tcPr>
            <w:tcW w:w="3320" w:type="dxa"/>
            <w:vAlign w:val="bottom"/>
          </w:tcPr>
          <w:p>
            <w:pPr>
              <w:ind w:left="60"/>
              <w:spacing w:after="0"/>
              <w:rPr>
                <w:sz w:val="20"/>
                <w:szCs w:val="20"/>
                <w:color w:val="auto"/>
              </w:rPr>
            </w:pPr>
            <w:r>
              <w:rPr>
                <w:rFonts w:ascii="Arial" w:cs="Arial" w:eastAsia="Arial" w:hAnsi="Arial"/>
                <w:sz w:val="18"/>
                <w:szCs w:val="18"/>
                <w:b w:val="1"/>
                <w:bCs w:val="1"/>
                <w:color w:val="auto"/>
              </w:rPr>
              <w:t>Statement of Operations Data:</w:t>
            </w: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Gross revenue</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649,826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867,473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1,209,451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1,258,227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1,263,147</w:t>
            </w:r>
          </w:p>
        </w:tc>
      </w:tr>
      <w:tr>
        <w:trPr>
          <w:trHeight w:val="223"/>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Reimbursable expenses (1)</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(194,229)</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(236,751)</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(344,203)</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(370,615)</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(363,103)</w:t>
            </w:r>
          </w:p>
        </w:tc>
      </w:tr>
      <w:tr>
        <w:trPr>
          <w:trHeight w:val="216"/>
        </w:trPr>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revenue</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455,597</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630,722</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865,248</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887,612</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900,044</w:t>
            </w:r>
          </w:p>
        </w:tc>
      </w:tr>
      <w:tr>
        <w:trPr>
          <w:trHeight w:val="216"/>
        </w:trPr>
        <w:tc>
          <w:tcPr>
            <w:tcW w:w="332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 costs</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256,263</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354,479</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489,238</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507,783</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541,388</w:t>
            </w:r>
          </w:p>
        </w:tc>
      </w:tr>
      <w:tr>
        <w:trPr>
          <w:trHeight w:val="216"/>
        </w:trPr>
        <w:tc>
          <w:tcPr>
            <w:tcW w:w="332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136,569</w:t>
            </w:r>
          </w:p>
        </w:tc>
        <w:tc>
          <w:tcPr>
            <w:tcW w:w="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187,993</w:t>
            </w:r>
          </w:p>
        </w:tc>
        <w:tc>
          <w:tcPr>
            <w:tcW w:w="4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248,778</w:t>
            </w:r>
          </w:p>
        </w:tc>
        <w:tc>
          <w:tcPr>
            <w:tcW w:w="4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230,910</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232,688</w:t>
            </w:r>
          </w:p>
        </w:tc>
      </w:tr>
      <w:tr>
        <w:trPr>
          <w:trHeight w:val="216"/>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14,949</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19,008</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27,728</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32,659</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33,873</w:t>
            </w:r>
          </w:p>
        </w:tc>
      </w:tr>
      <w:tr>
        <w:trPr>
          <w:trHeight w:val="223"/>
        </w:trPr>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One-time net charges (2)</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8,808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407,781</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561,480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765,744</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780,160</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807,949</w:t>
            </w:r>
          </w:p>
        </w:tc>
      </w:tr>
      <w:tr>
        <w:trPr>
          <w:trHeight w:val="216"/>
        </w:trPr>
        <w:tc>
          <w:tcPr>
            <w:tcW w:w="3320" w:type="dxa"/>
            <w:vAlign w:val="bottom"/>
          </w:tcPr>
          <w:p>
            <w:pPr>
              <w:ind w:left="60"/>
              <w:spacing w:after="0"/>
              <w:rPr>
                <w:sz w:val="20"/>
                <w:szCs w:val="20"/>
                <w:color w:val="auto"/>
              </w:rPr>
            </w:pPr>
            <w:r>
              <w:rPr>
                <w:rFonts w:ascii="Arial" w:cs="Arial" w:eastAsia="Arial" w:hAnsi="Arial"/>
                <w:sz w:val="18"/>
                <w:szCs w:val="18"/>
                <w:color w:val="auto"/>
              </w:rPr>
              <w:t>Income from operations</w:t>
            </w:r>
          </w:p>
        </w:tc>
        <w:tc>
          <w:tcPr>
            <w:tcW w:w="5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47,816</w:t>
            </w:r>
          </w:p>
        </w:tc>
        <w:tc>
          <w:tcPr>
            <w:tcW w:w="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69,242</w:t>
            </w:r>
          </w:p>
        </w:tc>
        <w:tc>
          <w:tcPr>
            <w:tcW w:w="4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99,504</w:t>
            </w:r>
          </w:p>
        </w:tc>
        <w:tc>
          <w:tcPr>
            <w:tcW w:w="4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107,452</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92,095</w:t>
            </w:r>
          </w:p>
        </w:tc>
      </w:tr>
      <w:tr>
        <w:trPr>
          <w:trHeight w:val="223"/>
        </w:trPr>
        <w:tc>
          <w:tcPr>
            <w:tcW w:w="3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Net interest income / (expense)</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3,640</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2,738</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r>
      <w:tr>
        <w:trPr>
          <w:trHeight w:val="216"/>
        </w:trPr>
        <w:tc>
          <w:tcPr>
            <w:tcW w:w="3320" w:type="dxa"/>
            <w:vAlign w:val="bottom"/>
          </w:tcPr>
          <w:p>
            <w:pPr>
              <w:ind w:left="60"/>
              <w:spacing w:after="0"/>
              <w:rPr>
                <w:sz w:val="20"/>
                <w:szCs w:val="20"/>
                <w:color w:val="auto"/>
              </w:rPr>
            </w:pPr>
            <w:r>
              <w:rPr>
                <w:rFonts w:ascii="Arial" w:cs="Arial" w:eastAsia="Arial" w:hAnsi="Arial"/>
                <w:sz w:val="18"/>
                <w:szCs w:val="18"/>
                <w:color w:val="auto"/>
                <w:w w:val="98"/>
              </w:rPr>
              <w:t>Income before provision for income taxes</w:t>
            </w:r>
          </w:p>
        </w:tc>
        <w:tc>
          <w:tcPr>
            <w:tcW w:w="5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51,456</w:t>
            </w:r>
          </w:p>
        </w:tc>
        <w:tc>
          <w:tcPr>
            <w:tcW w:w="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71,980</w:t>
            </w:r>
          </w:p>
        </w:tc>
        <w:tc>
          <w:tcPr>
            <w:tcW w:w="4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98,280</w:t>
            </w:r>
          </w:p>
        </w:tc>
        <w:tc>
          <w:tcPr>
            <w:tcW w:w="4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104,674</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92,724</w:t>
            </w:r>
          </w:p>
        </w:tc>
      </w:tr>
      <w:tr>
        <w:trPr>
          <w:trHeight w:val="216"/>
        </w:trPr>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r>
      <w:tr>
        <w:trPr>
          <w:trHeight w:val="223"/>
        </w:trPr>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Non-controlling interest</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38,304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55,963</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78,120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94,299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87,071</w:t>
            </w:r>
          </w:p>
        </w:tc>
      </w:tr>
      <w:tr>
        <w:trPr>
          <w:trHeight w:val="411"/>
        </w:trPr>
        <w:tc>
          <w:tcPr>
            <w:tcW w:w="3320" w:type="dxa"/>
            <w:vAlign w:val="bottom"/>
          </w:tcPr>
          <w:p>
            <w:pPr>
              <w:ind w:left="60"/>
              <w:spacing w:after="0"/>
              <w:rPr>
                <w:sz w:val="20"/>
                <w:szCs w:val="20"/>
                <w:color w:val="auto"/>
              </w:rPr>
            </w:pPr>
            <w:r>
              <w:rPr>
                <w:rFonts w:ascii="Arial" w:cs="Arial" w:eastAsia="Arial" w:hAnsi="Arial"/>
                <w:sz w:val="18"/>
                <w:szCs w:val="18"/>
                <w:color w:val="auto"/>
              </w:rPr>
              <w:t>Net income per</w:t>
            </w: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3320" w:type="dxa"/>
            <w:vAlign w:val="bottom"/>
          </w:tcPr>
          <w:p>
            <w:pPr>
              <w:ind w:left="60"/>
              <w:spacing w:after="0"/>
              <w:rPr>
                <w:sz w:val="20"/>
                <w:szCs w:val="20"/>
                <w:color w:val="auto"/>
              </w:rPr>
            </w:pPr>
            <w:r>
              <w:rPr>
                <w:rFonts w:ascii="Arial" w:cs="Arial" w:eastAsia="Arial" w:hAnsi="Arial"/>
                <w:sz w:val="18"/>
                <w:szCs w:val="18"/>
                <w:color w:val="auto"/>
              </w:rPr>
              <w:t>ordinary share (3):</w:t>
            </w: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r>
      <w:tr>
        <w:trPr>
          <w:trHeight w:val="21"/>
        </w:trPr>
        <w:tc>
          <w:tcPr>
            <w:tcW w:w="3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3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0.66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0.94</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10"/>
        </w:trPr>
        <w:tc>
          <w:tcPr>
            <w:tcW w:w="3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
        </w:trPr>
        <w:tc>
          <w:tcPr>
            <w:tcW w:w="3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1"/>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w:t>
            </w:r>
          </w:p>
        </w:tc>
        <w:tc>
          <w:tcPr>
            <w:tcW w:w="5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0"/>
        </w:trPr>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of ordinary shares outstanding:</w:t>
            </w: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3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56,629,970</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57,410,544</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58,245,240</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58,636,878</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59,718,934</w:t>
            </w:r>
          </w:p>
        </w:tc>
      </w:tr>
      <w:tr>
        <w:trPr>
          <w:trHeight w:val="21"/>
        </w:trPr>
        <w:tc>
          <w:tcPr>
            <w:tcW w:w="3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3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57,726,668</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59,495,928</w:t>
            </w:r>
          </w:p>
        </w:tc>
        <w:tc>
          <w:tcPr>
            <w:tcW w:w="4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60,221,587</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59,900,504</w:t>
            </w:r>
          </w:p>
        </w:tc>
        <w:tc>
          <w:tcPr>
            <w:tcW w:w="4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60,637,103</w:t>
            </w:r>
          </w:p>
        </w:tc>
      </w:tr>
      <w:tr>
        <w:trPr>
          <w:trHeight w:val="601"/>
        </w:trPr>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85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3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5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63,039</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76,881</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58,378</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144,801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39,822</w:t>
            </w:r>
          </w:p>
        </w:tc>
        <w:tc>
          <w:tcPr>
            <w:tcW w:w="5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41,752</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42,726</w:t>
            </w:r>
          </w:p>
        </w:tc>
        <w:tc>
          <w:tcPr>
            <w:tcW w:w="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49,227</w:t>
            </w: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160,321</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193,271</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185,957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235,906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329,350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Total assets</w:t>
            </w:r>
          </w:p>
        </w:tc>
        <w:tc>
          <w:tcPr>
            <w:tcW w:w="1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476,341</w:t>
            </w:r>
          </w:p>
        </w:tc>
        <w:tc>
          <w:tcPr>
            <w:tcW w:w="5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693,138</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867,285</w:t>
            </w:r>
          </w:p>
        </w:tc>
        <w:tc>
          <w:tcPr>
            <w:tcW w:w="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908,398</w:t>
            </w: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94,829</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105,379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Long term government grants</w:t>
            </w:r>
          </w:p>
        </w:tc>
        <w:tc>
          <w:tcPr>
            <w:tcW w:w="1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5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1,750</w:t>
            </w: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1,443</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2,844</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Ordinary share capital</w:t>
            </w:r>
          </w:p>
        </w:tc>
        <w:tc>
          <w:tcPr>
            <w:tcW w:w="1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4,789</w:t>
            </w:r>
          </w:p>
        </w:tc>
        <w:tc>
          <w:tcPr>
            <w:tcW w:w="5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4,843</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4,921</w:t>
            </w:r>
          </w:p>
        </w:tc>
        <w:tc>
          <w:tcPr>
            <w:tcW w:w="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4,965</w:t>
            </w: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131,307</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143,639</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162,057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174,188</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196,960</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302,738</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388,400</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456,366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572,246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669,999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140" w:right="20" w:hanging="551"/>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Reimbursable expenses are comprised of investigator payments and certain other costs reimbursed by clients under terms specific to each of the Company’s contracts. See Note 2 (d) to the Audited Consolidated Financial Statements.</w:t>
      </w:r>
    </w:p>
    <w:p>
      <w:pPr>
        <w:spacing w:after="0" w:line="170" w:lineRule="exact"/>
        <w:rPr>
          <w:rFonts w:ascii="Arial" w:cs="Arial" w:eastAsia="Arial" w:hAnsi="Arial"/>
          <w:sz w:val="18"/>
          <w:szCs w:val="18"/>
          <w:color w:val="auto"/>
        </w:rPr>
      </w:pPr>
    </w:p>
    <w:p>
      <w:pPr>
        <w:jc w:val="both"/>
        <w:ind w:left="1140" w:hanging="551"/>
        <w:spacing w:after="0" w:line="297" w:lineRule="auto"/>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One-time net charges of $8.8 million were recorded in the year ended December 31, 2009. In response to the globalization of clinical studies and its attendant impact on resources in existing and emerging markets, the Company conducted a review of its existing infrastructure to better align its resources with the needs of its clients. This realignment resulted in resource rationalizations in certain more mature markets in which the Company operates and the recognition of a restructuring charge of $13.3 million. This was partially offset by research and development incentives of $4.5 million received by the Company in certain European Union jurisdictions in which it operates.</w:t>
      </w:r>
    </w:p>
    <w:p>
      <w:pPr>
        <w:spacing w:after="0" w:line="158" w:lineRule="exact"/>
        <w:rPr>
          <w:rFonts w:ascii="Arial" w:cs="Arial" w:eastAsia="Arial" w:hAnsi="Arial"/>
          <w:sz w:val="16"/>
          <w:szCs w:val="16"/>
          <w:color w:val="auto"/>
        </w:rPr>
      </w:pPr>
    </w:p>
    <w:p>
      <w:pPr>
        <w:ind w:left="1140" w:hanging="551"/>
        <w:spacing w:after="0" w:line="27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clients and a loss of or significant decrease in business from them could affect our business.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 the past and may in the future derive a significant portion of our net revenue from a relatively limited number of major projects or clients. During the years ended December 31, 2010, December 31, 2009 and December 31, 2008 33%, 27% and 29% respectively of our net revenues were derived from our top five clients. No one client contributed more that 10% of net revenues during the years ended December 31, 2010, December 31, 2009 and December 31, 2008. The loss of, or a significant decrease in business from one or more of these key clients could have a material adverse impact on our results of operations.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of our contracts are long-term fixed fee contracts. Revenues on these contracts are agreed on contract initiation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ensures that changes in scope are appropriately monitored and change orders for additional revenue are promptly negotiated for additional work as necessary. If we were to fail to recognize and negotiate change orders for changes in the resources required or the scope of the work to be performed the Company could lose money if the costs of performance of these contracts exceeded their fixed fees.</w:t>
      </w:r>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would be adversely affected and we may not receive their business in the future or may not be able to attract new clients.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208"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or</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future success and ability to expand operations depend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dependant upon our ability to recruit suitable willing investigators and patients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contract with physicians located in hospitals, clinics or other such sites, who serve as investigators in conducting clinical trials to test new drugs on their patients. Investigators supervise administration of the study drug to patients during the course of the clinical trial.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patient enrolment or investigator recruitment may result in the termination or delay of a study which could have a material adverse impact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information technology. If our systems fail or are unreliable our operations may be adversely impacted.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efficient operation of our business depends on our information technology infrastructure and our management information systems. Our information technology infrastructure includes both third party solutions and applications designed and maintained internally. Since our Company operates on multiple platforms, the failure of our information technology infrastructure and/or our management information systems to perform could severely disrupt our business and adversely affect our results of operation. In addition, our information technology infrastructure and/or our management information systems are vulnerable to damage or interruption from natural or man-made disasters, terrorist attacks, computer viruses or hackers, power loss, or other computer systems, Internet telecommunications or data network failures. Any such interruption could adversely affect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174" w:lineRule="exact"/>
        <w:rPr>
          <w:sz w:val="20"/>
          <w:szCs w:val="20"/>
          <w:color w:val="auto"/>
        </w:rPr>
      </w:pPr>
    </w:p>
    <w:p>
      <w:pPr>
        <w:ind w:left="1080" w:hanging="31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the air travel system.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our operations rely on the availability of air transportation for the distribution of clinical trial materials, study samples and personnel. A disruption to the air travel system could materially impact our operations. While we have developed contingency plans to minimize the impact of such events, a disruption to the availability of air transportation could have a material adverse impact on our activities and results of operations.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our interactive voice response systems to provide accurate information regarding the randomization of patients and the dosage required for patients enrolled in the trials.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develop and maintain computer run interactive voice response systems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invalidation of the trial, liability claims against the Company or all three.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various control measures to mitigate the risk of a serious adverse event resulting from healthy volunteer Phase I trials.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healthy volunteer Phase I trials including first-into-man trials. Due to the experimental nature of these studies, serious adverse events may arise. We mitigate such events by following Good Clinical Practice and ensuring appropriately trained and experienced clinical physicians are managing these trials and that internal Standard Operating Procedures and client protocols are rigorously adhered to. We also ensure that a signed contract is in place with the client in advance of clinical dosing with appropriate indemnifications and insurance coverage. We maintain our own no-faults clinical trial insurance. Following our internal review and submission, an Independent Ethics committee approves the study protocol and appropriate approval is obtained from the relevant regulatory body.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it could affect the ability of our clients to operate profitably, which may lead to a decrease in research spending and therefore this could have a material adverse effect on our business.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Risk Related to Our Financial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results of operations in any quarter can fluctuate depending upon, among other things, the number and scope of ongoing client projects, the commencement, postponement, variation and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This risk is partially mitigated by clauses in certain of our contracts which allow for price renegotiation with our clients if changes in the relative value of those currencies exceed predetermined tolerances.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quarter-to-quarter, which may affect our results of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quarterly effective tax rate has depended and will continue to depend on the geographic distribution of our revenue and earnings amongst the multiple tax jurisdictions in which we operate. Changes in the geographic mix of our results of operations amongst these jurisdictions may have a significant impact on our effective tax rate from quarter to quarter. In addition, as we operate in multiple tax jurisdictions, we may be subject to audits in certain jurisdictions. These audits may involve complex issues which could require an extended period of time for resolution. While we believe that adequate provisions for income taxes have been made in our financial statements, the resolution of audit issues may lead to differences which could have a significant impact on our effective tax rate.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revenue and the rate of conversion may slow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backlog at any date is not necessarily a meaningful predictor of future results, due to the potential for the cancellation or delay of projects underlying the backlog. No assurances can be given that we will be able to realize this backlog as net revenue. A failure to realize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74"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termination of any research;</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clients or business.</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from clients if clinical trials have not been conducted in accordance with best practice.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2009, we received a warning letter from the U.S. Food and Drug Administration (FDA) regarding clinical study management services provided by the company to one of its clients in relation to two studies conducted between 2004 and 2006. These studies related to the development of an antibiotic for the treatment of complicated skin and skin-structure infections. The FDA letter arose from its inspections of the company’s client and selected clinical sites and follows a similar letter issued to that client. On January 13, 2010 we submitted a response to the FDA and received a letter from the FDA on September 27, 2010 acknowledging receipt of our response and requesting further clarification around some details set out in our letter of January 13, 2010. We made a further submission to the FDA on November 22, 2010 addressing matters from the September 27, 2010 letter from the FDA. We remain committed to working cooperatively and expeditiously with the FDA to address the matters raised in the warning letter. We are unable to predict at this time the financial consequences, if any, of the issues raised by the letter.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negligence of our employees and such negligence could lead to litigation from clients.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we maintain what we believe is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and legal risks associated with our international operations.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and operate from 73 locations in 39 countries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and business practices, volatility in gross domestic product, economic and governmental instability, the potential for nationalization of private assets and the imposition of exchange controls.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and developing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Finally, we operate in some countries where national laws may require not only accurate books and records, but also sufficient controls, policies and processes to ensure business is conducted without the influence of bribery and corruption. Given the high level of complexity of these laws, however, there is a risk that some provisions may be inadvertently breached, for example through negligent behavior of individual employees, or failure to comply with certain formal documentation requirements or otherwise. Any violation of these laws or allegations of such violations, whether merited or not, could have a material adverse effect on our reputation and could cause the trading price of our common stock to decline.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materialize, our results of operations and financial condition could be materially adversely affected.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price of our common stock has experienced and may experience volatility in the future which could lead to losses for investors. Factors impacting volatility in the market price of our common stock include, amongst others, our results of operations, analyst expectations, developments impacting the industry or our competitors and general market and economic conditions. 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capability and expertise to conduct clinical trials in most major therapeutic areas on a global basis. At December 31, 2010, we had 7,735 employees, in 73 locations in 39 countries, providing Phase I-IV Clinical Trial Management, Drug Development Support Services, Data Management and Biostatistical, Central Laboratory, Imaging and Contract Staffing services. We have the operational flexibility to provide development services on a stand-alone basis or as part of an integrated “full service” solution.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ICON plc’s principal executive office is located at: South County Business Park, Leopardstown, Dublin 18, Republic of Ireland. The contact telephone number of this office is 353 (1) 291 2000. For the year ended December 31, 2010 we derived approximately 42.3%, 46.9 % and 10.8% of our net revenue in the United States, Europe and Rest of World respectively.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14, 2011 the Company acquired Oxford Outcomes, a leading international health outcomes consultancy, headquartered in Oxford, UK, and with offices in the USA and Canada. Oxford Outcomes provides specialist services in the areas of patient reported outcomes (PRO), health economics, epidemiology and translation and linguistic validation.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to the pharmaceutical and biotechnology industry, headquartered in Zurich, Switzerland.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both patent-protected and generic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post marketing surveillance, central laboratory and regulatory affairs services. CROs are required to provide these services in accordance with good clinical and laboratory practices, as governed by the applicable regulatory authorities.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Drug Development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Ethical Pharmaceuticals and Biologics - An 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Preclinical Research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approximately 1 to 3.5 years). </w:t>
      </w:r>
      <w:r>
        <w:rPr>
          <w:rFonts w:ascii="Arial" w:cs="Arial" w:eastAsia="Arial" w:hAnsi="Arial"/>
          <w:sz w:val="18"/>
          <w:szCs w:val="18"/>
          <w:color w:val="auto"/>
        </w:rPr>
        <w:t>“In vitro” (test tube) and animal studies must be conducted in accordance with applicable regulations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the relative toxicity of the drug over a wide range of doses and to detect any potential to cause birth defects or cancer. If results warrant continuing development of the drug or biologic, the manufacturer will file for an Investigational New Drug Application, or IND, which must become effective by the FDA before starting the proposed clinical studies.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(approximately 3.5 to 6 years).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basic safety and pharmacology testing in 20 to 80 human subjects, usually healthy volunteers, and includes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how the drug works, if it is safe, how it is affected by other drugs, where it goes in the body, how long it remains active and how it is broken down and eliminated from the body.</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 to 2 years</w:t>
      </w:r>
      <w:r>
        <w:rPr>
          <w:rFonts w:ascii="Arial" w:cs="Arial" w:eastAsia="Arial" w:hAnsi="Arial"/>
          <w:sz w:val="18"/>
          <w:szCs w:val="18"/>
          <w:color w:val="auto"/>
        </w:rPr>
        <w:t>). Includes basic efficacy (effectiveness) and dose-range testing in a limited patient population (usually) 100 to 200 patients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best effective dose, confirm that the drug works as expected, and provide additional safety data. If the Phase II results are satisfactory and no clinical hold is enforced by the FDA, the Sponsor may proceed to Phase III studies.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Phase III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 to 3 years).</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studies in hundreds or thousands of patients at many investigational sites (hospitals and clinics). These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can be placebo-controlled trials, in which the new drug is compared with a “sugar pill”, or studies comparing the new drug with one or more drugs with established safety and efficacy profiles in the same therapeutic category.</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TIND (may span late Phase II, Phase III, and FDA review). </w:t>
      </w:r>
      <w:r>
        <w:rPr>
          <w:rFonts w:ascii="Arial" w:cs="Arial" w:eastAsia="Arial" w:hAnsi="Arial"/>
          <w:sz w:val="17"/>
          <w:szCs w:val="17"/>
          <w:color w:val="auto"/>
        </w:rPr>
        <w:t>When results from Phase II or Phase III show special promise in the treatment of a serious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for which existing therapeutic options are limited or of minimal value, the FDA may allow the Sponsor to make the new drug or biologic available to a larger number of patients through the regulated provision of a Treatment Investigational New Drug, or TIND. Although less scientifically rigorous than a controlled clinical trial, a TIND may enroll and collect a substantial amount of data from tens of thousands of patients.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NDA or BLA Preparation and Submission. </w:t>
      </w:r>
      <w:r>
        <w:rPr>
          <w:rFonts w:ascii="Arial" w:cs="Arial" w:eastAsia="Arial" w:hAnsi="Arial"/>
          <w:sz w:val="17"/>
          <w:szCs w:val="17"/>
          <w:color w:val="auto"/>
        </w:rPr>
        <w:t>Upon completion of Phase III trials, the Sponsor assembles the statistically analyzed data from all phases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into a single large submission along with the Chemistry and Manufacturing and preclinical data and the proposed labeling into the New Drug Application (NDA), or Biologics License Application (BLA) which today comprises, on average, approximately 100,000 pages.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FDA Review &amp; Approval of NDA or BLA (1 to 1.5 years). </w:t>
      </w:r>
      <w:r>
        <w:rPr>
          <w:rFonts w:ascii="Arial" w:cs="Arial" w:eastAsia="Arial" w:hAnsi="Arial"/>
          <w:sz w:val="17"/>
          <w:szCs w:val="17"/>
          <w:color w:val="auto"/>
        </w:rPr>
        <w:t>Data from all phases of development (including a TIND) is scrutinized to confirm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 has complied with all applicable regulations and that the drug or biologic is safe and effective for the specific use (or “indication”) under study. The FDA may refuse to accept the NDA or BLA if the Sponsor’s application has certain administrative or content criteria which do meet FDA standards. The FDA may also deny approval of the drug or biologic product if applicable regulatory requirements are not satisfied.</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Post-Marketing Surveillance and Phase IV Studies. </w:t>
      </w:r>
      <w:r>
        <w:rPr>
          <w:rFonts w:ascii="Arial" w:cs="Arial" w:eastAsia="Arial" w:hAnsi="Arial"/>
          <w:sz w:val="17"/>
          <w:szCs w:val="17"/>
          <w:color w:val="auto"/>
        </w:rPr>
        <w:t>Federal regulation requires the Sponsor to collect and periodically report to the FDA additional safety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efficacy data on the drug or biologic for as long as the Sponsor markets it (post-marketing surveillance).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the FDA and other regulatory agencies are requiring Sponsors of marketed drugs or biologics to prepare Risk Management plans which are aimed at assessing areas of product risk and plans for managing such risk should they occur. The FDA Amendment Act of 2007 has imposed additional regulatory requirements on Sponsors which address product safety, to conduct post-marketing surveillance studies and to submit the clinical trial information, including clinical study results, of investigational and marketed products to a databank managed and maintained by the National Institutes of Health. The information is accessible to the public via the worldwide web. This action was taken as a result to increase “public transparency” of Sponsor’s clinical studies and respective clinical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2009 was approximately $23.5 billion. We believe that the following trends create further growth opportunities for global CROs, although there is no assurance that growth will materialize.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Technologies such as combinational chemistry and high throughput screening, together with improved understanding of disease pathology (driven by scientific advances such as the mapping of the human genome) have greatly increased the number of new drug candidates being investigated in early development and greatly broadened the number of biological mechanisms being targeted by such candidates. This has lead to significant increased activity in both Preclinical and Phase I development which we believe will lead to more treatments in Phase II-III clinical trials. As the number of trials that need to be performed increases, we believe that drug developers will increasingly rely on CROs to manage these trials in order to continue to focus on drug discovery.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Declining productivity within Research and Development programs.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Whilst the total number of compounds that have entered clinical development has risen over the last few years, the number of novel drugs that have successfully been approved for marketing has remained relatively stable. Pharmaceutical and biotechnology companies have responded in a number of ways including looking to extend the product life cycle of existing drugs and initiating programs to drive efficiency in the development process. One example of this has been the efforts to achieve a more seamless transition across development phases, particularly Phase I-III. In parallel regulatory initiatives such as the FDA’s “Critical Path” and the emergence of techniques such as adaptive trial design are focused on ensuring unsafe or ineffective drugs are eliminated from the development process earlier, allowing effective treatments to get to patients quicker at potentially reduced development costs.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Pressure to Accelerate Time to Markets; Globalization of the Marketplace.</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 Alongside this, the increasing need to access pools of new patients is leading to the conduct of clinical trials in new “emerging regions” such as Eastern Europe, Latin America, Asia-Pacific, South America and India. We believe that having access to both traditional and emerging clinical research markets gives global CROs a competitive advantage.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Emergence of the Biotechnology Sector.</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nature of the drugs being developed is changing.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smaller biotechnology firms. We believe that it is to these organizations that the large pharmaceutical companies will look for an increasing proportion of their new drug pipelines. Whether it is through licensing agreements, joint ventures or equity investment, we believe we will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of Research and Development Activities of the Biotechnology Sector.</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emergence of the Biotechnology sector and the increasing number of highly technical drugs being developed by these companies has resulted in increased funding for research and development in recent years. Much of this funding was aimed at small biotechnology companies who do not derive revenues from the sale of other product lines and are dependent on external funding and investment to support their research activities. The current global downturn has reduced the availability of funding to support research and development activities which may reduce the number of treatments in Phase II-III clinical trials in future years. As many of these companies are dependent on the CRO industry to manage their trials the reduction in funding may impact demand for such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 although the CRO industry is itself facing increased cost containment pressures as drug companies seek to further reduce their cost base.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Number of Large Long-Term Studies.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to establish competitive claims,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wake of a number of high profile recalls of previously approved drugs, regulatory authorities, such as the FDA and the European Medicines Agency (“EMEA”), are increasingly demanding that sponsors make arrangements to track the long-term safety of their products. The clinical trial approval process can only detect major and common adverse side effects of drugs; less common but no less serious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 Furthermore, a variety of healthcare databases containing medical and prescribing records can be “data mined” to collect patient data from very large populations in support of on-going safety and efficacy assessments. Again, this sort of data management and biostatistical activity is well performed by CROs.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ICON Strategy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mission is to provide flexible, superior quality, global pharmaceutical development services, that enable clients to expedite development, reduce costs and establish the benefits of treatments that enhance people’s lives.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achieved exceptional growth since its founding in 1990. The impact of the International Conference on Harmonisation, and the globalization of clinical research that followed was a key driver, while at the same time there was acceleration in the understanding of human/molecular biology, which has led to many new treatment paths being explored.</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However, despite the increase in development activity, the number of compounds actually reaching the market has declined in recent years, putting pressure on pharmaceutical companies’ revenues and costs. This has been generally positive for CROs as outsourcing has been adopted to make costs more flexible. Regulatory conservatism, health budget constraints, and extraordinary economic and financial conditions are now putting even more pressure on the industry, and may conspire to create market volatility for CROs over the next couple of years, although we expect the increasing adoption of outsourcing as a core strategy by our customers to create further growth opportunities in the near-term. In addition, advances in molecular biology, we believe, will drive further growth in innovation in the long term which in turn will create further growth opportunities for the Company.</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One consequence of the above pressures will be even more emphasis on early stage development, as companies seek to filter compounds early to lower attrition rates, and therefore costs, in later phases. Regulatory pressures will also increase the emphasis on late stage (post marketing) surveillance.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As outsourcing penetration increases, we believe clients will seek a greater level of integration (although some will continue to purchase piecemeal).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creating greater connectivity and “seamlessness” between our services and divisions will be an important goal.</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continue to grow by increasing our market share with our existing client base and adding new clients within the Phase I-IV outsourced development services market; the aim being to ensure we will be considered for all major Phase I–IV projects.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We plan to do this by the following core strategies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Building deep strategic relationships with large clients</w:t>
      </w:r>
      <w:r>
        <w:rPr>
          <w:rFonts w:ascii="Arial" w:cs="Arial" w:eastAsia="Arial" w:hAnsi="Arial"/>
          <w:sz w:val="18"/>
          <w:szCs w:val="18"/>
          <w:color w:val="auto"/>
        </w:rPr>
        <w:t>.</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These will be clients that can contribute significant revenues per annum. To support this objective we are developing an expanded relationship management programme. We are also focused on developing closer data integration across our service lines and enhancing our project management capabilities.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Creating stronger differentiation across our services.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one “silver bullet” exists to drive differentiation, rather we need to continue to focus our efforts on driving better project execution; develop process and systems which can better integrate services; deepen our scientific expertise and innovate using technology</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Maintaining our company culture is also an important element toward differentiation, hence developing a pool of talent that will be the future leaders of the organization and guardians of this culture is critical to our success.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Retaining a flexible business model to respond to differing client outsourcing strategies.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Strategic client relationships will manifest themselves in many different forms. Hence we need the flexibility to offer both standalone and “full service” solutions through innovative commercial agreements. Many of these relationships will require new forms of collaboration across ICON divisions and departments.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 Scale in Early Phase Development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historically been sub-scale relative to our competition in Phase 1. Recent acquisitions and investments have addressed this scale issue and in parallel we have been building our scientific base in areas such as biomarker and large molecule bioanalysis. This scientific knowledge will be important as increasingly clients will be looking to their partners for advice and guidance on how to identify promising drug candidates (and kill off others) earlier in the development process. Having the right blend of scientific and commercial leadership in this area will be important as it grows.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Building scale in our post approval business.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continue to build additional expertise in this area (epidemiological, outcomes and regulatory), as evident from our recent acquisition of Oxford Outcomes, and may make further acquisitions to accelerate growth in this field.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Entering new / growing positions in selected markets</w:t>
      </w:r>
      <w:r>
        <w:rPr>
          <w:rFonts w:ascii="Arial" w:cs="Arial" w:eastAsia="Arial" w:hAnsi="Arial"/>
          <w:sz w:val="18"/>
          <w:szCs w:val="18"/>
          <w:color w:val="auto"/>
        </w:rPr>
        <w: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continue to build our position in emerging markets and have expanded our presence in Asia Pacific in places such as China and Japan. Additionally we are taking steps to address new and emerging markets such as the market for biosimilars and government sponsored research programmes.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Underpinning all the above strategies is the need to grow and retain talent within the organization. The Company’s talent review and succession planning processes are core to this objective.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Services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ICON specializes in the strategic development, management and analysis of programs that support Clinical Development - from compound selection to Phase I-IV clinical studies.</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core Clinical Research business specializes in the planning, management, execution and analysis of Phase I – IV clinical trials, ranging from small studies to complex, multinational projects. Specific clinical research services offered include:</w:t>
      </w:r>
    </w:p>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Investigator Recruitment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Study Monitoring and Data Collection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Case Report Form ("CRF") Preparation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Safety Monitoring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Data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IVR (Interactive Voice Response)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Patient Reported Outcomes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Reporting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Registries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Outcomes Research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Economics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Analysis and Data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Immunoassay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Pharmacokinetic and Pharmacodynamic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Consulting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 Staffing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Endpoint Adjudication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ICON Central Laboratories provides global central laboratory services dedicated exclusively to clinical trials. Specific services offered by ICON Central Laboratories include:</w:t>
      </w:r>
    </w:p>
    <w:p>
      <w:pPr>
        <w:spacing w:after="0" w:line="2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Sample analyses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Microbiology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flow cytometry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Electronic transmission of test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Biomarker Development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sales and marketing strategy is to focus our business development efforts on pharmaceutical, biotechnology and medical device companies whose development projects are advancing. By developing and maintaining strategic relationships with our clients, we gain repeat business, can leverage a full service portfolio and achieve lateral penetration into other therapeutic indications where applicable. Simultaneously, we are actively establishing new client relationships.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our sales and marketing activities are carried out locally by executives in each of the major locations, the sales and marketing process is coordinated centrally to ensure a consistent and differentiated market positioning for ICON and ongoing development of the ICON brand. In addition, all our business development professionals, senior executives and project team leaders share responsibility for the maintenance of key client relationships and business development activities.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information technology strategy is built around deploying IT systems to enable the delivery of our business services in a global environment. The focus is to provide ease of access to information for our staff and clients globally. Our current information systems are built on open standards and leading commercial business applications from vendors including Microsoft, Oracle, EMC, SAS, Phase Forward and Medidata. IT expenditure is authorized by strict IT Governance policies requiring senior level approval of all strategic IT expenditure. All critical business systems are formally delivered following a structured project management and systems delivery life cycle approach. Critical clinical information systems, which manage clinical data, are validated in accordance with FDA regulations and those of other equivalent regulatory bodies throughout the world.</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leading vendors in the industry. These include a clinical trial management application that tracks all relevant data in a trial and automates all management and reporting processes. In our Data Management function, we have deployed leading clinical data management solutions including Electronic Data Capture (EDC) and Clinical Data Warehouse solutions from leading industry vendors. This allows us to guarantee the integrity of client data and provide consolidated information across client studies.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state of the art workflow technology allows us to process clinical trial data seamlessly throughout the Company. We have also developed an interactive voice response system to increase the efficiency of clinical trials. This system provides features such as centralized patient randomization, drug inventory management, patient diary collection and provides our clients with a fully flexible data retrieval solution which can be utilized via telephone, internet browser or a WAP enabled device. In our central laboratory, we utilize a comprehensive suite of software, including a laboratory information management system (LIMS), a kit/sample management system and a web interface system to allow clients to review results online.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Recognizing that each client has its own requirements and systems, we seek to ensure an entirely flexible approach to client needs. An example of this flexibility is in the provision of portal solutions that allow clients access to study related information via a secure web based environment. We also provide secure remote access to client systems for clients who require us to utilize their internal platforms.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the Company’s global finance operations utilize the Oracle ebusiness suite to serve the organization’s financial and project accounting requirements.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strategy of using technology to enhance our global processes can be seen from our deployment of a global SOP Document Management system and a WEB based training delivery solution.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IT systems are operated from two centralized hubs in Philadelphia, Pennsylvania and Dublin, Ireland. Other offices are linked to these hubs through a resilient network that is managed by a tier one global telecommunications provider. Traveling staff can also access all systems via secure remote access facilities. A global corporate intranet portal provides access to all authorized data and applications for our internal staff as well as providing an internal platform for company wide communication.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Contractual Arrangements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generally awarded contracts based upon our response to requests for proposals received from companies in the pharmaceutical, biotechnology and medical device industries or work orders received under strategic partnership agreements.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revenues are earned from contracts which are generally either fixed price or units-based, based on certain activities and performance specifications. Payment terms usually provide either for payments based on the achievement of certain identified milestones or units delivered or monthly payments according to a fixed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 but this accounts for a small portion of overall project activities.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terms may range from several weeks to several years depending on the nature of the work to be performed. In most cases, a portion of the contract fee, typically 10% to 20%, is paid at the time the study or trial is started. The balance of the contract fee is generally payable in installments over the study or trial duration and may be based on the achievement of certain performance targets or "milestones" or, based on units delivered, or on a fixed monthly payment schedule. For instance, installment payments may be based on patient enrollment or delivery of the database. During the course of the study, the Company will generally incur reimbursable expenses.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client.</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currency in which contracts are priced can be different from the currencies in which costs relating to those contracts are incurred, we usually negotiate currency fluctuation clauses in our contracts which allow for price negotiation if changes in the relative value of those currencies exceed predetermined tolerances.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of our contracts are terminable immediately by the client with justifiable cause or with 30 to 90 days notice without cause. In the event of termination, we are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clients included all of the top 20 pharmaceutical companies as ranked by 2009 global revenues. During the year ended December 31, 2010 revenue was earned from over 640 clients.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 the past and may in the future derive a significant portion of our net revenue from a relatively limited number of major projects or clients. During the years ended December 31, 2010, December 31, 2009 and December 31, 2008, 33%, 27% and 29% respectively of our net revenues were derived from our top five clients. No one client contributed more than 10% of net revenues during the years ended December 31, 2010, December 31, 2009 and December 31, 2008. We believe that the importance of certain clients reflects our success in penetrating our client base. The loss of, or a significant decrease in business from one or more of these key clients could result in a material adverse effect.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2010 we had a backlog of approximately $1.9 billion, compared with approximately $1.8 billion at December 31, 2009.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CRO industry is highly fragmented, consisting of several hundred small, limited-service providers and a limited number of medium-sized and large CROs with global operations. We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and patients,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Covance Inc., PAREXEL International Corporation, Pharmaceutical Product Development Inc., and Quintiles Transnational Corporation. Globalization is driving market share to global CRO’s while the trend toward CRO industry consolidation has resulted in heightened competition among the larger CROs for clients and acquisition candidates.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that we are legally accountable for the medical care rendered by third party investigators, it is possible that we could be subject to claims and expenses arising from any professional malpractice of the investigators with whom we contract.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could be liable for errors and/or omissions in connection with the services we perform and this could result in us being liable to make large payments to sponsor(s) or other parties.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we are asked to act as the legal representative of a client in certain jurisdictions where the client does not itself have a legal entity but where legislation requires it to do so. As we believe that acting as legal representative of clients might expose us to a higher risk of liability, there is an entity within the ICON Group designated to provide this service in relevant jurisdictions subject to certain preconditions being met. The preconditions relate to obtaining protections such as specific insurance and indemnities from the client to cover the nature of the exposure.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further attempt to reduce our risks through seeking contractual indemnification provisions with clients and through insurance maintained by clients, investigators and us. However, the contractual indemnifications from our clients generally do not protect us in certain circumstances or against our own actions such as our negligence or poor performance.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In addition, we also indemnify our clients where our performance does not reach the required contractual standard, such as our negligence or poor performance. We maintain worldwide professional liability insurance and while we believe that our insurance coverage is adequate there can be no assurance that we will continue to be able to maintain such insurance coverage on terms acceptable to us, if at all. We could be materially adversely affected if we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-10160</wp:posOffset>
            </wp:positionV>
            <wp:extent cx="28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1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providing our services in the United States, we are obligated to comply with FDA requirements governing such activities. These include ensuring that the study is approved by an appropriate independent review board (“IRB”)/Ethics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 during audits.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services we provide outside the United States are ultimately subject to similar regulation by the relevant regulatory authority, including the Medicines Control Agency in the United Kingdom and the Bundesinstitut für Arzneimittel und Medizinprodukte in Germany. In addition, our activities in Europe are affected by the European Medicines Evaluation Agency, which is based in London, England.</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must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2009, we received a warning letter from the U.S. Food and Drug Administration (FDA) regarding clinical study management services provided by the company to one of its clients in relation to two studies conducted between 2004 and 2006. These studies related to the development of an antibiotic for the treatment of complicated skin and skin-structure infections. The FDA letter arose from its inspections of the company’s client and selected clinical sites and follows a similar letter issued to that client. On January 13, 2010 we submitted a response to the FDA and received a letter from the FDA on September 27, 2010 acknowledging receipt of our response and requesting further clarification around some details set out in our letter of January 13, 2010. We made a further submission to the FDA on November 22, 2010, addressing matters from the September 27, 2010 letter from the FDA. We remain committed to working cooperatively and expeditiously with the FDA to address the matters raised in the warning letter. We are unable to predict at this time the financial consequences, if any, of the issues raised by the letter.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Organizational Structure</w:t>
            </w:r>
          </w:p>
        </w:tc>
        <w:tc>
          <w:tcPr>
            <w:tcW w:w="392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59"/>
        </w:trPr>
        <w:tc>
          <w:tcPr>
            <w:tcW w:w="50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Name</w:t>
            </w:r>
          </w:p>
        </w:tc>
        <w:tc>
          <w:tcPr>
            <w:tcW w:w="3920" w:type="dxa"/>
            <w:vAlign w:val="bottom"/>
          </w:tcPr>
          <w:p>
            <w:pPr>
              <w:ind w:left="1360"/>
              <w:spacing w:after="0"/>
              <w:rPr>
                <w:sz w:val="20"/>
                <w:szCs w:val="20"/>
                <w:color w:val="auto"/>
              </w:rPr>
            </w:pPr>
            <w:r>
              <w:rPr>
                <w:rFonts w:ascii="Arial" w:cs="Arial" w:eastAsia="Arial" w:hAnsi="Arial"/>
                <w:sz w:val="18"/>
                <w:szCs w:val="18"/>
                <w:b w:val="1"/>
                <w:bCs w:val="1"/>
                <w:i w:val="1"/>
                <w:iCs w:val="1"/>
                <w:color w:val="auto"/>
              </w:rPr>
              <w:t>Country of incorporation</w:t>
            </w:r>
          </w:p>
        </w:tc>
        <w:tc>
          <w:tcPr>
            <w:tcW w:w="2500" w:type="dxa"/>
            <w:vAlign w:val="bottom"/>
          </w:tcPr>
          <w:p>
            <w:pPr>
              <w:jc w:val="center"/>
              <w:ind w:left="130"/>
              <w:spacing w:after="0"/>
              <w:rPr>
                <w:sz w:val="20"/>
                <w:szCs w:val="20"/>
                <w:color w:val="auto"/>
              </w:rPr>
            </w:pPr>
            <w:r>
              <w:rPr>
                <w:rFonts w:ascii="Arial" w:cs="Arial" w:eastAsia="Arial" w:hAnsi="Arial"/>
                <w:sz w:val="18"/>
                <w:szCs w:val="18"/>
                <w:b w:val="1"/>
                <w:bCs w:val="1"/>
                <w:i w:val="1"/>
                <w:iCs w:val="1"/>
                <w:color w:val="auto"/>
                <w:w w:val="89"/>
              </w:rPr>
              <w:t>Group ownership*</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Limited</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Republic of Ireland</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Inc.</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USA</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(UK) Limited</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United Kingdom</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GmbH</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Germany</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SARL</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France</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Israel Limited</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Israel</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Espana S.L.</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Spain</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Kft</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Hungary</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S.R.L.</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Romania</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LLC</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Ukraine</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Holdings</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Republic of Ireland</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Holdings Clinical Research International Limited</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Republic of Ireland</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S.R.O.</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Czech Republic</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(Canada) Inc.</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Canada</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Pty Limited</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Australia</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(New Zealand) Limited</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New Zealand</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Japan K.K.</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Japan</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Pte. Limited</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Singapore</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Korea Yuhan Hoesa</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Korea</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India Private Limited</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India</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S.A.</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Argentina</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Pesquisas Clinicas LTDA</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Brazil</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México, S.A. de C.V.</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Mexico</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Chile Limitada</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Chile</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Peru SA</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Peru</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Clinical Research Sucursal Colombia</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Colombia</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5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Development Solutions Limited</w:t>
            </w:r>
          </w:p>
        </w:tc>
        <w:tc>
          <w:tcPr>
            <w:tcW w:w="39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UK</w:t>
            </w:r>
          </w:p>
        </w:tc>
        <w:tc>
          <w:tcPr>
            <w:tcW w:w="25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608"/>
        </w:trPr>
        <w:tc>
          <w:tcPr>
            <w:tcW w:w="5000" w:type="dxa"/>
            <w:vAlign w:val="bottom"/>
          </w:tcPr>
          <w:p>
            <w:pPr>
              <w:spacing w:after="0"/>
              <w:rPr>
                <w:sz w:val="24"/>
                <w:szCs w:val="24"/>
                <w:color w:val="auto"/>
              </w:rPr>
            </w:pPr>
          </w:p>
        </w:tc>
        <w:tc>
          <w:tcPr>
            <w:tcW w:w="3920" w:type="dxa"/>
            <w:vAlign w:val="bottom"/>
          </w:tcPr>
          <w:p>
            <w:pPr>
              <w:ind w:left="620"/>
              <w:spacing w:after="0"/>
              <w:rPr>
                <w:sz w:val="20"/>
                <w:szCs w:val="20"/>
                <w:color w:val="auto"/>
              </w:rPr>
            </w:pPr>
            <w:r>
              <w:rPr>
                <w:rFonts w:ascii="Arial" w:cs="Arial" w:eastAsia="Arial" w:hAnsi="Arial"/>
                <w:sz w:val="18"/>
                <w:szCs w:val="18"/>
                <w:color w:val="auto"/>
              </w:rPr>
              <w:t>22</w:t>
            </w:r>
          </w:p>
        </w:tc>
        <w:tc>
          <w:tcPr>
            <w:tcW w:w="2500" w:type="dxa"/>
            <w:vAlign w:val="bottom"/>
          </w:tcPr>
          <w:p>
            <w:pPr>
              <w:spacing w:after="0"/>
              <w:rPr>
                <w:sz w:val="24"/>
                <w:szCs w:val="24"/>
                <w:color w:val="auto"/>
              </w:rPr>
            </w:pPr>
          </w:p>
        </w:tc>
      </w:tr>
      <w:tr>
        <w:trPr>
          <w:trHeight w:val="118"/>
        </w:trPr>
        <w:tc>
          <w:tcPr>
            <w:tcW w:w="500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Contracting Solutions,Inc.</w:t>
            </w:r>
          </w:p>
        </w:tc>
        <w:tc>
          <w:tcPr>
            <w:tcW w:w="40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USA</w:t>
            </w:r>
          </w:p>
        </w:tc>
        <w:tc>
          <w:tcPr>
            <w:tcW w:w="2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100%</w:t>
            </w:r>
          </w:p>
        </w:tc>
      </w:tr>
      <w:tr>
        <w:trPr>
          <w:trHeight w:val="216"/>
        </w:trPr>
        <w:tc>
          <w:tcPr>
            <w:tcW w:w="4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DOCS International BV</w:t>
            </w:r>
          </w:p>
        </w:tc>
        <w:tc>
          <w:tcPr>
            <w:tcW w:w="40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Netherlands</w:t>
            </w:r>
          </w:p>
        </w:tc>
        <w:tc>
          <w:tcPr>
            <w:tcW w:w="2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100%</w:t>
            </w:r>
          </w:p>
        </w:tc>
      </w:tr>
      <w:tr>
        <w:trPr>
          <w:trHeight w:val="216"/>
        </w:trPr>
        <w:tc>
          <w:tcPr>
            <w:tcW w:w="4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Development Solutions Inc.</w:t>
            </w:r>
          </w:p>
        </w:tc>
        <w:tc>
          <w:tcPr>
            <w:tcW w:w="40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USA</w:t>
            </w:r>
          </w:p>
        </w:tc>
        <w:tc>
          <w:tcPr>
            <w:tcW w:w="2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100%</w:t>
            </w:r>
          </w:p>
        </w:tc>
      </w:tr>
      <w:tr>
        <w:trPr>
          <w:trHeight w:val="216"/>
        </w:trPr>
        <w:tc>
          <w:tcPr>
            <w:tcW w:w="4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Central Laboratories Inc.</w:t>
            </w:r>
          </w:p>
        </w:tc>
        <w:tc>
          <w:tcPr>
            <w:tcW w:w="40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USA</w:t>
            </w:r>
          </w:p>
        </w:tc>
        <w:tc>
          <w:tcPr>
            <w:tcW w:w="2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100%</w:t>
            </w:r>
          </w:p>
        </w:tc>
      </w:tr>
      <w:tr>
        <w:trPr>
          <w:trHeight w:val="216"/>
        </w:trPr>
        <w:tc>
          <w:tcPr>
            <w:tcW w:w="4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Beacon Bioscience, Inc.</w:t>
            </w:r>
          </w:p>
        </w:tc>
        <w:tc>
          <w:tcPr>
            <w:tcW w:w="40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USA</w:t>
            </w:r>
          </w:p>
        </w:tc>
        <w:tc>
          <w:tcPr>
            <w:tcW w:w="2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100%</w:t>
            </w:r>
          </w:p>
        </w:tc>
      </w:tr>
      <w:tr>
        <w:trPr>
          <w:trHeight w:val="216"/>
        </w:trPr>
        <w:tc>
          <w:tcPr>
            <w:tcW w:w="4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Healthcare Discoveries Inc</w:t>
            </w:r>
          </w:p>
        </w:tc>
        <w:tc>
          <w:tcPr>
            <w:tcW w:w="40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USA</w:t>
            </w:r>
          </w:p>
        </w:tc>
        <w:tc>
          <w:tcPr>
            <w:tcW w:w="2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100%</w:t>
            </w:r>
          </w:p>
        </w:tc>
      </w:tr>
      <w:tr>
        <w:trPr>
          <w:trHeight w:val="216"/>
        </w:trPr>
        <w:tc>
          <w:tcPr>
            <w:tcW w:w="4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Prevalere Life Sciences Inc</w:t>
            </w:r>
          </w:p>
        </w:tc>
        <w:tc>
          <w:tcPr>
            <w:tcW w:w="40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USA</w:t>
            </w:r>
          </w:p>
        </w:tc>
        <w:tc>
          <w:tcPr>
            <w:tcW w:w="2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100%</w:t>
            </w:r>
          </w:p>
        </w:tc>
      </w:tr>
      <w:tr>
        <w:trPr>
          <w:trHeight w:val="216"/>
        </w:trPr>
        <w:tc>
          <w:tcPr>
            <w:tcW w:w="4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Timaq Medical Imaging AG</w:t>
            </w:r>
          </w:p>
        </w:tc>
        <w:tc>
          <w:tcPr>
            <w:tcW w:w="40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Switzerland</w:t>
            </w:r>
          </w:p>
        </w:tc>
        <w:tc>
          <w:tcPr>
            <w:tcW w:w="2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All shareholdings comprise ordinary shares.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of approximately 16,000 square meters. We lease all other properties under operating leases.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maintain three offices in New York and Pennsylvania, two offices in each of the following US cities: Chicago and San Antonio, and one office in each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U.S. cities: San Francisco, Nashville, Wilmington, Raleigh, Baltimore, San Diego, Omaha and Houston.</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European operations maintain two offices in Amsterdam, Frankfurt and Stockholm and one office in each of the following cities: Southampton, Marlow, Manchester, Edinburgh, Munich, Helsinki, Milan, Barcelona, Riga, Budapest, Vilnius, Prague, Kiev, Bucharest, Moscow, Novosibirsk, Tel Aviv, Paris, Warsaw, Zurich and Madrid.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maintain two offices in Singapore and Bangalore and one office in each of the following cities: Auckland, Sydney, Tokyo, Osaka, Seoul, Beijing, Taipei, Hong Kong, Bangkok, Chennai, Tianjin, Shanghai, Manila, Trivandrum, New Delhi, Johannesburg, Montreal, Mexico City, Sao Paolo, Lima, Buenos Aires, Bogota and Santiago.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We can implement a range of resourcing models to suit client requirements, and increasingly our teams are flexibly applied to minimize costs for our clients.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 highly fragmented industry, we are one of a small number of companies with the capability and expertise to conduct clinical trials in all major therapeutic areas on a global basis. Currently, we have 7,735 employees, in 73 locations in 39 countries, providing Phase I-IV Clinical Trial Management, Drug Development Support Services, Data Management, Biostatistics, Central Laboratory, Imaging and Contract Staffing services.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2010 we had a backlog of approximately $1.9 billion, compared with approximately $1.8 billion at December 31, 2009.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17 operations operating in U.S. dollars, 11 trading in Euros, 5 in Indian Rupee, 4 in pounds Sterling, 3 in Chinese Yuan Renminbi, 2 each in Russian Rouble, Japanese Yen, Swedish Krona and Singapore dollars and 1 each in Polish Zloty, Israeli New Shekels, Latvian Lats, Hungarian Forint, Czech Koruna, Ukraine Hryvnia, Romanian New Leu, Lithuanian Litas, South African Rand, Australian dollars, Hong Kong dollar, Taiwan dollar, South Korean Won, Thai Baht, New Zealand dollars, Argentine Peso, Mexican Peso, Brazilian Real, Chilean Peso, Colombian Peso, Peruvian Neuvo Sol, Swiss Franc, Philippines Peso, and Canadian dollar .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500" w:type="dxa"/>
            <w:vAlign w:val="bottom"/>
            <w:gridSpan w:val="2"/>
          </w:tcPr>
          <w:p>
            <w:pPr>
              <w:jc w:val="right"/>
              <w:ind w:right="1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28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000" w:type="dxa"/>
            <w:vAlign w:val="bottom"/>
          </w:tcPr>
          <w:p>
            <w:pPr>
              <w:jc w:val="right"/>
              <w:ind w:right="670"/>
              <w:spacing w:after="0"/>
              <w:rPr>
                <w:sz w:val="20"/>
                <w:szCs w:val="20"/>
                <w:color w:val="auto"/>
              </w:rPr>
            </w:pPr>
            <w:r>
              <w:rPr>
                <w:rFonts w:ascii="Arial" w:cs="Arial" w:eastAsia="Arial" w:hAnsi="Arial"/>
                <w:sz w:val="18"/>
                <w:szCs w:val="18"/>
                <w:b w:val="1"/>
                <w:bCs w:val="1"/>
                <w:color w:val="auto"/>
              </w:rPr>
              <w:t>2009</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r>
      <w:tr>
        <w:trPr>
          <w:trHeight w:val="234"/>
        </w:trPr>
        <w:tc>
          <w:tcPr>
            <w:tcW w:w="3980" w:type="dxa"/>
            <w:vAlign w:val="bottom"/>
          </w:tcPr>
          <w:p>
            <w:pPr>
              <w:spacing w:after="0"/>
              <w:rPr>
                <w:sz w:val="20"/>
                <w:szCs w:val="20"/>
                <w:color w:val="auto"/>
              </w:rPr>
            </w:pPr>
          </w:p>
        </w:tc>
        <w:tc>
          <w:tcPr>
            <w:tcW w:w="43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Percentage of Net Revenue</w:t>
            </w:r>
          </w:p>
        </w:tc>
        <w:tc>
          <w:tcPr>
            <w:tcW w:w="31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4"/>
              </w:rPr>
              <w:t>Percentage Increase/(Decrease)</w:t>
            </w:r>
          </w:p>
        </w:tc>
      </w:tr>
      <w:tr>
        <w:trPr>
          <w:trHeight w:val="432"/>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2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Costs and expenses:</w:t>
            </w:r>
          </w:p>
        </w:tc>
        <w:tc>
          <w:tcPr>
            <w:tcW w:w="2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57.2%</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60.1%</w:t>
            </w:r>
          </w:p>
        </w:tc>
        <w:tc>
          <w:tcPr>
            <w:tcW w:w="2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20" w:type="dxa"/>
            <w:vAlign w:val="bottom"/>
          </w:tcPr>
          <w:p>
            <w:pPr>
              <w:jc w:val="right"/>
              <w:ind w:right="230"/>
              <w:spacing w:after="0"/>
              <w:rPr>
                <w:sz w:val="20"/>
                <w:szCs w:val="20"/>
                <w:color w:val="auto"/>
              </w:rPr>
            </w:pPr>
            <w:r>
              <w:rPr>
                <w:rFonts w:ascii="Arial" w:cs="Arial" w:eastAsia="Arial" w:hAnsi="Arial"/>
                <w:sz w:val="18"/>
                <w:szCs w:val="18"/>
                <w:color w:val="auto"/>
              </w:rPr>
              <w:t>26.0%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25.9%</w:t>
            </w:r>
          </w:p>
        </w:tc>
        <w:tc>
          <w:tcPr>
            <w:tcW w:w="2000" w:type="dxa"/>
            <w:vAlign w:val="bottom"/>
          </w:tcPr>
          <w:p>
            <w:pPr>
              <w:jc w:val="right"/>
              <w:ind w:right="450"/>
              <w:spacing w:after="0"/>
              <w:rPr>
                <w:sz w:val="20"/>
                <w:szCs w:val="20"/>
                <w:color w:val="auto"/>
              </w:rPr>
            </w:pPr>
            <w:r>
              <w:rPr>
                <w:rFonts w:ascii="Arial" w:cs="Arial" w:eastAsia="Arial" w:hAnsi="Arial"/>
                <w:sz w:val="18"/>
                <w:szCs w:val="18"/>
                <w:color w:val="auto"/>
              </w:rPr>
              <w:t>(7.2%)</w:t>
            </w: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432"/>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2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One-time net charges</w:t>
            </w:r>
          </w:p>
        </w:tc>
        <w:tc>
          <w:tcPr>
            <w:tcW w:w="282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510"/>
              <w:spacing w:after="0"/>
              <w:rPr>
                <w:sz w:val="20"/>
                <w:szCs w:val="20"/>
                <w:color w:val="auto"/>
              </w:rPr>
            </w:pPr>
            <w:r>
              <w:rPr>
                <w:rFonts w:ascii="Arial" w:cs="Arial" w:eastAsia="Arial" w:hAnsi="Arial"/>
                <w:sz w:val="18"/>
                <w:szCs w:val="18"/>
                <w:color w:val="auto"/>
              </w:rPr>
              <w:t>100%</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12.1%</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20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to year ended December 31, 2009</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revenue for the year increased by $12.4 million, or 1.4%, from $887.6 million for the year ended December 31, 2009 to $900.0 million for the year ended December 31, 2010. Net revenue in our clinical research segment increased by 2.4% from $816.9 million for the year ended December 31, 2009 to $836.2 million for the year ended December 31, 2010. In our central laboratory business net revenue decreased by 9.8% from $70.7 million for the year ended December 31, 2009 to $63.8 million for the year ended December 31, 2010. This decrease was primarily attributable to a slower rate of conversion on central laboratory business awards, due to both a delay in study start-ups and an increase in the average duration of central laboratory studies. For the year ended December 31, 2010 we derived approximately 42.3%, 46.9% and 10.8% of our net revenue in the United States, Europe and Rest of World,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7"/>
          <w:szCs w:val="17"/>
          <w:color w:val="auto"/>
        </w:rPr>
        <w:t>Direct costs for the year increased by $33.6 million, or 6.6%, from $507.8 million for the year ended December 31, 2009 to $541.4 million for the year ended December 31, 2010. Direct costs comprise compensation, associated fringe benefits and share based compensation expense for project related employees, together with other direct project driven costs. The increase in direct costs during the year was primarily attributable to an increase in compensation costs for project related employees of $32.5 million. Travel costs for project-related employees increased by $6.5 million while other direct project-related expenses decreased by $5.4 million. In our clinical research segment, direct costs increased by 6.1 % or $28.5 million during the year. The Company has entered a number of strategic relationships with sponsors and expanded operations in certain territories, requiring significant upfront investment in personnel and a corresponding increase in direct costs. In our central laboratory business, direct costs increased by 12.0% or $5.0 million during the year, primarily attributable to increased investment in personnel and systems in this business. As a percentage of net revenue, direct costs have increased from 57.2% for the year ended December 31, 2009 to 60.1% for the year ended December 31, 2010.</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for the year increased by $1.8 million, or 0.8%, from $230.9 million for the year ended December 31, 2009 to $232.7 million for the year ended December 31, 2010. Selling, general and administrative expenses comprise compensation, related fringe benefits and share based compensation expense for non-project related employees, professional service costs, recruitment expenditure, advertising costs and all costs related to facilities and information systems. Compensation, related fringe benefits and share-based compensation expense increased by $3.0 million during the year, travel costs increased by $2.1 million, while recruitment expenditure, for both project and non-project related employees, increased by $2.6 million. These increases were offset by decreases in facilities related expenditure of $2.3 million and decreases in other general overheads of $3.6 million. In our clinical research segment, selling, general and administrative expenses decreased by $3.3 million or 1.6% during the year. This was offset by an increase in our central laboratory business, where selling general and administrative expenses increased by $5.1 million or 25.6%, a result of our significant investment in personnel and systems in this business during the year. As a percentage of net revenue, selling, general and administrative expenses, decreased from 26.0% for the year ended December 31, 2009 to 25.9% for the year ended December 31, 2010.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Total share based compensation expense recognized during the years ended December 31, 2010 and December 31, 2009 amounted to $7.4 million.</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for the year increased by $1.2 million, or 3.7%, from $32.7 million for the year ended December 31, 2009 to $33.9 million for the year ended December 31, 2010. As a percentage of net revenue, depreciation and amortization increased from 3.7% of net revenues for the year ended December 31, 2009 to 3.8% for the year ended December 31, 2010. This increase relates primarily to our continued investment in facilities and equipment to support the Company’s growth.</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One-time net charges of $8.8 million were recognized during the year ended December 31, 2009. In response to the globalization of clinical studies and its attendant impact on resources in existing and emerging markets, the Company conducted a review of its existing infrastructure during the early months of 2009 to better align its resources with the needs of its clients. This realignment resulted in resource rationalizations in certain more mature markets and the recognition of a restructuring charge of $13.3 million in the second quarter of 2009. This was offset by research and development incentives of $4.5 million received by the Company in certain European Union jurisdictions in which it operates.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Income from operations for the year decreased by $15.4 million, or 14.3%, from $107.5 million for the year ended December 31, 2009 to $92.1 million for the year ended December 31, 2010. As a percentage of net revenue, income from operations decreased from 12.1% of net revenues for the year ended December 31, 2009 to 10.2% of net revenues for the year ended December 31, 2010. In our clinical research segment, income from operations for the year increased by $2.4 million, or 2.4%, from $102.4 million for the year ended December 31, 2009 to $104.8 million for the year ended December 31, 2010. As a percentage of net revenue income from operations was 12.5% of net revenues in both years. In our central laboratory business, income/(loss) from operations for the year decreased by $17.8 million, from income of $5.0 million for the year ended December 31, 2009 to a loss of $12.8 million for the year ended December 31, 2010. As a percentage of net revenue income/(loss) from operations decreased from 7.1% for the year ended December 31, 2009 to (20.0)% for the year ended December 31, 2010. The Company’s significant investment in personnel and systems, together with the slower than expected conversion of business awards, has negatively impacted the central laboratory’s operating margin during the year ended December 31, 2010. During the year ended December 31, 2009 the Company’s income from operations, excluding the impact of one-time net charges, was 13.1%, being 13.6% for our clinical research segment and 7.6% for our central laboratory business.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spacing w:after="0" w:line="276" w:lineRule="auto"/>
        <w:rPr>
          <w:sz w:val="20"/>
          <w:szCs w:val="20"/>
          <w:color w:val="auto"/>
        </w:rPr>
      </w:pPr>
      <w:r>
        <w:rPr>
          <w:rFonts w:ascii="Arial" w:cs="Arial" w:eastAsia="Arial" w:hAnsi="Arial"/>
          <w:sz w:val="17"/>
          <w:szCs w:val="17"/>
          <w:color w:val="auto"/>
        </w:rPr>
        <w:t>Net interest income for the year ended December 31, 2010 was $0.6 million, compared with net interest expense of $2.8 million for the year ended December 31, 2009. Interest income for the period increased from $0.8 million for the year ended December 31, 2009 to $1.8 million for the year ended December 31, 2010. This increase arose from an increase in cash balances during the year, together with an increase in the rate of return earned on those balances. Interest expense for the period decreased from $3.5 million for the year ended December 31, 2009 to $1.1 million for the year ended December 31, 2010. During the year ended December 31, 2009 the Company repaid amounts previously drawn under negotiated facilities.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Provision for income taxes decreased from $10.4 million for the year ended December 31, 2009 to $5.7 million for the year ended December 31, 2010. During the year ended December 31, 2010 the Company recognized $9.7 million in unrecognized tax benefits for uncertain tax positions, arising from both the settlement of positions with the relevant tax authorities and the expiration of the relevant statute of limitations in certain jurisdictions, thereby allowing for the recognition of these benefits during the current year. During the year ended December 31, 2009 corporation tax refunds related to research and development tax credits were received by the Company in certain European Union jurisdictions. The Company recognized a net benefit of $10.6 million in its provision for income taxes for the year ended December 31, 2009 for research and development tax credits related to prior years but received during 2009. The Company’s effective tax rate for the year ended December 31, 2010 was 6.1% compared with 9.9% for the year ended December 31, 2009. Excluding the impact of the release of uncertain tax provisions during the year ended December 31, 2010 and the impact of research and development tax credits recognized during the year ended December 31, 2009, the Company would have had an effective tax rate of 17.0% for the year ended December 31, 2010, compared to an effective tax rate of 20.0% for the year ended December 31, 2009.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 compared to year ended December 31, 2008</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revenue for the year increased by $22.4 million, or 2.6%, from $865.2 million for the year ended December 31, 2008 to $887.6 million for the year ended December 31, 2009. Net revenue in our central research segment increased by 2.9% from $794.1 million for the year ended December 31, 2008 to $816.9 million for the year ended December 31, 2009. In our central laboratory business, net revenue decreased by 0.6% from $71.1 million for the year ended December 31, 2008 to $70.7 million for the year ended December 31, 2009. For the year ended December 31, 2009 we derived approximately 46.0%, 45.4% and 8.6% of our net revenue in the United States, Europe and Rest of World, respectively. The rate of increase in net revenue has reduced over prior periods as a result of the global economic downturn, its impact on market confidence and the availability of funding for drug development.</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year increased by $18.6 million, or 3.8%, from $489.2 million for the year ended December 31, 2008 to $507.8 million for the year ended December 31, 2009. Direct costs consist primarily of compensation, associated fringe benefits and share based compensation expense for project-related employees and other direct project driven costs. This increase was primarily due to increased compensation costs for project related employees of $15.7 million, increased laboratory expenses of $1.6 million and an increase in other direct project related costs of $6.5 million. These increases were offset by a reduction in travel costs for project related employees of $5.2 million. Direct costs as a percentage of net revenue increased to 57.2% in the year ended December 31, 2009 compared to 56.5% in the year ended December 31, 2008.</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expenses for the year reduced by $17.8 million, or 7.2%, from $248.8 million for the year ended December 31, 2008 to $231.0 million for the year ended December 31, 2009. Selling, general and administrative expenses consist of compensation, related fringe benefits and share based compensation expense for selling and administrative employees, professional service costs, recruitment costs, advertising costs and all costs related to facilities and information systems. The decrease in selling, general and administrative expenses arises principally from decreases of $7.0 million in personnel related costs, comprising salary and travel costs for non project-related employees and recruitment expenditure. Facility and information system costs decreased by $2.1 million, principally as a result of a reduction in utility costs and support and maintenance costs. The remainder of the decrease arises from a decrease in other general overhead costs. As a percentage of net revenue, selling, general and administrative expenses, decreased from 28.8% for the year ended December 31, 2008 to 26.0% for the year ended December 31, 2009.</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Total share based compensation expense recognized during the year ended December 31, 2009 amounted to $7.4 milllion compared to $6.1 million during the year ended December 31, 2008.</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for the year increased by $5.0 million, or 17.8%, from $27.7 million for the year ended December 31, 2008 to $32.7 million for the year ended December 31, 2009. As a percentage of net revenue, depreciation and amortization expense increased from 3.2% of net revenues for the year ended December 31, 2008 to 3.7% for the year ended December 31, 2009. This increase relates primarily from our continued investment in facilities and equipment to support the Company’s growth.</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One-time net charges of $8.8 million were recognized during the year ended December 31, 2009. In response to the globalization of clinical studies and its attendant impact on resources in existing and emerging markets, the Company conducted a review of its existing infrastructure during the early months of 2009 to better align its resources with the needs of its clients. This realignment resulted in resource rationalizations in certain more mature markets and the recognition of a restructuring charge of $13.3 million in the second quarter of 2009. This was partially offset by research and development incentives of $4.5 million received by the Company in certain European Union jurisdictions in which it operates.</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from operations for the year increased by $8.0 million, or 8.0%, from $99.5 million for the year ended December 31, 2008 to $107.5 million for the year ended December 31, 2009. As a percentage of net revenue, income from operations increased from 11.5% of net revenues for the year ended December 31, 2008 to 12.1% for the year ended December 31, 2009. Excluding the impact of one-time net charges recognized during the period, income from operations as a percentage of net revenue increased from 11.5% for the year ended December 31, 2008 to 13.1% for the year ended December 31, 2009.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for the year ended December 31, 2009 was $2.8 million, compared with net interest expense of $1.2 million for the year ended December 31, 2008. Interest expense for the period decreased from $4.1 million for the year ended December 31, 2008 to $3.5 million for the year ended December 31, 2009. Interest income for the period decreased from $2.9 million for the year ended December 31, 2008 to $0.8 million for the year ended December 31, 2009.</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Provision for income taxes decreased from $20.0 million for the year ended December 31, 2008 to $10.4 million for the year ended December 31, 2009. The Company’s effective tax rate for the year ended December 31, 2009 was 9.9% compared with 20.3% for the year ended December 31, 2008. The decrease in the effective tax rate during the period arose principally from corporation tax refunds relating to research and development tax credits received in certain European Union jurisdictions. The Company recognized a net benefit of $10.6 million in its 2009 tax charge for research and development tax credits relating to previous years, but received in 2009. Excluding the impact of these research and development tax credits recognized during the period, the Company’s effective tax rate decreased from 20.3% for the year ended December 31, 2008 to 20.0% for the year ended December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information systems enhancements, the purchase of short term investments and acquisitions.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color w:val="auto"/>
        </w:rPr>
        <w:t>The Company’s total cash balances at December 31, 2010 amounted to $255.7 million compared with total cash balances of $194.0 million at December 31, 2009. Cash balances at December 31, 2010 comprised cash and cash equivalents of $255.7 million. Cash balances at December 31, 2009 comprised cash and cash equivalents of $144.8 million and short term investments of $49.2 million. Working capital, comprising total current assets less total current liabilities, increased by $93.5 million during the year from $235.9 million at December 31, 2009 to $329.4 million at December 31, 2010. This increase arose primarily from an increase in cash and cash equivalents. Additional borrowings available to the Group under negotiated facilities at December 31, 2010 amounted to $55.9 million compared with $162.5 million at December 31, 2009.</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amounted to $87.4 million for the year ended December 31, 2010 compared with net cash provided by operating activities of $255.1 million for the year ended December 31, 2009.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Improved working capital management during the year ended December 31, 2009 resulted in a significant increase in cash inflows from operating activities and a corresponding decrease in the number of days revenue outstanding, from 70 days at December 31, 2008 to 33 days at December 31, 2009. The number of days revenue outstanding at December 31, 2010 was 37 days.</w:t>
      </w: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cash provided by investing activities amounted to $14.6 million for the year ended December 31, 2010 compared to net cash used in investing activities of $65.7 million for the year ended December 31, 2009. Cash flows from investing activities during the year ended December 31, 2010 arose principally from the sale of short term investments offset by capital expenditure and cash paid to acquire subsidiary undertakings. During the year ended December 31, 2010 the Company received a net $49.2 million from the sale of its short term investments. The Company actively manages its available cash resources to try to ensure optimum returns. Amounts received from the sale of short term investments during the year were reinvested in cash and cash equivalents. Capital expenditure for the year ended December 31, 2010 amounted to $30.9 million, and was comprised mainly of expenditure on global infrastructure and information technology systems to support the Company’s growth. Cash paid on acquisitions during the year ended December 31, 2010 amounted to $3.7 million. $1.5 million was paid by the Company during the year ended December 31, 2010 in respect of the acquisition of Timaq Medical Imaging. In addition, $2.2 million was paid to the former shareholders of Healthcare Discoveries in full and final settlement of certain performance milestones payable.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2010 amounted to $15.3 million compared with net cash used of $105.1 million for the year ended December 31, 2009. Cash provided by financing activities during the year ended December 31, 2010 comprised mainly of proceeds received from the exercise of share options. During the year ended December 31, 2009 the Company repaid $109.6 million, net, in respect of amounts previously drawn under negotiated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increased by $110.9 million for the year ended December 31, 2010 compared to $86.4 million for the year ended December 31, 2009.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9, 2007 the Company entered into a five year committed multi-currency facility agreement for €35 million ($46.8 million) with Bank of Ireland. The facility bears interest at an annual rate equal to EURIBOR plus a margin and is secured by certain composite guarantees, indemnities and pledges in favor of the bank. Amounts available to be drawn reduce over the life of this facility in accordance with agreed payment terms. At December 31, 2010 €17.5 million ($23.4 million) was available to be drawn under this facility.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2008 a committed three year US dollar credit facility was negotiated with Allied Irish Bank plc for $50 million. On April 21, 2010 the Company reduced this facility to $25 million. On December 9, 2010 the Company further reduced this facility to $12.5 million. The facility bears interest at LIBOR plus a margin and is secured by certain composite guarantees and pledges in favor of the bank. At December 31, 2010 $12.5 million was available to be drawn under this facility.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ind w:right="20"/>
        <w:spacing w:after="0" w:line="264" w:lineRule="auto"/>
        <w:rPr>
          <w:sz w:val="20"/>
          <w:szCs w:val="20"/>
          <w:color w:val="auto"/>
        </w:rPr>
      </w:pPr>
      <w:r>
        <w:rPr>
          <w:rFonts w:ascii="Arial" w:cs="Arial" w:eastAsia="Arial" w:hAnsi="Arial"/>
          <w:sz w:val="18"/>
          <w:szCs w:val="18"/>
          <w:color w:val="auto"/>
        </w:rPr>
        <w:t>On January 2, 2009 an additional four year committed credit facility was negotiated with Bank of Ireland for $25 million. The facility bore interest at LIBOR plus a margin and was secured by certain composite guarantees, indemnities and pledges in favor of the bank. On December 2, 2010 the Company terminated this facility.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2009 a 364 day committed credit facility of $10 million was negotiated with Citibank Europe. This facility lapsed during 2010 and was not renewed by the Company. On May 29, 2009 a three year committed credit facility was also negotiated with Citibank Europe for $10 million. The facility bears interest at LIBOR plus a margin and is secured by certain composite guarantees and pledges in favor of the bank. At December 31, 2010 $10.0 million was available to be drawn under the facility.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2009 a committed 364 day credit facility of $30 million was negotiated with JP Morgan for $30 million. On September 3, 2010 a committed 364 day credit facility was negotiated with J.P. Morgan for $10 million, partially replacing the 2009 facility. The facility bears interest at LIBOR plus a margin and is secured by certain composite guarantees and pledges in favor of the bank. At December 31, 2010 $10.0 million was available to be drawn under the facility.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to the pharmaceutical and biotechnology industry, headquartered in Zurich, Switzerland for an initial cash consideration of CHF 1.3 million ($1.2 million). Certain performance milestones were built into the acquisition agreement requiring potential additional consideration of up to CHF 2.9 million ($3.1 million) if these milestones are achieved during the years ended December 31, 2010 to December 31, 2013. On December 31, 2010 CHF 0.3 million ($0.3 million) was paid to the former shareholders in respect of certain milestones for the year ended December 31,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and commercial commitments as of December 31,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Less than 1</w:t>
            </w:r>
          </w:p>
        </w:tc>
        <w:tc>
          <w:tcPr>
            <w:tcW w:w="6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1 to 3</w:t>
            </w:r>
          </w:p>
        </w:tc>
        <w:tc>
          <w:tcPr>
            <w:tcW w:w="5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 to 5</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years</w:t>
            </w:r>
          </w:p>
        </w:tc>
        <w:tc>
          <w:tcPr>
            <w:tcW w:w="5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years</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4"/>
              </w:rPr>
              <w:t>(U.S. $ in millions)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184.1</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64.5</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tax liabilities</w:t>
            </w:r>
          </w:p>
        </w:tc>
        <w:tc>
          <w:tcPr>
            <w:tcW w:w="1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(U.S.$ in millions)</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194.5</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71.3</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to spend approximately $47.5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and existing cash balances.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judgements that affect the reported amounts of assets and liabilities at the date of the financial statements and the reported amounts of revenues and expenses during the reported period.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 revenues by providing a number of different services to our clients. These services include clinical trials management, biometric activities, consulting, laboratory, imaging and contract staffing services. Revenue for services, as rendered, are recognized only after persuasive evidence of an arrangement exists, the sales price is fixed or determinable and collectability is reasonably assured.</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Where revenue is recognized on the unit of delivery method, the basis applied is the number of units completed as a percentage of the total number of contractual units.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 Contract staffing revenue is recognized on a fee-for-service basis, over the time the related service is performed, or in the case of permanent placement, once the candidate has been placed with the client.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we may routinely adjust time estimates, estimates and assumptions historically have been accurate in all material respects in the aggregate.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review our goodwill for impairment annually, or more frequently if facts or circumstances warrant such a review. We evaluate goodwill for impairment by comparing the fair value of each reporting segment to its carrying value. Fair value is determined using the market approach, by assessing the market value of each reporting unit, and the income approach, based on estimated discounted future cash flows. Estimates and judgments used include those relating to commercial risk, revenue and cost projections, our intention with respect to the acquired goodwill, the impact of competition, the impact of any reorganization or change of our business focus, the level of third party interest in our operations and market conditions.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implied fair value of reporting unit goodwill is lower than its carrying amount, goodwill is impaired and written down to its implied fair value. If we were to use different estimates or judgments, particularly with respect to expected revenue and cost projections or the impact of any reorganization or change of business focus, a material impairment charge to the statement of operations could arise. We believe that we have used reasonable estimates and judgments in assessing the carrying value of our goodwill.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and liabilities are determined using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22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we may also be subject to audits in the multiple taxing jurisdictions in which we operate. These audits can involve complex issues which may require an extended period of time for resolution. Management believe that adequate provisions for income taxes have been made in the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Impact of New Accounting Pronouncements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2010 the FASB issued ASU No. 2010-29 Business Combinations (Topic 805): </w:t>
      </w:r>
      <w:r>
        <w:rPr>
          <w:rFonts w:ascii="Arial" w:cs="Arial" w:eastAsia="Arial" w:hAnsi="Arial"/>
          <w:sz w:val="16"/>
          <w:szCs w:val="16"/>
          <w:i w:val="1"/>
          <w:iCs w:val="1"/>
          <w:color w:val="auto"/>
        </w:rPr>
        <w:t>Disclosure of supplementary pro-forma information for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a consensus of the FASB Emerging Issues Task Force (“EITF”). ASU 2010-29 requires that the pro forma information be presented at if the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 occurred at the beginning of the prior annual reporting period for purposes of calculating both the current reporting period and the prior reporting period pro-forma financial information. The ASU also requires that this disclosure be accompanied by a narrative description of the amount and nature of material nonrecurring pro forma adjustments. The amendments in the ASU are effective for fiscal years beginning on or after December 15, 2010. The Company does not expect the adoption of ASU 2010-09 to have a material impact on the financial statements.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December 2010 the FASB issued ASU No. 2010-28 Intangibles – Goodwill and Other (Topic 350): </w:t>
      </w:r>
      <w:r>
        <w:rPr>
          <w:rFonts w:ascii="Arial" w:cs="Arial" w:eastAsia="Arial" w:hAnsi="Arial"/>
          <w:sz w:val="16"/>
          <w:szCs w:val="16"/>
          <w:i w:val="1"/>
          <w:iCs w:val="1"/>
          <w:color w:val="auto"/>
        </w:rPr>
        <w:t>When to perform Step 2 of the Goodwill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test for reporting units with zero or negative carrying amounts</w:t>
      </w:r>
      <w:r>
        <w:rPr>
          <w:rFonts w:ascii="Arial" w:cs="Arial" w:eastAsia="Arial" w:hAnsi="Arial"/>
          <w:sz w:val="16"/>
          <w:szCs w:val="16"/>
          <w:color w:val="auto"/>
        </w:rPr>
        <w:t>, a consensus of the FASB Emerging Issues Task Force (“EITF”). ASU 2010-28 modifies Step</w:t>
      </w:r>
      <w:r>
        <w:rPr>
          <w:rFonts w:ascii="Arial" w:cs="Arial" w:eastAsia="Arial" w:hAnsi="Arial"/>
          <w:sz w:val="16"/>
          <w:szCs w:val="16"/>
          <w:i w:val="1"/>
          <w:iCs w:val="1"/>
          <w:color w:val="auto"/>
        </w:rPr>
        <w:t xml:space="preserve"> </w:t>
      </w:r>
      <w:r>
        <w:rPr>
          <w:rFonts w:ascii="Arial" w:cs="Arial" w:eastAsia="Arial" w:hAnsi="Arial"/>
          <w:sz w:val="16"/>
          <w:szCs w:val="16"/>
          <w:color w:val="auto"/>
        </w:rPr>
        <w:t>1 of the goodwill impairment test for reporting units with zero or negative carrying amounts. For those reporting units, an entity is required to perform Step 2 of the goodwill impairment test if it is more likely than not that a goodwill impairment exists. ASU 2010-28 is effective for fiscal years beginning after December 15, 2010. The Company does not expect the adoption of ASU 2010-28 to have a material impact on the financial statements.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2010 the FASB issued ASU No. 2010-13 Compensation-Stock Compensation (Topic 718): </w:t>
      </w:r>
      <w:r>
        <w:rPr>
          <w:rFonts w:ascii="Arial" w:cs="Arial" w:eastAsia="Arial" w:hAnsi="Arial"/>
          <w:sz w:val="17"/>
          <w:szCs w:val="17"/>
          <w:i w:val="1"/>
          <w:iCs w:val="1"/>
          <w:color w:val="auto"/>
        </w:rPr>
        <w:t>Effect of denominating exercise price of a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award in the currency of the market in which the underlying equity security trades</w:t>
      </w:r>
      <w:r>
        <w:rPr>
          <w:rFonts w:ascii="Arial" w:cs="Arial" w:eastAsia="Arial" w:hAnsi="Arial"/>
          <w:sz w:val="17"/>
          <w:szCs w:val="17"/>
          <w:color w:val="auto"/>
        </w:rPr>
        <w:t>, a consensus of the FASB Emerging Issues Task Force</w:t>
      </w:r>
      <w:r>
        <w:rPr>
          <w:rFonts w:ascii="Arial" w:cs="Arial" w:eastAsia="Arial" w:hAnsi="Arial"/>
          <w:sz w:val="17"/>
          <w:szCs w:val="17"/>
          <w:i w:val="1"/>
          <w:iCs w:val="1"/>
          <w:color w:val="auto"/>
        </w:rPr>
        <w:t xml:space="preserve"> </w:t>
      </w:r>
      <w:r>
        <w:rPr>
          <w:rFonts w:ascii="Arial" w:cs="Arial" w:eastAsia="Arial" w:hAnsi="Arial"/>
          <w:sz w:val="17"/>
          <w:szCs w:val="17"/>
          <w:color w:val="auto"/>
        </w:rPr>
        <w:t>(“EITF”). ASU 2010-13 amends FASB ASC Topic 718, Compensation-Stock Compensation , to clarify that an employee share-based payment award with an exercise price denominated in the currency of a market in which a substantial portion of the equity securities trades should not be considered to contain a condition that is not a market, performance, or service condition. Therefore, an entity would not classify an award with such a feature as a liability if it otherwise qualifies as equity. The amendments should be applied by recording a cumulative effect adjustment to the opening balance of retained earnings. The amendments in the ASU are effective for fiscal years beginning on or after December 15, 2010. The Company does not expect the adoption of ASU 2010-13 to have a material impact on the financial statements.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2010 the FASB issued ASU No. 2010-06 Fair Value Measurements and Disclosures (Topic 820): </w:t>
      </w:r>
      <w:r>
        <w:rPr>
          <w:rFonts w:ascii="Arial" w:cs="Arial" w:eastAsia="Arial" w:hAnsi="Arial"/>
          <w:sz w:val="17"/>
          <w:szCs w:val="17"/>
          <w:i w:val="1"/>
          <w:iCs w:val="1"/>
          <w:color w:val="auto"/>
        </w:rPr>
        <w:t>Improving disclosures about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 consensus of the FASB Emerging Issues Task Force (“EITF”). ASU 2010-06 amends FASB ASC Topic 820 to require new disclosures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to clarify certain existing disclosures relating to fair value measurements. The new disclosures about purchases, sales, issuances, and settlements in the roll forward activity for Level 3 fair-value measurements are effective for fiscal years beginning after December 15, 2010.</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2009, the FASB issued ASU No. 2009-13 Revenue Recognition (Topic 605):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xml:space="preserve"> – a consensus of the FASB Emerging Issues Task Force, which amends the revenue recognition guidance for arrangements with multiple deliverables. The amendments to FASB ASC 605-25 allow vendors to account for products and services separately rather than as a combined unit. ASU 2009-13 is effective prospectively for revenue arrangements entered into or materially modified in fiscal years beginning on or after June 15, 2010. The Company does not expect the adoption of ASU 2009-13 to have a material impact on the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March 22, 2011.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80" w:type="dxa"/>
            <w:vAlign w:val="bottom"/>
            <w:gridSpan w:val="2"/>
          </w:tcPr>
          <w:p>
            <w:pPr>
              <w:spacing w:after="0"/>
              <w:rPr>
                <w:sz w:val="20"/>
                <w:szCs w:val="20"/>
                <w:color w:val="auto"/>
              </w:rPr>
            </w:pPr>
            <w:r>
              <w:rPr>
                <w:rFonts w:ascii="Arial" w:cs="Arial" w:eastAsia="Arial" w:hAnsi="Arial"/>
                <w:sz w:val="18"/>
                <w:szCs w:val="18"/>
                <w:color w:val="auto"/>
              </w:rPr>
              <w:t>Name</w:t>
            </w:r>
          </w:p>
        </w:tc>
        <w:tc>
          <w:tcPr>
            <w:tcW w:w="860" w:type="dxa"/>
            <w:vAlign w:val="bottom"/>
          </w:tcPr>
          <w:p>
            <w:pPr>
              <w:ind w:left="320"/>
              <w:spacing w:after="0"/>
              <w:rPr>
                <w:sz w:val="20"/>
                <w:szCs w:val="20"/>
                <w:color w:val="auto"/>
              </w:rPr>
            </w:pPr>
            <w:r>
              <w:rPr>
                <w:rFonts w:ascii="Arial" w:cs="Arial" w:eastAsia="Arial" w:hAnsi="Arial"/>
                <w:sz w:val="18"/>
                <w:szCs w:val="18"/>
                <w:color w:val="auto"/>
              </w:rPr>
              <w:t>Age</w:t>
            </w:r>
          </w:p>
        </w:tc>
        <w:tc>
          <w:tcPr>
            <w:tcW w:w="7780" w:type="dxa"/>
            <w:vAlign w:val="bottom"/>
          </w:tcPr>
          <w:p>
            <w:pPr>
              <w:ind w:left="260"/>
              <w:spacing w:after="0"/>
              <w:rPr>
                <w:sz w:val="20"/>
                <w:szCs w:val="20"/>
                <w:color w:val="auto"/>
              </w:rPr>
            </w:pPr>
            <w:r>
              <w:rPr>
                <w:rFonts w:ascii="Arial" w:cs="Arial" w:eastAsia="Arial" w:hAnsi="Arial"/>
                <w:sz w:val="18"/>
                <w:szCs w:val="18"/>
                <w:color w:val="auto"/>
              </w:rPr>
              <w:t>Position</w:t>
            </w:r>
          </w:p>
        </w:tc>
      </w:tr>
      <w:tr>
        <w:trPr>
          <w:trHeight w:val="216"/>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Bruce Given (2) (4) (5)</w:t>
            </w:r>
          </w:p>
        </w:tc>
        <w:tc>
          <w:tcPr>
            <w:tcW w:w="8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56</w:t>
            </w:r>
          </w:p>
        </w:tc>
        <w:tc>
          <w:tcPr>
            <w:tcW w:w="77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Chairman of the Board, Director</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Peter Gray (1) (5)</w:t>
            </w:r>
          </w:p>
        </w:tc>
        <w:tc>
          <w:tcPr>
            <w:tcW w:w="860" w:type="dxa"/>
            <w:vAlign w:val="bottom"/>
          </w:tcPr>
          <w:p>
            <w:pPr>
              <w:ind w:left="320"/>
              <w:spacing w:after="0"/>
              <w:rPr>
                <w:sz w:val="20"/>
                <w:szCs w:val="20"/>
                <w:color w:val="auto"/>
              </w:rPr>
            </w:pPr>
            <w:r>
              <w:rPr>
                <w:rFonts w:ascii="Arial" w:cs="Arial" w:eastAsia="Arial" w:hAnsi="Arial"/>
                <w:sz w:val="18"/>
                <w:szCs w:val="18"/>
                <w:color w:val="auto"/>
              </w:rPr>
              <w:t>56</w:t>
            </w:r>
          </w:p>
        </w:tc>
        <w:tc>
          <w:tcPr>
            <w:tcW w:w="7780" w:type="dxa"/>
            <w:vAlign w:val="bottom"/>
          </w:tcPr>
          <w:p>
            <w:pPr>
              <w:ind w:left="26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Ciaran Murray (1) (5)</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48</w:t>
            </w:r>
          </w:p>
        </w:tc>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Dr. John Climax</w:t>
            </w:r>
          </w:p>
        </w:tc>
        <w:tc>
          <w:tcPr>
            <w:tcW w:w="860" w:type="dxa"/>
            <w:vAlign w:val="bottom"/>
          </w:tcPr>
          <w:p>
            <w:pPr>
              <w:ind w:left="320"/>
              <w:spacing w:after="0"/>
              <w:rPr>
                <w:sz w:val="20"/>
                <w:szCs w:val="20"/>
                <w:color w:val="auto"/>
              </w:rPr>
            </w:pPr>
            <w:r>
              <w:rPr>
                <w:rFonts w:ascii="Arial" w:cs="Arial" w:eastAsia="Arial" w:hAnsi="Arial"/>
                <w:sz w:val="18"/>
                <w:szCs w:val="18"/>
                <w:color w:val="auto"/>
              </w:rPr>
              <w:t>58</w:t>
            </w:r>
          </w:p>
        </w:tc>
        <w:tc>
          <w:tcPr>
            <w:tcW w:w="778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Dr. Ronan Lambe (6)</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71</w:t>
            </w:r>
          </w:p>
        </w:tc>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Thomas Lynch (2) (3) (4)</w:t>
            </w:r>
          </w:p>
        </w:tc>
        <w:tc>
          <w:tcPr>
            <w:tcW w:w="860" w:type="dxa"/>
            <w:vAlign w:val="bottom"/>
          </w:tcPr>
          <w:p>
            <w:pPr>
              <w:ind w:left="320"/>
              <w:spacing w:after="0"/>
              <w:rPr>
                <w:sz w:val="20"/>
                <w:szCs w:val="20"/>
                <w:color w:val="auto"/>
              </w:rPr>
            </w:pPr>
            <w:r>
              <w:rPr>
                <w:rFonts w:ascii="Arial" w:cs="Arial" w:eastAsia="Arial" w:hAnsi="Arial"/>
                <w:sz w:val="18"/>
                <w:szCs w:val="18"/>
                <w:color w:val="auto"/>
              </w:rPr>
              <w:t>54</w:t>
            </w:r>
          </w:p>
        </w:tc>
        <w:tc>
          <w:tcPr>
            <w:tcW w:w="778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 (3) (6)</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55</w:t>
            </w:r>
          </w:p>
        </w:tc>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Dr. Anthony Murphy (2) (4)</w:t>
            </w:r>
          </w:p>
        </w:tc>
        <w:tc>
          <w:tcPr>
            <w:tcW w:w="860" w:type="dxa"/>
            <w:vAlign w:val="bottom"/>
          </w:tcPr>
          <w:p>
            <w:pPr>
              <w:ind w:left="320"/>
              <w:spacing w:after="0"/>
              <w:rPr>
                <w:sz w:val="20"/>
                <w:szCs w:val="20"/>
                <w:color w:val="auto"/>
              </w:rPr>
            </w:pPr>
            <w:r>
              <w:rPr>
                <w:rFonts w:ascii="Arial" w:cs="Arial" w:eastAsia="Arial" w:hAnsi="Arial"/>
                <w:sz w:val="18"/>
                <w:szCs w:val="18"/>
                <w:color w:val="auto"/>
              </w:rPr>
              <w:t>60</w:t>
            </w:r>
          </w:p>
        </w:tc>
        <w:tc>
          <w:tcPr>
            <w:tcW w:w="778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Declan McKeon (3)</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59</w:t>
            </w:r>
          </w:p>
        </w:tc>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Cathrin Petty (3)</w:t>
            </w:r>
          </w:p>
        </w:tc>
        <w:tc>
          <w:tcPr>
            <w:tcW w:w="860" w:type="dxa"/>
            <w:vAlign w:val="bottom"/>
          </w:tcPr>
          <w:p>
            <w:pPr>
              <w:ind w:left="320"/>
              <w:spacing w:after="0"/>
              <w:rPr>
                <w:sz w:val="20"/>
                <w:szCs w:val="20"/>
                <w:color w:val="auto"/>
              </w:rPr>
            </w:pPr>
            <w:r>
              <w:rPr>
                <w:rFonts w:ascii="Arial" w:cs="Arial" w:eastAsia="Arial" w:hAnsi="Arial"/>
                <w:sz w:val="18"/>
                <w:szCs w:val="18"/>
                <w:color w:val="auto"/>
              </w:rPr>
              <w:t>37</w:t>
            </w:r>
          </w:p>
        </w:tc>
        <w:tc>
          <w:tcPr>
            <w:tcW w:w="778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Alan Morgan</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46</w:t>
            </w:r>
          </w:p>
        </w:tc>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Group President Clinical Research Services</w:t>
            </w:r>
          </w:p>
        </w:tc>
      </w:tr>
    </w:tbl>
    <w:p>
      <w:pPr>
        <w:spacing w:after="0" w:line="229"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23" w:lineRule="exact"/>
        <w:rPr>
          <w:rFonts w:ascii="Arial" w:cs="Arial" w:eastAsia="Arial" w:hAnsi="Arial"/>
          <w:sz w:val="18"/>
          <w:szCs w:val="18"/>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Compensation and Organization Committee.</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Execution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of Quality Committee</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Dr. Bruce Given </w:t>
      </w:r>
      <w:r>
        <w:rPr>
          <w:rFonts w:ascii="Arial" w:cs="Arial" w:eastAsia="Arial" w:hAnsi="Arial"/>
          <w:sz w:val="17"/>
          <w:szCs w:val="17"/>
          <w:color w:val="auto"/>
        </w:rPr>
        <w:t>was appointed Chairman of the Board of the Company in January 2010. He has served as an outside director of the Company since</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2004. From March 2002 until June 2007 he served as President and Chief Executive Officer of Encysive Pharmaceuticals Inc. Dr. Given previously held various positions in Johnson &amp; Johnson group companies. Dr. Given obtained his doctorate from the University of Chicago in 1980.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Peter Gray </w:t>
      </w:r>
      <w:r>
        <w:rPr>
          <w:rFonts w:ascii="Arial" w:cs="Arial" w:eastAsia="Arial" w:hAnsi="Arial"/>
          <w:sz w:val="18"/>
          <w:szCs w:val="18"/>
          <w:color w:val="auto"/>
        </w:rPr>
        <w:t>has served as the Chief Executive Officer of the Company since November 2002. He served as the Group Chief Operating Officer from June</w:t>
      </w:r>
      <w:r>
        <w:rPr>
          <w:rFonts w:ascii="Arial" w:cs="Arial" w:eastAsia="Arial" w:hAnsi="Arial"/>
          <w:sz w:val="18"/>
          <w:szCs w:val="18"/>
          <w:i w:val="1"/>
          <w:iCs w:val="1"/>
          <w:color w:val="auto"/>
        </w:rPr>
        <w:t xml:space="preserve"> </w:t>
      </w:r>
      <w:r>
        <w:rPr>
          <w:rFonts w:ascii="Arial" w:cs="Arial" w:eastAsia="Arial" w:hAnsi="Arial"/>
          <w:sz w:val="18"/>
          <w:szCs w:val="18"/>
          <w:color w:val="auto"/>
        </w:rPr>
        <w:t>2001to November 2002, and was Chief Financial Officer from June 1997 to June 2001. He has been a director of the Company since June 1997. Mr. Gray has over 20 years experience in the pharmaceutical services industry and has also worked in the engineering and food sectors. Mr. Gray received a degree in Law from Trinity College Dublin in 1977 and became a chartered accountant in 1980.</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Ciaran Murray </w:t>
      </w:r>
      <w:r>
        <w:rPr>
          <w:rFonts w:ascii="Arial" w:cs="Arial" w:eastAsia="Arial" w:hAnsi="Arial"/>
          <w:sz w:val="17"/>
          <w:szCs w:val="17"/>
          <w:color w:val="auto"/>
        </w:rPr>
        <w:t>has served as Chief Financial Officer of the Company since October 2005. Mr. Murray developed his experience working in senior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in Ireland, Italy and the United Kingdom, in the food sector with Kraft Foods Inc, Cantrell and Cochrane plc and Northern Foods plc, and in the technology sector with Novell Inc and Codec Systems. Mr. Murray obtained a Bachelor of Commerce degree from University College Dublin in 1982. He qualified as a Chartered Accountant with PwC and is a Fellow of the Institute of Chartered Accountants in Ireland.</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Dr. John Climax</w:t>
      </w:r>
      <w:r>
        <w:rPr>
          <w:rFonts w:ascii="Arial" w:cs="Arial" w:eastAsia="Arial" w:hAnsi="Arial"/>
          <w:sz w:val="16"/>
          <w:szCs w:val="16"/>
          <w:color w:val="auto"/>
        </w:rPr>
        <w:t>, one of the Company’s co-founders, served as Chairman of the Board of the Company from November 2002 to December 2009,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from June 1990 to October 2002. From January 2010 he has held a position as an outside director of the Company. Dr. Climax has over 25 years of experience in the contract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outside director of the Company since January 2008. Dr. Lambe has over 30 years of experience in the contract research industry. Dr. Lambe attended the National University of Ireland where he received his Bachelor of Science degree in chemistry in 1959, his masters in biochemistry in 1962 and his PhD. in pharmacology in 1976.</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Thomas Lynch </w:t>
      </w:r>
      <w:r>
        <w:rPr>
          <w:rFonts w:ascii="Arial" w:cs="Arial" w:eastAsia="Arial" w:hAnsi="Arial"/>
          <w:sz w:val="18"/>
          <w:szCs w:val="18"/>
          <w:color w:val="auto"/>
        </w:rPr>
        <w:t>has served as an outside director of the Company since January 1996. Mr. Lynch served as Chairman of Amarin Corporation plc from 2000 to</w:t>
      </w:r>
      <w:r>
        <w:rPr>
          <w:rFonts w:ascii="Arial" w:cs="Arial" w:eastAsia="Arial" w:hAnsi="Arial"/>
          <w:sz w:val="18"/>
          <w:szCs w:val="18"/>
          <w:i w:val="1"/>
          <w:iCs w:val="1"/>
          <w:color w:val="auto"/>
        </w:rPr>
        <w:t xml:space="preserve"> </w:t>
      </w:r>
      <w:r>
        <w:rPr>
          <w:rFonts w:ascii="Arial" w:cs="Arial" w:eastAsia="Arial" w:hAnsi="Arial"/>
          <w:sz w:val="18"/>
          <w:szCs w:val="18"/>
          <w:color w:val="auto"/>
        </w:rPr>
        <w:t>2009 and as its Chief Executive Officer from 2007 to 2009. Between 1993 and 2004, he held a number of senior management positions in Elan Corporation plc. Mr Lynch is an investor in, and serves on the board of, a number of biotechnology companies. He has also served as a board member of IDA Ireland (an agency of the Irish Government) since 2000.</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Professor Dermot Kelleher </w:t>
      </w:r>
      <w:r>
        <w:rPr>
          <w:rFonts w:ascii="Arial" w:cs="Arial" w:eastAsia="Arial" w:hAnsi="Arial"/>
          <w:sz w:val="18"/>
          <w:szCs w:val="18"/>
          <w:color w:val="auto"/>
        </w:rPr>
        <w:t>has served as an outside director of the Company since May 2008. Professor Kelleher is currently Head of the School of Medicine</w:t>
      </w:r>
      <w:r>
        <w:rPr>
          <w:rFonts w:ascii="Arial" w:cs="Arial" w:eastAsia="Arial" w:hAnsi="Arial"/>
          <w:sz w:val="18"/>
          <w:szCs w:val="18"/>
          <w:i w:val="1"/>
          <w:iCs w:val="1"/>
          <w:color w:val="auto"/>
        </w:rPr>
        <w:t xml:space="preserve"> </w:t>
      </w:r>
      <w:r>
        <w:rPr>
          <w:rFonts w:ascii="Arial" w:cs="Arial" w:eastAsia="Arial" w:hAnsi="Arial"/>
          <w:sz w:val="18"/>
          <w:szCs w:val="18"/>
          <w:color w:val="auto"/>
        </w:rPr>
        <w:t>at Trinity College, Dublin, Ireland and Director of the Institute of Molecular Medicine in Dublin. His research interests are broad ranging in the fields of Gastroenterology, Immunology and Molecular Biology and over a distinguished thirty year career he has led significant research projects in this field. Alongside his notable academic appointments he has served as a visiting research scientist with a major pharmaceutical company and has been a founder of a number of biotechnology companies.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Dr. Anthony Murphy </w:t>
      </w:r>
      <w:r>
        <w:rPr>
          <w:rFonts w:ascii="Arial" w:cs="Arial" w:eastAsia="Arial" w:hAnsi="Arial"/>
          <w:sz w:val="18"/>
          <w:szCs w:val="18"/>
          <w:color w:val="auto"/>
        </w:rPr>
        <w:t>has served as an outside director of the Company since April 2009. Dr. Murphy was the Senior Vice President of Human Resources for</w:t>
      </w:r>
      <w:r>
        <w:rPr>
          <w:rFonts w:ascii="Arial" w:cs="Arial" w:eastAsia="Arial" w:hAnsi="Arial"/>
          <w:sz w:val="18"/>
          <w:szCs w:val="18"/>
          <w:i w:val="1"/>
          <w:iCs w:val="1"/>
          <w:color w:val="auto"/>
        </w:rPr>
        <w:t xml:space="preserve"> </w:t>
      </w:r>
      <w:r>
        <w:rPr>
          <w:rFonts w:ascii="Arial" w:cs="Arial" w:eastAsia="Arial" w:hAnsi="Arial"/>
          <w:sz w:val="18"/>
          <w:szCs w:val="18"/>
          <w:color w:val="auto"/>
        </w:rPr>
        <w:t>Eli Lilly &amp; Co., prior to his retirement in May 2009. Born in Cardiff, Wales, Mr. Murphy received a bachelor's degree in psychology from University College Dublin in 1970 and a doctorate in psychology from the University of Wales in 1975. Dr. Murphy joined Lilly (in the United Kingdom) in 1980, and held increasingly senior positions in HR with the company until his retirement. Prior to joining Lilly he had lectured in industrial relations and worked as a consultant and researcher at the University of Bath, England. Mr. Murphy is a fellow of the Institute of Personnel and Development (U.K.) and a Chartered Psychologist.</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Declan McKeon </w:t>
      </w:r>
      <w:r>
        <w:rPr>
          <w:rFonts w:ascii="Arial" w:cs="Arial" w:eastAsia="Arial" w:hAnsi="Arial"/>
          <w:sz w:val="17"/>
          <w:szCs w:val="17"/>
          <w:color w:val="auto"/>
        </w:rPr>
        <w:t>has served as an outside director of the Company since April 2010. Mr. McKeon was a partner in PricewaterhouseCoopers (PwC) from 1986</w:t>
      </w:r>
      <w:r>
        <w:rPr>
          <w:rFonts w:ascii="Arial" w:cs="Arial" w:eastAsia="Arial" w:hAnsi="Arial"/>
          <w:sz w:val="17"/>
          <w:szCs w:val="17"/>
          <w:i w:val="1"/>
          <w:iCs w:val="1"/>
          <w:color w:val="auto"/>
        </w:rPr>
        <w:t xml:space="preserve"> </w:t>
      </w:r>
      <w:r>
        <w:rPr>
          <w:rFonts w:ascii="Arial" w:cs="Arial" w:eastAsia="Arial" w:hAnsi="Arial"/>
          <w:sz w:val="17"/>
          <w:szCs w:val="17"/>
          <w:color w:val="auto"/>
        </w:rPr>
        <w:t>to 2007. His roles included leadership of the audit and business advisory team for PwC Ireland, membership on the PwC Europe audit and business advisory services executive and market sector lead for consumer and industrial products. Mr. McKeon is a non-executive director of Ryanair plc, remains a consultant to PwC and sits on the audit committee of the Royal College of Surgeons in Ireland. Mr. McKeon holds a Bachelor of Commerce and Masters in Business Studies from University College Dublin and is a Fellow of The Institute of Chartered Accountants in Ireland.</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Cathrin Petty </w:t>
      </w:r>
      <w:r>
        <w:rPr>
          <w:rFonts w:ascii="Arial" w:cs="Arial" w:eastAsia="Arial" w:hAnsi="Arial"/>
          <w:sz w:val="18"/>
          <w:szCs w:val="18"/>
          <w:color w:val="auto"/>
        </w:rPr>
        <w:t>has served as an outside director of the Company since October 2010. Ms. Petty is a Special Partner at Vitruvian Partners LLP and is an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for Circassia Ltd. Ms. Petty is an advisor to the pharmaceutical industry and formerly served as an outside director for the NHS (Strategic Health Authority for Greater London). Between 2000 and 2010, Ms. Petty was a Healthcare Partner in Apax Partners LLP with responsibility for originating, executing, monitoring and exiting healthcare private equity investments. Her early career included Senior Associate and Research Analyst roles at Schroder Ventures Life Sciences and Schroders Investment Management.</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Alan Morgan </w:t>
      </w:r>
      <w:r>
        <w:rPr>
          <w:rFonts w:ascii="Arial" w:cs="Arial" w:eastAsia="Arial" w:hAnsi="Arial"/>
          <w:sz w:val="17"/>
          <w:szCs w:val="17"/>
          <w:color w:val="auto"/>
        </w:rPr>
        <w:t>was appointed Group President Clinical Research Services in August 2010. Since joining the Company in August 2006, he has held positions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responsibility, including Vice President of Process Development, President ICON Clinical Europe, and Chief Operating Officer of the global Clinical Research Division. In January 2010 he was appointed Group President Early Clinical Research and Laboratories Services, responsible for oversight of the Central Laboratory and Development Services divisions. Prior to joining the Company Mr. Morgan worked for MDS Pharma Services where he held positions of increasing responsibility since joining the company in 2002, including Global General Manager and Vice President of their Phase II-IV business. Mr. Morgan started his career in clinical research organizations with Covance, where he held a number of leadership positions from 1998 including General Manager of their Phase II/IV business in Europe, Asia, and Latin America. His initial career was in pharma, including seven years with Glaxo Wellcome and two years with ICI Pharmaceuticals in various business and financial roles. He is a graduate of the City University Business School in London, and a Fellow of the Chartered Association of Certified Accountants.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policy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executive compensation program has three elements: base salary, a bonus plan and equity incentives in the form of stock related awards granted under the Company’s equity incentive plans. All elements of key executives compensation are determined by the Committee based on the achievement of the Group’s objectives.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 remuneration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directors are remunerated by way of Directors’ fees and in addition are also eligible for participation in the share option scheme. Non-Executive Directors are not eligible for performance related bonuses and no pension contributions are made on their behalf. The Board of Directors as a whole sets outside directors’ remuneration.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Directors’ and Key Executive Officers’ remuneration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cash compensation is divided into a base salary portion and a bonus incentive portion. Base salary is established based on peer group and is adjusted based on individual performance and experience. The Committee targets total cash compensation at the peer group median of comparable Irish companies and peer CRO companies, adjusted upward or downward based on individual performance and experience. The Committee believes that the higher the executive’s level of responsibility within the Company, the greater the percentage of the executive’s compensation that should be tied to the Company’s performance. Target bonus incentive for executive officers is up to 80% of base salary.</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executives are eligible to receive equity incentives, including stock options and restricted share units, granted under the Company’s equity incentive plans. If executives receive equity incentive grants, they are normally approved annually at the first regularly scheduled meeting of the Committee in the fiscal year and awarded at the closing price on the second full day following the release of the Company’s prior year results.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based on an award range determined by the Committee at the start of each year. The extent of existing options is not generally considered in granting equity awards, except that the Company occasionally grants an initial round of equity awards to newly recruited executives to provide them a stake in the Company’s success from the commencement of their employment. The Company granted equity incentive awards, in the form of share options, to executive officers in its fiscal years ended December 31, 2009 and December 31, 2010. All executive officers are eligible to participate in a defined contribution pension plan.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Statement of Operations.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0"/>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Executive Compensation</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2"/>
        </w:trPr>
        <w:tc>
          <w:tcPr>
            <w:tcW w:w="490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1"/>
              </w:rPr>
              <w:t>Summary compensation table - Year ended December 31, 2010</w:t>
            </w: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Name &amp; principal</w:t>
            </w: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Share-based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rPr>
              <w:t>Year</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Salary</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Bonus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5"/>
              </w:rPr>
              <w:t>contribution</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compensation</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Subtotal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Subtotal</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0"/>
              </w:rPr>
              <w:t>compensation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0"/>
              </w:rPr>
              <w:t>compensation</w:t>
            </w:r>
          </w:p>
        </w:tc>
      </w:tr>
      <w:tr>
        <w:trPr>
          <w:trHeight w:val="432"/>
        </w:trPr>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418"/>
        </w:trPr>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Gray,</w:t>
            </w:r>
          </w:p>
        </w:tc>
        <w:tc>
          <w:tcPr>
            <w:tcW w:w="10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0"/>
        </w:trPr>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2010</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418"/>
        </w:trPr>
        <w:tc>
          <w:tcPr>
            <w:tcW w:w="1180" w:type="dxa"/>
            <w:vAlign w:val="bottom"/>
            <w:gridSpan w:val="2"/>
          </w:tcPr>
          <w:p>
            <w:pPr>
              <w:spacing w:after="0"/>
              <w:rPr>
                <w:sz w:val="20"/>
                <w:szCs w:val="20"/>
                <w:color w:val="auto"/>
              </w:rPr>
            </w:pPr>
            <w:r>
              <w:rPr>
                <w:rFonts w:ascii="Arial" w:cs="Arial" w:eastAsia="Arial" w:hAnsi="Arial"/>
                <w:sz w:val="18"/>
                <w:szCs w:val="18"/>
                <w:color w:val="auto"/>
                <w:w w:val="97"/>
              </w:rPr>
              <w:t>Ciaran Murray,</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Chief Financial Officer</w:t>
            </w: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2010</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r>
      <w:tr>
        <w:trPr>
          <w:trHeight w:val="432"/>
        </w:trPr>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2010</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2,316</w:t>
            </w:r>
          </w:p>
        </w:tc>
      </w:tr>
      <w:tr>
        <w:trPr>
          <w:trHeight w:val="223"/>
        </w:trPr>
        <w:tc>
          <w:tcPr>
            <w:tcW w:w="4900" w:type="dxa"/>
            <w:vAlign w:val="bottom"/>
            <w:tcBorders>
              <w:bottom w:val="single" w:sz="8" w:color="auto"/>
            </w:tcBorders>
            <w:gridSpan w:val="6"/>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r>
      <w:tr>
        <w:trPr>
          <w:trHeight w:val="459"/>
        </w:trPr>
        <w:tc>
          <w:tcPr>
            <w:tcW w:w="490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1"/>
              </w:rPr>
              <w:t>Summary compensation table - Year ended December 31, 2009</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&amp;</w:t>
            </w:r>
          </w:p>
        </w:tc>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principal</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Share-based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rPr>
              <w:t>Year</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Salary</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Bonus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5"/>
              </w:rPr>
              <w:t>contribution</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compensation</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Subtotal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Subtotal</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0"/>
              </w:rPr>
              <w:t>compensation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0"/>
              </w:rPr>
              <w:t>compensation</w:t>
            </w:r>
          </w:p>
        </w:tc>
      </w:tr>
      <w:tr>
        <w:trPr>
          <w:trHeight w:val="234"/>
        </w:trPr>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418"/>
        </w:trPr>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Gray,</w:t>
            </w:r>
          </w:p>
        </w:tc>
        <w:tc>
          <w:tcPr>
            <w:tcW w:w="1060" w:type="dxa"/>
            <w:vAlign w:val="bottom"/>
            <w:shd w:val="clear" w:color="auto" w:fill="CCEEFF"/>
          </w:tcPr>
          <w:p>
            <w:pPr>
              <w:spacing w:after="0"/>
              <w:rPr>
                <w:sz w:val="24"/>
                <w:szCs w:val="24"/>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2009</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30"/>
        </w:trPr>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418"/>
        </w:trPr>
        <w:tc>
          <w:tcPr>
            <w:tcW w:w="1180" w:type="dxa"/>
            <w:vAlign w:val="bottom"/>
            <w:gridSpan w:val="2"/>
          </w:tcPr>
          <w:p>
            <w:pPr>
              <w:spacing w:after="0"/>
              <w:rPr>
                <w:sz w:val="20"/>
                <w:szCs w:val="20"/>
                <w:color w:val="auto"/>
              </w:rPr>
            </w:pPr>
            <w:r>
              <w:rPr>
                <w:rFonts w:ascii="Arial" w:cs="Arial" w:eastAsia="Arial" w:hAnsi="Arial"/>
                <w:sz w:val="18"/>
                <w:szCs w:val="18"/>
                <w:color w:val="auto"/>
                <w:w w:val="97"/>
              </w:rPr>
              <w:t>Ciaran Murray,</w:t>
            </w:r>
          </w:p>
        </w:tc>
        <w:tc>
          <w:tcPr>
            <w:tcW w:w="10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2009</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309</w:t>
            </w: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562</w:t>
            </w:r>
          </w:p>
        </w:tc>
        <w:tc>
          <w:tcPr>
            <w:tcW w:w="860" w:type="dxa"/>
            <w:vAlign w:val="bottom"/>
          </w:tcPr>
          <w:p>
            <w:pPr>
              <w:jc w:val="right"/>
              <w:spacing w:after="0"/>
              <w:rPr>
                <w:sz w:val="20"/>
                <w:szCs w:val="20"/>
                <w:color w:val="auto"/>
              </w:rPr>
            </w:pPr>
            <w:r>
              <w:rPr>
                <w:rFonts w:ascii="Arial" w:cs="Arial" w:eastAsia="Arial" w:hAnsi="Arial"/>
                <w:sz w:val="18"/>
                <w:szCs w:val="18"/>
                <w:color w:val="auto"/>
              </w:rPr>
              <w:t>785</w:t>
            </w: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112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8"/>
        </w:trPr>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Climax*,</w:t>
            </w:r>
          </w:p>
        </w:tc>
        <w:tc>
          <w:tcPr>
            <w:tcW w:w="1060" w:type="dxa"/>
            <w:vAlign w:val="bottom"/>
            <w:shd w:val="clear" w:color="auto" w:fill="CCEEFF"/>
          </w:tcPr>
          <w:p>
            <w:pPr>
              <w:spacing w:after="0"/>
              <w:rPr>
                <w:sz w:val="24"/>
                <w:szCs w:val="24"/>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2009</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954</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2,344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37"/>
        </w:trPr>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Chairman</w:t>
            </w: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rPr>
              <w:t>2009</w:t>
            </w: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1,409</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946</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1,010</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3,881</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5,495</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757</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5620" w:right="2740" w:hanging="5612"/>
        <w:spacing w:after="0" w:line="731" w:lineRule="auto"/>
        <w:tabs>
          <w:tab w:leader="none" w:pos="13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Further information is set out in the </w:t>
      </w:r>
      <w:r>
        <w:rPr>
          <w:rFonts w:ascii="Arial" w:cs="Arial" w:eastAsia="Arial" w:hAnsi="Arial"/>
          <w:sz w:val="18"/>
          <w:szCs w:val="18"/>
          <w:i w:val="1"/>
          <w:iCs w:val="1"/>
          <w:color w:val="auto"/>
        </w:rPr>
        <w:t>Disclosure of Compensation Agreements</w:t>
      </w:r>
      <w:r>
        <w:rPr>
          <w:rFonts w:ascii="Arial" w:cs="Arial" w:eastAsia="Arial" w:hAnsi="Arial"/>
          <w:sz w:val="18"/>
          <w:szCs w:val="18"/>
          <w:color w:val="auto"/>
        </w:rPr>
        <w:t xml:space="preserve"> section on pages 39 and 40 of this report.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0"/>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w w:val="96"/>
              </w:rPr>
              <w:t>Director Compensation</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2"/>
        </w:trPr>
        <w:tc>
          <w:tcPr>
            <w:tcW w:w="58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2010</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Company</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Share-based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Director’s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00" w:type="dxa"/>
            <w:vAlign w:val="bottom"/>
          </w:tcPr>
          <w:p>
            <w:pPr>
              <w:ind w:left="120"/>
              <w:spacing w:after="0"/>
              <w:rPr>
                <w:sz w:val="20"/>
                <w:szCs w:val="20"/>
                <w:color w:val="auto"/>
              </w:rPr>
            </w:pPr>
            <w:r>
              <w:rPr>
                <w:rFonts w:ascii="Arial" w:cs="Arial" w:eastAsia="Arial" w:hAnsi="Arial"/>
                <w:sz w:val="18"/>
                <w:szCs w:val="18"/>
                <w:b w:val="1"/>
                <w:bCs w:val="1"/>
                <w:color w:val="auto"/>
              </w:rPr>
              <w:t>Year</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Salary</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5"/>
              </w:rPr>
              <w:t>contribution</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compensation</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Subtotal</w:t>
            </w: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Subtotal</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compensation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fees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compensation</w:t>
            </w: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$’000</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Bruce Given</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Peter Gray</w:t>
            </w:r>
          </w:p>
        </w:tc>
        <w:tc>
          <w:tcPr>
            <w:tcW w:w="700" w:type="dxa"/>
            <w:vAlign w:val="bottom"/>
          </w:tcPr>
          <w:p>
            <w:pPr>
              <w:ind w:left="120"/>
              <w:spacing w:after="0"/>
              <w:rPr>
                <w:sz w:val="20"/>
                <w:szCs w:val="20"/>
                <w:color w:val="auto"/>
              </w:rPr>
            </w:pPr>
            <w:r>
              <w:rPr>
                <w:rFonts w:ascii="Arial" w:cs="Arial" w:eastAsia="Arial" w:hAnsi="Arial"/>
                <w:sz w:val="18"/>
                <w:szCs w:val="18"/>
                <w:color w:val="auto"/>
              </w:rPr>
              <w:t>2010</w:t>
            </w:r>
          </w:p>
        </w:tc>
        <w:tc>
          <w:tcPr>
            <w:tcW w:w="800" w:type="dxa"/>
            <w:vAlign w:val="bottom"/>
          </w:tcPr>
          <w:p>
            <w:pPr>
              <w:jc w:val="right"/>
              <w:spacing w:after="0"/>
              <w:rPr>
                <w:sz w:val="20"/>
                <w:szCs w:val="20"/>
                <w:color w:val="auto"/>
              </w:rPr>
            </w:pPr>
            <w:r>
              <w:rPr>
                <w:rFonts w:ascii="Arial" w:cs="Arial" w:eastAsia="Arial" w:hAnsi="Arial"/>
                <w:sz w:val="18"/>
                <w:szCs w:val="18"/>
                <w:color w:val="auto"/>
              </w:rPr>
              <w:t>525</w:t>
            </w: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142</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720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958</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John Climax*</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Ronan Lambe</w:t>
            </w:r>
          </w:p>
        </w:tc>
        <w:tc>
          <w:tcPr>
            <w:tcW w:w="700" w:type="dxa"/>
            <w:vAlign w:val="bottom"/>
          </w:tcPr>
          <w:p>
            <w:pPr>
              <w:ind w:left="120"/>
              <w:spacing w:after="0"/>
              <w:rPr>
                <w:sz w:val="20"/>
                <w:szCs w:val="20"/>
                <w:color w:val="auto"/>
              </w:rPr>
            </w:pPr>
            <w:r>
              <w:rPr>
                <w:rFonts w:ascii="Arial" w:cs="Arial" w:eastAsia="Arial" w:hAnsi="Arial"/>
                <w:sz w:val="18"/>
                <w:szCs w:val="18"/>
                <w:color w:val="auto"/>
              </w:rPr>
              <w:t>2010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Thomas Lynch</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Edward Roberts</w:t>
            </w:r>
          </w:p>
        </w:tc>
        <w:tc>
          <w:tcPr>
            <w:tcW w:w="700" w:type="dxa"/>
            <w:vAlign w:val="bottom"/>
          </w:tcPr>
          <w:p>
            <w:pPr>
              <w:ind w:left="120"/>
              <w:spacing w:after="0"/>
              <w:rPr>
                <w:sz w:val="20"/>
                <w:szCs w:val="20"/>
                <w:color w:val="auto"/>
              </w:rPr>
            </w:pPr>
            <w:r>
              <w:rPr>
                <w:rFonts w:ascii="Arial" w:cs="Arial" w:eastAsia="Arial" w:hAnsi="Arial"/>
                <w:sz w:val="18"/>
                <w:szCs w:val="18"/>
                <w:color w:val="auto"/>
              </w:rPr>
              <w:t>2010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Dermot Kelleher</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Anthony Murphy</w:t>
            </w:r>
          </w:p>
        </w:tc>
        <w:tc>
          <w:tcPr>
            <w:tcW w:w="700" w:type="dxa"/>
            <w:vAlign w:val="bottom"/>
          </w:tcPr>
          <w:p>
            <w:pPr>
              <w:ind w:left="120"/>
              <w:spacing w:after="0"/>
              <w:rPr>
                <w:sz w:val="20"/>
                <w:szCs w:val="20"/>
                <w:color w:val="auto"/>
              </w:rPr>
            </w:pPr>
            <w:r>
              <w:rPr>
                <w:rFonts w:ascii="Arial" w:cs="Arial" w:eastAsia="Arial" w:hAnsi="Arial"/>
                <w:sz w:val="18"/>
                <w:szCs w:val="18"/>
                <w:color w:val="auto"/>
              </w:rPr>
              <w:t>2010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Declan McKeon</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Cathrin Petty</w:t>
            </w: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195</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773</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1,026</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2,368</w:t>
            </w:r>
          </w:p>
        </w:tc>
        <w:tc>
          <w:tcPr>
            <w:tcW w:w="20" w:type="dxa"/>
            <w:vAlign w:val="bottom"/>
          </w:tcPr>
          <w:p>
            <w:pPr>
              <w:spacing w:after="0"/>
              <w:rPr>
                <w:sz w:val="19"/>
                <w:szCs w:val="19"/>
                <w:color w:val="auto"/>
              </w:rPr>
            </w:pPr>
          </w:p>
        </w:tc>
      </w:tr>
      <w:tr>
        <w:trPr>
          <w:trHeight w:val="414"/>
        </w:trPr>
        <w:tc>
          <w:tcPr>
            <w:tcW w:w="582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Summary compensation table - Year ended December 31, 2009</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Company</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Share-based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Director’s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r>
      <w:tr>
        <w:trPr>
          <w:trHeight w:val="23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00" w:type="dxa"/>
            <w:vAlign w:val="bottom"/>
          </w:tcPr>
          <w:p>
            <w:pPr>
              <w:ind w:left="120"/>
              <w:spacing w:after="0"/>
              <w:rPr>
                <w:sz w:val="20"/>
                <w:szCs w:val="20"/>
                <w:color w:val="auto"/>
              </w:rPr>
            </w:pPr>
            <w:r>
              <w:rPr>
                <w:rFonts w:ascii="Arial" w:cs="Arial" w:eastAsia="Arial" w:hAnsi="Arial"/>
                <w:sz w:val="18"/>
                <w:szCs w:val="18"/>
                <w:b w:val="1"/>
                <w:bCs w:val="1"/>
                <w:color w:val="auto"/>
              </w:rPr>
              <w:t>Year</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Salary</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5"/>
              </w:rPr>
              <w:t>contribution</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compensation</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Subtotal</w:t>
            </w: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Subtotal</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compensation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fees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compensation</w:t>
            </w:r>
          </w:p>
        </w:tc>
      </w:tr>
      <w:tr>
        <w:trPr>
          <w:trHeight w:val="43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$’000</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John Climax*</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1,304</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2,344</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3,352</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Peter Gray</w:t>
            </w:r>
          </w:p>
        </w:tc>
        <w:tc>
          <w:tcPr>
            <w:tcW w:w="700" w:type="dxa"/>
            <w:vAlign w:val="bottom"/>
          </w:tcPr>
          <w:p>
            <w:pPr>
              <w:ind w:left="120"/>
              <w:spacing w:after="0"/>
              <w:rPr>
                <w:sz w:val="20"/>
                <w:szCs w:val="20"/>
                <w:color w:val="auto"/>
              </w:rPr>
            </w:pPr>
            <w:r>
              <w:rPr>
                <w:rFonts w:ascii="Arial" w:cs="Arial" w:eastAsia="Arial" w:hAnsi="Arial"/>
                <w:sz w:val="18"/>
                <w:szCs w:val="18"/>
                <w:color w:val="auto"/>
              </w:rPr>
              <w:t>2009</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426</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975</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1,358</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Ronan Lambe</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Thomas Lynch</w:t>
            </w:r>
          </w:p>
        </w:tc>
        <w:tc>
          <w:tcPr>
            <w:tcW w:w="700" w:type="dxa"/>
            <w:vAlign w:val="bottom"/>
          </w:tcPr>
          <w:p>
            <w:pPr>
              <w:ind w:left="120"/>
              <w:spacing w:after="0"/>
              <w:rPr>
                <w:sz w:val="20"/>
                <w:szCs w:val="20"/>
                <w:color w:val="auto"/>
              </w:rPr>
            </w:pPr>
            <w:r>
              <w:rPr>
                <w:rFonts w:ascii="Arial" w:cs="Arial" w:eastAsia="Arial" w:hAnsi="Arial"/>
                <w:sz w:val="18"/>
                <w:szCs w:val="18"/>
                <w:color w:val="auto"/>
              </w:rPr>
              <w:t>2009</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Edward Roberts</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Bruce Given</w:t>
            </w:r>
          </w:p>
        </w:tc>
        <w:tc>
          <w:tcPr>
            <w:tcW w:w="700" w:type="dxa"/>
            <w:vAlign w:val="bottom"/>
          </w:tcPr>
          <w:p>
            <w:pPr>
              <w:ind w:left="120"/>
              <w:spacing w:after="0"/>
              <w:rPr>
                <w:sz w:val="20"/>
                <w:szCs w:val="20"/>
                <w:color w:val="auto"/>
              </w:rPr>
            </w:pPr>
            <w:r>
              <w:rPr>
                <w:rFonts w:ascii="Arial" w:cs="Arial" w:eastAsia="Arial" w:hAnsi="Arial"/>
                <w:sz w:val="18"/>
                <w:szCs w:val="18"/>
                <w:color w:val="auto"/>
              </w:rPr>
              <w:t>2009</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Dermot Kelleher</w:t>
            </w: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Anthony Murphy</w:t>
            </w:r>
          </w:p>
        </w:tc>
        <w:tc>
          <w:tcPr>
            <w:tcW w:w="700" w:type="dxa"/>
            <w:vAlign w:val="bottom"/>
          </w:tcPr>
          <w:p>
            <w:pPr>
              <w:ind w:left="120"/>
              <w:spacing w:after="0"/>
              <w:rPr>
                <w:sz w:val="20"/>
                <w:szCs w:val="20"/>
                <w:color w:val="auto"/>
              </w:rPr>
            </w:pPr>
            <w:r>
              <w:rPr>
                <w:rFonts w:ascii="Arial" w:cs="Arial" w:eastAsia="Arial" w:hAnsi="Arial"/>
                <w:sz w:val="18"/>
                <w:szCs w:val="18"/>
                <w:color w:val="auto"/>
              </w:rPr>
              <w:t>2009</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Shuji Higuchi</w:t>
            </w:r>
          </w:p>
        </w:tc>
        <w:tc>
          <w:tcPr>
            <w:tcW w:w="7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2009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1,730</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3,319</w:t>
            </w: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4,710</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772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5,846</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5620" w:right="2740" w:hanging="5612"/>
        <w:spacing w:after="0" w:line="725" w:lineRule="auto"/>
        <w:tabs>
          <w:tab w:leader="none" w:pos="139"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Further information is set out in the </w:t>
      </w:r>
      <w:r>
        <w:rPr>
          <w:rFonts w:ascii="Arial" w:cs="Arial" w:eastAsia="Arial" w:hAnsi="Arial"/>
          <w:sz w:val="18"/>
          <w:szCs w:val="18"/>
          <w:i w:val="1"/>
          <w:iCs w:val="1"/>
          <w:color w:val="auto"/>
        </w:rPr>
        <w:t>Disclosure of Compensation Agreements</w:t>
      </w:r>
      <w:r>
        <w:rPr>
          <w:rFonts w:ascii="Arial" w:cs="Arial" w:eastAsia="Arial" w:hAnsi="Arial"/>
          <w:sz w:val="18"/>
          <w:szCs w:val="18"/>
          <w:color w:val="auto"/>
        </w:rPr>
        <w:t xml:space="preserve"> section on pages 39 and 40 of this report.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termination or change of control agreements with its named executive officers.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Bruce Given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 Bruce Given was appointed Chairman of the Board of the Company in January 2010. He has served as an outside director of the Company since September 2004. The arrangements with Dr. Given provide for the payment to him of annual fees of $316,932 per annum plus reasonable expenses properly incurred in carrying out his duties for the Company. He was previously granted and held at March 22, 2011 24,000 ordinary share options at exercise prices ranging from $8.60 to $35.33.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Peter Gray</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Peter Gray has served as the Chief Executive Officer since November 2002. He served as the Chief Operating Officer of the Company from June 2001 to November 2002 and as an Executive Director of the Company since June 1997. The service agreement with Mr. Gray is terminable on 12 months notice by either party. He is entitled to receive a bonus to be agreed by the Compensation and Organization Committee. He is also entitled to receive a pension contribution, company car and medical insurance cover for himself and his dependants. He was previously granted and held at March 22, 2011 288,000 ordinary share options at exercise prices ranging from $11.00 to $35.33 per share. His service agreement requires him to devote his full time and attention to his duties for the Company excepting certain outside director positions authorized by the Board. The agreement includes certain post termination clauses including non-disclosure, non-competition and non-solicitation provisions.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Ciaran Murray has served as the Chief Financial Officer since October 2005. The service agreement with Mr. Murray is terminable on 12 months notice by either party. He is entitled to receive a bonus to be agreed by the Compensation and Organization Committee. He is also entitled to receive a pension contribution, a company car and medical insurance cover for himself and his dependants. He was previously granted and held at March 22, 2011 145,000 ordinary share options at exercise prices ranging from $10.42 to $35.33 per share. His service agreement requires him to devote his full time and attention to his duties for the Company excepting certain outside director positions authorized by the Board. The agreement includes certain post-termination clauses including non-disclosure, non-competition and non-solicitation provisions.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John Climax</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 John Climax, one of the Company’s co-founders, served as Chairman of the Board of the Company from November 2002 to December 2009. He also served as Chief Executive Officer of the Company from June 1990 to October 2002 and as an Executive Director from June 1990 to December 2009. On December 31, 2009 Dr. Climax retired as Chairman of the Board of the Company and his service agreement with the Company (the “Dr. Climax Service Agreement”) ended. Since January 2010 he has held a position as an outside director of the Company.</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Dr. Climax Service Agreement provided for a bonus, a pension contribution, a twelve month notice period, two company cars and medical insurance cover for himself and his dependants. The new arrangements with Dr. Climax, in his position as an outside director provide for the payment to him of director fees of $48,000 per annum plus reasonable expenses properly incurred in carrying out his duties for the Company. He was previously granted and held at March 22, 2011 108,000 ordinary share options at exercise prices ranging from $8.88 to $35.33 per share.</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arrangements relating to Dr. Climax’s retirement were set out in an agreement entered into between the Company and Dr. Climax in December 2009 (the “December Agreement”). Pursuant to the December Agreement, Dr. Climax received, having regard to the Dr. Climax Service Agreement (which terminated pursuant to the December agreement), a payment of €830,000 ($1,200,620) and a pension contribution of €170,000 ($252,620). In addition, and also pursuant to the December Agreement, he received an ex-gratia pension contribution for past service of €220,308 ($327,378), the acceleration of vesting of unvested share options and the transfer of two company cars at a cost to the Company of €52,706 ($68,063).</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The Company has also entered a three year agreement with Rotrua Limited, a company controlled by Dr. Climax, for the provision of consultancy services at an agreed fee of €262,500 ($348,968) per annum. Pursuant to the consultancy agreement, Dr. Climax also agreed to certain restrictions that will apply to him after the termination of the consultancy agreement including non-disclosure, non-competition and non-solicitation. The consultancy agreement provides that the Company will provide, during the term of the agreement, permanent disability and life insurance cover for Dr. Climax and medical insurance cover for himself and his dependants.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Ronan Lambe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 Ronan Lambe, one of the Company’s co-founders, served as Chairman of the Board of the Company from June 1990 to November 2002 and is currently an outside director of the Company. The arrangements with Dr. Lambe provide for the payment to him of director fees of $52,000 per annum plus reasonable expenses properly incurred in carrying out his duties for the Company. He was previously granted and held at March 22, 2011 24,000 ordinary share options at exercise prices ranging from $8.60 to $35.33 per share.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Thomas Lynch</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Mr. Thomas Lynch has served as an outside director of the Company since January 1996. The arrangements with Mr. Lynch provide for the payment to him of director fees of $78,000 per annum plus reasonable expenses properly incurred in carrying out his duties for the Company. He was previously granted and held at March 22, 2011 20,000 ordinary share options at exercise prices ranging from $8.60 to $35.33 per share.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Dermot Kelleher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Professor Dermot Kelleher has served as an outside director of the Company since May 2008. The arrangements with Professor Kelleher provide for the payment to him of director fees of $73,000 per annum (pre February 23, 2010: $53,000 per annum). He was previously granted and held at March 22, 2011 12,000 ordinary share options at an exercise price ranging from $22.26 to $36.04.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Anthony Murphy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Anthony Murphy has served as an outside director of the Company since April 2009. The arrangements with Dr. Murphy provide for the payment to him of directors fees of $78,000 per annum (pre February 23, 2010: $53,000 per annum). He was previously granted and held at March 22, 2011 7,000 ordinary share options at exercise prices ranging from $15.84 to $24.46.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Declan McKeon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Declan McKeon has served as an outside director of the Company since April 2010. The arrangements with Mr. McKeon provide for the payment to him of directors fees of $53,000 per annum. He was previously granted and held at March 22, 2011 5,000 ordinary share options at exercise prices ranging from $20.28 to $29.45.</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Cathrin Petty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Cathrin Petty has served as an outside director of the Company since October 2010. The arrangements with Ms. Petty provide for the payment to her of directors fees of $53,000 per annum. She was previously granted and held at March 22, 2011 5,000 ordinary share options at exercise prices ranging from $19.45 to $20.28.</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Board Practices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Articles of Association provide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2011, it is anticipated that two directors will retire by rotation and offer themselves for re-election. In addition, Catherin Petty, having been appointed a Director by the Company in October 2010, will also offer herself for re-election.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comprises one executive and eight outside directors at the date of this report. The outside directors bring independent judgment to bear on issues of strategy, performance, resources, key appointments and standards. The Company considers all of its outside directors to be of complementary expertise. The Board meets regularly throughout the year and all Directors have full and timely access to the information necessary for them to discharge their duties. There is a formal schedule of matters reserved to the Board for consideration and decision including approval of strategic plans, financial statements, acquisitions, material capital expenditures and review of the effectiveness of the Company’s system of internal controls, thereby maintaining control of the Company and its future direction. The Directors have access to the advice and services of the Company Secretary and may seek external independent professional advice where required.</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other matters are delegated to Board Committees, as detailed below. The Company maintains an appropriate level of insurance cover in respect of legal action against its Directors. All Board Committees report to the Board. The Board, through the Nomination and Governance Committee, engages in succession planning and in so doing considers the strength and depth, and levels of knowledge, skills and experience necessary to achieve its objectives. The Board normally meets at least four times each year. During the year ended December 31, 2010 the Board met on four occasions. Additional meetings, to consider specific issues, are held as and when required.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has delegated some of its responsibilities to Board Committees. There are five permanent Committees. These are the Audit Committee, the Compensation and Organization Committee, the Nominating and Governance Committee, the Execution Committee and the Quality Committee, which was established in February 2010. Each Committee has been charged with specific responsibilities and each has written terms of reference that are reviewed periodically. Minutes of Committee meetings are circulated to all members of the Board. The Company Secretary is available to act as secretary to each of the Board Committees if required.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Audit Committee meets a minimum of four times a year. It reviews the quarterly and annual financial statements, the effectiveness of the system of internal control and approves the appointment and removal of the external auditors. It monitors the adequacy of internal accounting practices and addresses all issues raised and recommendations made by the external auditors. It pre-approves on an annual basis, the audit and non-audit services provided to the Company by its external auditors. Such annual pre-approval is given with respect to particular services. The Audit Committee, on a case by case basis, may approve additional services not covered by the annual pre-approval, as the need for such services arises. The Audit Committee reviews all services which are provided by the external auditors regularly to review the independence and objectivity of the external auditors taking into consideration relevant professional and regulatory requirements so that these are not impaired by the provisions of permissible non-audit services. The Chief Financial Officer and the external auditors normally attend all meetings of the Audit Committee and have direct access to the Committee Chairman at all times.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Company’s Board meeting on February 23, 2010 the composition of the Audit Committee was amended to comprise Thomas Lynch (Chairman), Edward Roberts, and Professor Dermot Kelleher, having previously comprised Edward Roberts (Chairman), Thomas Lynch, Bruce Given and Professor Dermot Kelleher. On April 19, 2010 Edward Roberts resigned as a member of the Audit Committee and was replaced by Declan McKeon. On October 18, 2010 Cathrin Petty was appointed as a member of the Audit Committee.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Compensation and Organization Committee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Group. Annual bonuses for executive directors are determined by the committee based on the achievement of the Company’s objectives.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Company’s Board meeting on February 23, 2010 composition of the Compensation and Organization Committee was amended to comprise Dr Anthony Murphy (Chairman), Dr. Bruce Given and Thomas Lynch, having previously comprised Dr. Anthony Murphy (Chairman), Edward Roberts, Dr. Bruce Given and Thomas Lynch.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Nominating and Governance Committee reviews the membership of the board of directors and board committees on an ongoing basis. It identifies and recommends individuals to fill any vacancy that is anticipated or arises on the board of directors. It reviews and recommends the corporate governance principles of the Company.</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Company’s Board meeting on February 23, 2010 composition of the Nominating and Governance Committee was amended to comprise Dr. Anthony Murphy (Chairman), Dr. Bruce Given and Thomas Lynch, having previously comprised Thomas Lynch (Chairman), Dr. Bruce Given and Dr. Anthony Murphy.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 Committee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Execution Committee is responsible for the management of the Company in intervals between meetings of the Board and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At the Company’s Board meeting on February 23, 2010 composition of the Execution Committee was amended to comprise Peter Gray (Chairman), Dr.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Bruce Given and Ciaran Murray, having previously comprised Peter Gray (Chairman), Dr. John Climax and Ciaran Murray.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Quality Committee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February 23, 2010 the Company established a Quality Committee. The purpose of this committee is to oversee compliance with the Company’s quality initiatives. The committee comprises Professor Dermot Kelleher (Chairman) and Dr. Ronan Lambe.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employed 7,735, 7,170 and 6,975 people for the years ended December 31, 2010, December 31, 2009 and December 31, 2008 respectively. Our employees are not unionized and we believe we have a satisfactory relationship with our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sets forth certain information regarding beneficial ownership of our ordinary shares (including American Depository Securities, ADS’s) as of February 23, 2011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No. of</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Name of Owner or</w:t>
            </w:r>
          </w:p>
        </w:tc>
        <w:tc>
          <w:tcPr>
            <w:tcW w:w="2100" w:type="dxa"/>
            <w:vAlign w:val="bottom"/>
          </w:tcPr>
          <w:p>
            <w:pPr>
              <w:jc w:val="right"/>
              <w:ind w:right="330"/>
              <w:spacing w:after="0"/>
              <w:rPr>
                <w:sz w:val="20"/>
                <w:szCs w:val="20"/>
                <w:color w:val="auto"/>
              </w:rPr>
            </w:pPr>
            <w:r>
              <w:rPr>
                <w:rFonts w:ascii="Arial" w:cs="Arial" w:eastAsia="Arial" w:hAnsi="Arial"/>
                <w:sz w:val="18"/>
                <w:szCs w:val="18"/>
                <w:b w:val="1"/>
                <w:bCs w:val="1"/>
                <w:color w:val="auto"/>
              </w:rPr>
              <w:t>No. of</w:t>
            </w: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 of total</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Options</w:t>
            </w: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Identity of Group</w:t>
            </w:r>
          </w:p>
        </w:tc>
        <w:tc>
          <w:tcPr>
            <w:tcW w:w="210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 (1)</w:t>
            </w: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5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2500" w:type="dxa"/>
            <w:vAlign w:val="bottom"/>
          </w:tcPr>
          <w:p>
            <w:pPr>
              <w:ind w:left="10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2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500</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35.33</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24.46</w:t>
            </w:r>
          </w:p>
        </w:tc>
        <w:tc>
          <w:tcPr>
            <w:tcW w:w="2500" w:type="dxa"/>
            <w:vAlign w:val="bottom"/>
          </w:tcPr>
          <w:p>
            <w:pPr>
              <w:ind w:left="10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Mr. Peter Gray</w:t>
            </w:r>
          </w:p>
        </w:tc>
        <w:tc>
          <w:tcPr>
            <w:tcW w:w="2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376,288</w:t>
            </w:r>
          </w:p>
        </w:tc>
        <w:tc>
          <w:tcPr>
            <w:tcW w:w="1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0.6%</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21.25</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35.33</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15.84</w:t>
            </w:r>
          </w:p>
        </w:tc>
        <w:tc>
          <w:tcPr>
            <w:tcW w:w="2500" w:type="dxa"/>
            <w:vAlign w:val="bottom"/>
          </w:tcPr>
          <w:p>
            <w:pPr>
              <w:ind w:left="100"/>
              <w:spacing w:after="0"/>
              <w:rPr>
                <w:sz w:val="20"/>
                <w:szCs w:val="20"/>
                <w:color w:val="auto"/>
              </w:rPr>
            </w:pPr>
            <w:r>
              <w:rPr>
                <w:rFonts w:ascii="Arial" w:cs="Arial" w:eastAsia="Arial" w:hAnsi="Arial"/>
                <w:sz w:val="18"/>
                <w:szCs w:val="18"/>
                <w:color w:val="auto"/>
              </w:rPr>
              <w:t>April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24.25</w:t>
            </w:r>
          </w:p>
        </w:tc>
        <w:tc>
          <w:tcPr>
            <w:tcW w:w="2500" w:type="dxa"/>
            <w:vAlign w:val="bottom"/>
          </w:tcPr>
          <w:p>
            <w:pPr>
              <w:ind w:left="100"/>
              <w:spacing w:after="0"/>
              <w:rPr>
                <w:sz w:val="20"/>
                <w:szCs w:val="20"/>
                <w:color w:val="auto"/>
              </w:rPr>
            </w:pPr>
            <w:r>
              <w:rPr>
                <w:rFonts w:ascii="Arial" w:cs="Arial" w:eastAsia="Arial" w:hAnsi="Arial"/>
                <w:sz w:val="18"/>
                <w:szCs w:val="18"/>
                <w:color w:val="auto"/>
              </w:rPr>
              <w:t>March 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Mr. Ciaran Murray</w:t>
            </w:r>
          </w:p>
        </w:tc>
        <w:tc>
          <w:tcPr>
            <w:tcW w:w="2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35.33</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24.46</w:t>
            </w:r>
          </w:p>
        </w:tc>
        <w:tc>
          <w:tcPr>
            <w:tcW w:w="2500" w:type="dxa"/>
            <w:vAlign w:val="bottom"/>
          </w:tcPr>
          <w:p>
            <w:pPr>
              <w:ind w:left="10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1,607,568</w:t>
            </w:r>
          </w:p>
        </w:tc>
        <w:tc>
          <w:tcPr>
            <w:tcW w:w="1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2.7%</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35.33</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15.84</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24.46</w:t>
            </w:r>
          </w:p>
        </w:tc>
        <w:tc>
          <w:tcPr>
            <w:tcW w:w="2500" w:type="dxa"/>
            <w:vAlign w:val="bottom"/>
          </w:tcPr>
          <w:p>
            <w:pPr>
              <w:ind w:left="10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2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400</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21.25</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35.33</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22.26</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Mr. Thomas Lynch</w:t>
            </w:r>
          </w:p>
        </w:tc>
        <w:tc>
          <w:tcPr>
            <w:tcW w:w="2100" w:type="dxa"/>
            <w:vAlign w:val="bottom"/>
          </w:tcPr>
          <w:p>
            <w:pPr>
              <w:jc w:val="right"/>
              <w:ind w:right="330"/>
              <w:spacing w:after="0"/>
              <w:rPr>
                <w:sz w:val="20"/>
                <w:szCs w:val="20"/>
                <w:color w:val="auto"/>
              </w:rPr>
            </w:pPr>
            <w:r>
              <w:rPr>
                <w:rFonts w:ascii="Arial" w:cs="Arial" w:eastAsia="Arial" w:hAnsi="Arial"/>
                <w:sz w:val="18"/>
                <w:szCs w:val="18"/>
                <w:color w:val="auto"/>
              </w:rPr>
              <w:t>1,204</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4,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24,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3,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16,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35.33</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26,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24.46</w:t>
            </w:r>
          </w:p>
        </w:tc>
        <w:tc>
          <w:tcPr>
            <w:tcW w:w="2500" w:type="dxa"/>
            <w:vAlign w:val="bottom"/>
          </w:tcPr>
          <w:p>
            <w:pPr>
              <w:ind w:left="10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43</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Name of Owner or</w:t>
            </w:r>
          </w:p>
        </w:tc>
        <w:tc>
          <w:tcPr>
            <w:tcW w:w="1840" w:type="dxa"/>
            <w:vAlign w:val="bottom"/>
          </w:tcPr>
          <w:p>
            <w:pPr>
              <w:jc w:val="right"/>
              <w:ind w:right="330"/>
              <w:spacing w:after="0"/>
              <w:rPr>
                <w:sz w:val="20"/>
                <w:szCs w:val="20"/>
                <w:color w:val="auto"/>
              </w:rPr>
            </w:pPr>
            <w:r>
              <w:rPr>
                <w:rFonts w:ascii="Arial" w:cs="Arial" w:eastAsia="Arial" w:hAnsi="Arial"/>
                <w:sz w:val="18"/>
                <w:szCs w:val="18"/>
                <w:b w:val="1"/>
                <w:bCs w:val="1"/>
                <w:color w:val="auto"/>
              </w:rPr>
              <w:t>No. of</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of total</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No. of</w:t>
            </w: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Identity of Group</w:t>
            </w:r>
          </w:p>
        </w:tc>
        <w:tc>
          <w:tcPr>
            <w:tcW w:w="184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 (1)</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Options (2)</w:t>
            </w:r>
          </w:p>
        </w:tc>
        <w:tc>
          <w:tcPr>
            <w:tcW w:w="5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2500" w:type="dxa"/>
            <w:vAlign w:val="bottom"/>
          </w:tcPr>
          <w:p>
            <w:pPr>
              <w:ind w:left="10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36.04</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27,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22.26</w:t>
            </w:r>
          </w:p>
        </w:tc>
        <w:tc>
          <w:tcPr>
            <w:tcW w:w="2500" w:type="dxa"/>
            <w:vAlign w:val="bottom"/>
          </w:tcPr>
          <w:p>
            <w:pPr>
              <w:ind w:left="100"/>
              <w:spacing w:after="0"/>
              <w:rPr>
                <w:sz w:val="20"/>
                <w:szCs w:val="20"/>
                <w:color w:val="auto"/>
              </w:rPr>
            </w:pPr>
            <w:r>
              <w:rPr>
                <w:rFonts w:ascii="Arial" w:cs="Arial" w:eastAsia="Arial" w:hAnsi="Arial"/>
                <w:sz w:val="18"/>
                <w:szCs w:val="18"/>
                <w:color w:val="auto"/>
              </w:rPr>
              <w:t>February 25,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Dr. Tony Murphy</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200</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15.84</w:t>
            </w:r>
          </w:p>
        </w:tc>
        <w:tc>
          <w:tcPr>
            <w:tcW w:w="2500" w:type="dxa"/>
            <w:vAlign w:val="bottom"/>
          </w:tcPr>
          <w:p>
            <w:pPr>
              <w:ind w:left="100"/>
              <w:spacing w:after="0"/>
              <w:rPr>
                <w:sz w:val="20"/>
                <w:szCs w:val="20"/>
                <w:color w:val="auto"/>
              </w:rPr>
            </w:pPr>
            <w:r>
              <w:rPr>
                <w:rFonts w:ascii="Arial" w:cs="Arial" w:eastAsia="Arial" w:hAnsi="Arial"/>
                <w:sz w:val="18"/>
                <w:szCs w:val="18"/>
                <w:color w:val="auto"/>
              </w:rPr>
              <w:t>April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4,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Mr. Declan McKeon</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29.45</w:t>
            </w:r>
          </w:p>
        </w:tc>
        <w:tc>
          <w:tcPr>
            <w:tcW w:w="2500" w:type="dxa"/>
            <w:vAlign w:val="bottom"/>
          </w:tcPr>
          <w:p>
            <w:pPr>
              <w:ind w:left="100"/>
              <w:spacing w:after="0"/>
              <w:rPr>
                <w:sz w:val="20"/>
                <w:szCs w:val="20"/>
                <w:color w:val="auto"/>
              </w:rPr>
            </w:pPr>
            <w:r>
              <w:rPr>
                <w:rFonts w:ascii="Arial" w:cs="Arial" w:eastAsia="Arial" w:hAnsi="Arial"/>
                <w:sz w:val="18"/>
                <w:szCs w:val="18"/>
                <w:color w:val="auto"/>
              </w:rPr>
              <w:t>April 29,2018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Ms. Cathrin Petty</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19.45</w:t>
            </w: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October 26, 2018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2500" w:type="dxa"/>
            <w:vAlign w:val="bottom"/>
          </w:tcPr>
          <w:p>
            <w:pPr>
              <w:ind w:left="100"/>
              <w:spacing w:after="0"/>
              <w:rPr>
                <w:sz w:val="20"/>
                <w:szCs w:val="20"/>
                <w:color w:val="auto"/>
              </w:rPr>
            </w:pPr>
            <w:r>
              <w:rPr>
                <w:rFonts w:ascii="Arial" w:cs="Arial" w:eastAsia="Arial" w:hAnsi="Arial"/>
                <w:sz w:val="18"/>
                <w:szCs w:val="18"/>
                <w:color w:val="auto"/>
              </w:rPr>
              <w:t>March 3, 2019</w:t>
            </w:r>
          </w:p>
        </w:tc>
        <w:tc>
          <w:tcPr>
            <w:tcW w:w="0" w:type="dxa"/>
            <w:vAlign w:val="bottom"/>
          </w:tcPr>
          <w:p>
            <w:pPr>
              <w:spacing w:after="0"/>
              <w:rPr>
                <w:sz w:val="1"/>
                <w:szCs w:val="1"/>
                <w:color w:val="auto"/>
              </w:rPr>
            </w:pPr>
          </w:p>
        </w:tc>
      </w:tr>
    </w:tbl>
    <w:p>
      <w:pPr>
        <w:jc w:val="both"/>
        <w:ind w:left="500" w:hanging="492"/>
        <w:spacing w:after="0" w:line="24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used in this table, each person has the sole or shared power to vote or direct the voting of a security, or the sole or shared investment power with respect to a security (</w:t>
      </w:r>
      <w:r>
        <w:rPr>
          <w:rFonts w:ascii="Arial" w:cs="Arial" w:eastAsia="Arial" w:hAnsi="Arial"/>
          <w:sz w:val="18"/>
          <w:szCs w:val="18"/>
          <w:i w:val="1"/>
          <w:iCs w:val="1"/>
          <w:color w:val="auto"/>
        </w:rPr>
        <w:t>i.e.</w:t>
      </w:r>
      <w:r>
        <w:rPr>
          <w:rFonts w:ascii="Arial" w:cs="Arial" w:eastAsia="Arial" w:hAnsi="Arial"/>
          <w:sz w:val="18"/>
          <w:szCs w:val="18"/>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of securities covered by all of the above options are non-revenue qualified.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Share Option Schemes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 Each option granted under the 2008 Employee Plan or the 2008 Consultants Plan (together the “2008 Option plans”) will be an employee stock option, or NSO. Each grant of an option under the 2008 Option Plans will be evidenced by a Stock Option Agreement between the optionee and the Company. The exercise price will be specified in each Stock Option Agreement. 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Plan during any calendar year to any employee shall be 400,000 ordinary shares. There is no individual limit under the 2008 Consultants Plan. No options may be granted under the plans after July 21, 2018.</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17, 2003 the Company adopted the Share Option Plan 2003, (“the 2003 Plan”), pursuant to which the Compensation and Organization Committee of the Company’s Board of Directors may grant options to employees of the Company or its subsidiaries for the purchase of ordinary shares. Each option will be an employee stock option, or NSO. Each grant of an option under the 2003 Plan will be evidenced by a Stock Option Agreement between the optionee and the Company. The exercise price will be specified in each Stock Option Agreement. 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400,000 ordinary shares. No options can be granted under the 2003 Plan after January 17, 2013.</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ICON's ordinary shares (including ADSs) as of March 22, 2011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3740" w:type="dxa"/>
            <w:vAlign w:val="bottom"/>
          </w:tcPr>
          <w:p>
            <w:pPr>
              <w:jc w:val="right"/>
              <w:ind w:right="710"/>
              <w:spacing w:after="0"/>
              <w:rPr>
                <w:sz w:val="20"/>
                <w:szCs w:val="20"/>
                <w:color w:val="auto"/>
              </w:rPr>
            </w:pPr>
            <w:r>
              <w:rPr>
                <w:rFonts w:ascii="Arial" w:cs="Arial" w:eastAsia="Arial" w:hAnsi="Arial"/>
                <w:sz w:val="18"/>
                <w:szCs w:val="18"/>
                <w:b w:val="1"/>
                <w:bCs w:val="1"/>
                <w:color w:val="auto"/>
              </w:rPr>
              <w:t>No. of Shares (1)</w:t>
            </w:r>
          </w:p>
        </w:tc>
        <w:tc>
          <w:tcPr>
            <w:tcW w:w="3180" w:type="dxa"/>
            <w:vAlign w:val="bottom"/>
          </w:tcPr>
          <w:p>
            <w:pPr>
              <w:jc w:val="right"/>
              <w:ind w:right="105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Fidelity Group Companies (2)</w:t>
            </w:r>
          </w:p>
        </w:tc>
        <w:tc>
          <w:tcPr>
            <w:tcW w:w="37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7,503,978</w:t>
            </w:r>
          </w:p>
        </w:tc>
        <w:tc>
          <w:tcPr>
            <w:tcW w:w="318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Neurberger Berman LLC (2)</w:t>
            </w:r>
          </w:p>
        </w:tc>
        <w:tc>
          <w:tcPr>
            <w:tcW w:w="3740" w:type="dxa"/>
            <w:vAlign w:val="bottom"/>
          </w:tcPr>
          <w:p>
            <w:pPr>
              <w:jc w:val="right"/>
              <w:ind w:right="710"/>
              <w:spacing w:after="0"/>
              <w:rPr>
                <w:sz w:val="20"/>
                <w:szCs w:val="20"/>
                <w:color w:val="auto"/>
              </w:rPr>
            </w:pPr>
            <w:r>
              <w:rPr>
                <w:rFonts w:ascii="Arial" w:cs="Arial" w:eastAsia="Arial" w:hAnsi="Arial"/>
                <w:sz w:val="18"/>
                <w:szCs w:val="18"/>
                <w:color w:val="auto"/>
              </w:rPr>
              <w:t>5,354,480</w:t>
            </w:r>
          </w:p>
        </w:tc>
        <w:tc>
          <w:tcPr>
            <w:tcW w:w="3180" w:type="dxa"/>
            <w:vAlign w:val="bottom"/>
          </w:tcPr>
          <w:p>
            <w:pPr>
              <w:jc w:val="right"/>
              <w:ind w:right="105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Wasatch Advisors, Inc. (2)</w:t>
            </w:r>
          </w:p>
        </w:tc>
        <w:tc>
          <w:tcPr>
            <w:tcW w:w="37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3,166,273</w:t>
            </w:r>
          </w:p>
        </w:tc>
        <w:tc>
          <w:tcPr>
            <w:tcW w:w="318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All directors and officers as a group (3)</w:t>
            </w:r>
          </w:p>
        </w:tc>
        <w:tc>
          <w:tcPr>
            <w:tcW w:w="3740" w:type="dxa"/>
            <w:vAlign w:val="bottom"/>
          </w:tcPr>
          <w:p>
            <w:pPr>
              <w:jc w:val="right"/>
              <w:ind w:right="710"/>
              <w:spacing w:after="0"/>
              <w:rPr>
                <w:sz w:val="20"/>
                <w:szCs w:val="20"/>
                <w:color w:val="auto"/>
              </w:rPr>
            </w:pPr>
            <w:r>
              <w:rPr>
                <w:rFonts w:ascii="Arial" w:cs="Arial" w:eastAsia="Arial" w:hAnsi="Arial"/>
                <w:sz w:val="18"/>
                <w:szCs w:val="18"/>
                <w:color w:val="auto"/>
              </w:rPr>
              <w:t>2,624,160</w:t>
            </w:r>
          </w:p>
        </w:tc>
        <w:tc>
          <w:tcPr>
            <w:tcW w:w="3180" w:type="dxa"/>
            <w:vAlign w:val="bottom"/>
          </w:tcPr>
          <w:p>
            <w:pPr>
              <w:jc w:val="right"/>
              <w:ind w:right="105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8"/>
        <w:spacing w:after="0" w:line="259" w:lineRule="auto"/>
        <w:tabs>
          <w:tab w:leader="none" w:pos="3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 Note that all figures have been amended to reflect the Bonus Issues which took place with an effective date of October 13, 2006 and August 8, 2008.</w:t>
      </w:r>
    </w:p>
    <w:p>
      <w:pPr>
        <w:spacing w:after="0" w:line="186"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holds any voting power in this entity.</w:t>
      </w:r>
    </w:p>
    <w:p>
      <w:pPr>
        <w:spacing w:after="0" w:line="245" w:lineRule="exact"/>
        <w:rPr>
          <w:rFonts w:ascii="Arial" w:cs="Arial" w:eastAsia="Arial" w:hAnsi="Arial"/>
          <w:sz w:val="18"/>
          <w:szCs w:val="18"/>
          <w:color w:val="auto"/>
        </w:rPr>
      </w:pPr>
    </w:p>
    <w:p>
      <w:pPr>
        <w:ind w:right="20" w:firstLine="8"/>
        <w:spacing w:after="0" w:line="227" w:lineRule="auto"/>
        <w:tabs>
          <w:tab w:leader="none" w:pos="376"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Includes 638,000 ordinary shares issuable upon the exercise of stock options granted by the Company. </w:t>
      </w:r>
      <w:r>
        <w:rPr>
          <w:rFonts w:ascii="Arial" w:cs="Arial" w:eastAsia="Arial" w:hAnsi="Arial"/>
          <w:sz w:val="18"/>
          <w:szCs w:val="18"/>
          <w:color w:val="auto"/>
        </w:rPr>
        <w:t>ICON plc, is not directly or</w:t>
      </w:r>
      <w:r>
        <w:rPr>
          <w:rFonts w:ascii="Arial" w:cs="Arial" w:eastAsia="Arial" w:hAnsi="Arial"/>
          <w:sz w:val="22"/>
          <w:szCs w:val="22"/>
          <w:color w:val="auto"/>
        </w:rPr>
        <w:t xml:space="preserve"> </w:t>
      </w:r>
      <w:r>
        <w:rPr>
          <w:rFonts w:ascii="Arial" w:cs="Arial" w:eastAsia="Arial" w:hAnsi="Arial"/>
          <w:sz w:val="18"/>
          <w:szCs w:val="18"/>
          <w:color w:val="auto"/>
        </w:rPr>
        <w:t>indirectly, owned or controlled by another corporation or by any government.</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that certain of the ordinary shares and American Depositary Shares (“ADRs”) are held by brokers or other nominees, the number of holders of record or registered holders in the United States is not representative of the number of beneficial holders or of the residence of beneficial holders. Based on management’s review of relevant filings with the Securities and Exchange Commission and other publicly available information, the Company believes that the number of ordinary shares (including ADSs) held by holders of record that are residents of the United States is below 50% and may include Fidelity Group Companies, Neurberger Berman LLC and Wellington Management Co LLC. The Company notes that of a total of 60,317,660 ordinary shares (including ADSs) of the Company which were issued and outstanding at March 22, 2010 16,024,731 ordinary shares (including ADSs) were held by holders of record in the United States.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31, 2009 Dr. John Climax retired as Chairman of the Board of the Company. From January 2010 he has held the position as an outside director of the Company. The Company has entered into a three year agreement with Rotrua Limited, a company controlled by Dr. Climax, for the provision of consultancy services at an agreed fee of €262,500 ($348,968) per annum. The consultancy agreement provides that the Company will provide during the term of the agreement permanent disability and life insurance cover for Dr. Climax and medical insurance cover for himself and his dependants.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Edward Roberts, who resigned as a Director of the Company in April 2010, previously served as Chairman of Merz GmbH. Merz is an independent German pharmaceutical company focused on the development of drugs for the treatment of illnesses in the fields of neurology and psychiatry. ICON Clinical Research Limited, a wholly owned subsidiary of the Company, has entered into a number of contracts with Merz for the provision of consulting and clinical trial related activities. The total potential value of these contracts is $43.5 million. During the year ended December 31, 2009 the Company recognized a total of $9.8 million of revenue in relation to these activities. At December 31, 2009 $1.2 million was outstanding to be received from Merz GmbH.</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Dr. Bruce Given previously served as Acting Chief Medical Officer of Sembiosys Genetics Inc. (“Sembiosys”). Sembiosys is a plant biotechnology company specializing in the production of high-value pharmaceutical and non-pharmaceutical products. During the year ending December 31, 2008 Sembiosys engaged ICON Development Solutions, a wholly owned subsidiary of ICON, in consulting and clinical trial related activities. The total potential value of this study was $0.8 million. During the year ending December 31, 2009 ICON recognized a total of $0.3 million of revenue in relation to these activities. There were no amounts outstanding as at December 31, 2009.</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party to any litigation or other legal proceedings that we believe could reasonably be expected to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have not paid cash dividends on our ordinary shares and do not intend to pay cash dividends on our ordinary shares in the foreseeable future.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the Listing</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ADSs are traded on the NASDAQ National Market under the symbol “ICLR”. Our Depository for the ADSs is The Bank of New York Mellon. The Company also has a secondary listing on the Official List of the Irish Stock Exchange. No securities of the Company are traded in any other market. The following table sets forth the trading price for the dates indicated for the Company's ADSs as reported by NASDAQ.</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High Sales Price</w:t>
            </w:r>
          </w:p>
        </w:tc>
        <w:tc>
          <w:tcPr>
            <w:tcW w:w="46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Low Sales Price</w:t>
            </w:r>
          </w:p>
        </w:tc>
      </w:tr>
      <w:tr>
        <w:trPr>
          <w:trHeight w:val="241"/>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Year Ending</w:t>
            </w:r>
          </w:p>
        </w:tc>
        <w:tc>
          <w:tcPr>
            <w:tcW w:w="42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Period</w:t>
            </w:r>
          </w:p>
        </w:tc>
        <w:tc>
          <w:tcPr>
            <w:tcW w:w="46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Period</w:t>
            </w:r>
          </w:p>
        </w:tc>
      </w:tr>
      <w:tr>
        <w:trPr>
          <w:trHeight w:val="216"/>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42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December 31, 2007</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32.40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18.34</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December 31, 2009</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26.85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18.93</w:t>
            </w:r>
          </w:p>
        </w:tc>
      </w:tr>
      <w:tr>
        <w:trPr>
          <w:trHeight w:val="198"/>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High Sales Price</w:t>
            </w:r>
          </w:p>
        </w:tc>
        <w:tc>
          <w:tcPr>
            <w:tcW w:w="460" w:type="dxa"/>
            <w:vAlign w:val="bottom"/>
          </w:tcPr>
          <w:p>
            <w:pPr>
              <w:spacing w:after="0"/>
              <w:rPr>
                <w:sz w:val="17"/>
                <w:szCs w:val="17"/>
                <w:color w:val="auto"/>
              </w:rPr>
            </w:pPr>
          </w:p>
        </w:tc>
        <w:tc>
          <w:tcPr>
            <w:tcW w:w="158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Low Sales Price</w:t>
            </w:r>
          </w:p>
        </w:tc>
      </w:tr>
      <w:tr>
        <w:trPr>
          <w:trHeight w:val="241"/>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Quarter Ending</w:t>
            </w:r>
          </w:p>
        </w:tc>
        <w:tc>
          <w:tcPr>
            <w:tcW w:w="42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Period</w:t>
            </w:r>
          </w:p>
        </w:tc>
        <w:tc>
          <w:tcPr>
            <w:tcW w:w="46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Period</w:t>
            </w:r>
          </w:p>
        </w:tc>
      </w:tr>
      <w:tr>
        <w:trPr>
          <w:trHeight w:val="216"/>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 31, 2009</w:t>
            </w:r>
          </w:p>
        </w:tc>
        <w:tc>
          <w:tcPr>
            <w:tcW w:w="42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24.77</w:t>
            </w:r>
          </w:p>
        </w:tc>
        <w:tc>
          <w:tcPr>
            <w:tcW w:w="4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June 30, 2009</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22.46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Sept 30, 2009</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Dec 31, 2009</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26.85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21.00</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Mar 31, 2010</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June 30, 2010</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30.31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25.29</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Sept 30, 2010</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20.33</w:t>
            </w:r>
          </w:p>
        </w:tc>
      </w:tr>
      <w:tr>
        <w:trPr>
          <w:trHeight w:val="198"/>
        </w:trPr>
        <w:tc>
          <w:tcPr>
            <w:tcW w:w="20" w:type="dxa"/>
            <w:vAlign w:val="bottom"/>
          </w:tcPr>
          <w:p>
            <w:pPr>
              <w:spacing w:after="0"/>
              <w:rPr>
                <w:sz w:val="17"/>
                <w:szCs w:val="17"/>
                <w:color w:val="auto"/>
              </w:rPr>
            </w:pPr>
          </w:p>
        </w:tc>
        <w:tc>
          <w:tcPr>
            <w:tcW w:w="3500" w:type="dxa"/>
            <w:vAlign w:val="bottom"/>
          </w:tcPr>
          <w:p>
            <w:pPr>
              <w:spacing w:after="0" w:line="198" w:lineRule="exact"/>
              <w:rPr>
                <w:sz w:val="20"/>
                <w:szCs w:val="20"/>
                <w:color w:val="auto"/>
              </w:rPr>
            </w:pPr>
            <w:r>
              <w:rPr>
                <w:rFonts w:ascii="Arial" w:cs="Arial" w:eastAsia="Arial" w:hAnsi="Arial"/>
                <w:sz w:val="18"/>
                <w:szCs w:val="18"/>
                <w:color w:val="auto"/>
              </w:rPr>
              <w:t>Dec 31, 2010</w:t>
            </w:r>
          </w:p>
        </w:tc>
        <w:tc>
          <w:tcPr>
            <w:tcW w:w="4240" w:type="dxa"/>
            <w:vAlign w:val="bottom"/>
          </w:tcPr>
          <w:p>
            <w:pPr>
              <w:jc w:val="right"/>
              <w:ind w:right="150"/>
              <w:spacing w:after="0" w:line="198"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198" w:lineRule="exact"/>
              <w:rPr>
                <w:sz w:val="20"/>
                <w:szCs w:val="20"/>
                <w:color w:val="auto"/>
              </w:rPr>
            </w:pPr>
            <w:r>
              <w:rPr>
                <w:rFonts w:ascii="Arial" w:cs="Arial" w:eastAsia="Arial" w:hAnsi="Arial"/>
                <w:sz w:val="18"/>
                <w:szCs w:val="18"/>
                <w:color w:val="auto"/>
              </w:rPr>
              <w:t>22.28</w:t>
            </w:r>
          </w:p>
        </w:tc>
        <w:tc>
          <w:tcPr>
            <w:tcW w:w="460" w:type="dxa"/>
            <w:vAlign w:val="bottom"/>
          </w:tcPr>
          <w:p>
            <w:pPr>
              <w:jc w:val="right"/>
              <w:ind w:right="150"/>
              <w:spacing w:after="0" w:line="198"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line="198" w:lineRule="exact"/>
              <w:rPr>
                <w:sz w:val="20"/>
                <w:szCs w:val="20"/>
                <w:color w:val="auto"/>
              </w:rPr>
            </w:pPr>
            <w:r>
              <w:rPr>
                <w:rFonts w:ascii="Arial" w:cs="Arial" w:eastAsia="Arial" w:hAnsi="Arial"/>
                <w:sz w:val="18"/>
                <w:szCs w:val="18"/>
                <w:color w:val="auto"/>
              </w:rPr>
              <w:t>18.93</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High Sales Price</w:t>
            </w:r>
          </w:p>
        </w:tc>
        <w:tc>
          <w:tcPr>
            <w:tcW w:w="46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Low Sales Price</w:t>
            </w:r>
          </w:p>
        </w:tc>
      </w:tr>
      <w:tr>
        <w:trPr>
          <w:trHeight w:val="241"/>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Month Ending</w:t>
            </w:r>
          </w:p>
        </w:tc>
        <w:tc>
          <w:tcPr>
            <w:tcW w:w="42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Period</w:t>
            </w:r>
          </w:p>
        </w:tc>
        <w:tc>
          <w:tcPr>
            <w:tcW w:w="46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During Period</w:t>
            </w:r>
          </w:p>
        </w:tc>
      </w:tr>
      <w:tr>
        <w:trPr>
          <w:trHeight w:val="216"/>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31, 2010</w:t>
            </w:r>
          </w:p>
        </w:tc>
        <w:tc>
          <w:tcPr>
            <w:tcW w:w="42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28.90</w:t>
            </w:r>
          </w:p>
        </w:tc>
        <w:tc>
          <w:tcPr>
            <w:tcW w:w="4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Aug 31, 2010</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24.71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21.22</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Sept 30, 2010</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20.33</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Oct 31, 2010</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22.18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18.93</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Nov 30, 2010</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Dec 31, 2010</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22.28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19.07</w:t>
            </w:r>
          </w:p>
        </w:tc>
      </w:tr>
      <w:tr>
        <w:trPr>
          <w:trHeight w:val="59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40" w:type="dxa"/>
            <w:vAlign w:val="bottom"/>
          </w:tcPr>
          <w:p>
            <w:pPr>
              <w:jc w:val="right"/>
              <w:ind w:right="1870"/>
              <w:spacing w:after="0"/>
              <w:rPr>
                <w:sz w:val="20"/>
                <w:szCs w:val="20"/>
                <w:color w:val="auto"/>
              </w:rPr>
            </w:pPr>
            <w:r>
              <w:rPr>
                <w:rFonts w:ascii="Arial" w:cs="Arial" w:eastAsia="Arial" w:hAnsi="Arial"/>
                <w:sz w:val="18"/>
                <w:szCs w:val="18"/>
                <w:color w:val="auto"/>
              </w:rPr>
              <w:t>47</w:t>
            </w: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incorporate by reference the description of our Memorandum and Articles of Association located under the heading “Description of the Memorandum and Articles of Association of the Company” in exhibit 3.1.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July 19, 2010 at the Company’s Annual General Meeting, the Articles of Association of ICON plc were amended as follows:</w:t>
      </w:r>
    </w:p>
    <w:p>
      <w:pPr>
        <w:spacing w:after="0" w:line="23" w:lineRule="exact"/>
        <w:rPr>
          <w:sz w:val="20"/>
          <w:szCs w:val="20"/>
          <w:color w:val="auto"/>
        </w:rPr>
      </w:pPr>
    </w:p>
    <w:p>
      <w:pPr>
        <w:ind w:left="460" w:right="20" w:hanging="330"/>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clarify and extend the provisions in relation to the holding of board meetings by amending provisions in the Articles of Association which permit Directors to attend board meetings by telephone, video-conference or other electronic means;</w:t>
      </w: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allow for the fixing of the record date and time which shall determine the eligibility of members to participate and vote at the AGM;</w:t>
      </w:r>
    </w:p>
    <w:p>
      <w:pPr>
        <w:spacing w:after="0" w:line="9" w:lineRule="exact"/>
        <w:rPr>
          <w:rFonts w:ascii="Arial" w:cs="Arial" w:eastAsia="Arial" w:hAnsi="Arial"/>
          <w:sz w:val="18"/>
          <w:szCs w:val="18"/>
          <w:color w:val="auto"/>
        </w:rPr>
      </w:pPr>
    </w:p>
    <w:p>
      <w:pPr>
        <w:ind w:left="460" w:right="20" w:hanging="330"/>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require that any request by a Member to table a draft resolution under section 133B(1)(b) of the Companies Act, 1963 must be received by the Company in hard copy form or in electronic form at least 14 clear days before the meeting to which it relates;</w:t>
      </w:r>
    </w:p>
    <w:p>
      <w:pPr>
        <w:ind w:left="460" w:hanging="330"/>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incorporate procedures for the appointment of proxies electronically, and to allow the Directors to implement procedures for shareholders voting electronically;</w:t>
      </w:r>
    </w:p>
    <w:p>
      <w:pPr>
        <w:ind w:left="460" w:hanging="330"/>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permit members to appoint more than one proxy or corporate representative and, in doing so, to designate the shares which relate to such an appointment;</w:t>
      </w:r>
    </w:p>
    <w:p>
      <w:pPr>
        <w:jc w:val="both"/>
        <w:ind w:left="460" w:hanging="330"/>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clarify the provisions in relation to the eligibility requirements for the appointment of Directors, and to make the provisions relating to the right to propose resolutions to appoint Directors at general meetings consistent with the other provisions of the Articles of Association of the Company relating to tabling resolutions at such meetings;</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clarify and extend the provisions in relation to the service of notices and other documents;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update legislative citations and cross-references.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13, 2001 the Company’s subsidiary, ICON Clinical Research (UK) Limited, entered into a lease agreement with Capital Business Parks Globeside Limited. The lease is for office space at an initial annual rate of £988,350, subject to adjustment every five years. The term of the lease is 16 years.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29, 2002 the Company’s subsidiary, ICON Laboratories Inc., entered into a lease agreement with MSM Reality Co., LLC, Davrick, LLC and Sholom Blau Co., LLC. The lease is for office and laboratory space at an annual rate of approximately $2,220,000. The term of the lease is 15 years and ICON Laboratories Inc. has the option to extend the term of the lease for an additional 10 year term upon notice to the landlord at least 24 months prior to the expiration date.</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17, 2003 the Company’s subsidiary, ICON Clinical Research Inc. (“ICLR”), entered into a lease agreement with Highwoods Reality Limited Partnership. The lease is for office space at a monthly rate of approximately $155,000 for the term of the lease. The term of the lease is 10 years and ICLR has the option to extend the lease for up to two additional five year terms upon notice to the landlord at least 12 months prior to the then current expiration date. This lease was amended on October 22, 2009 to reduce the size of the leased property, effective January 1, 2011 and to correspondingly reduce the monthly rent to approximately $123,000 for the term of the lease. The amendment also extended the initial term of the lease for an additional 5 years, to 2018. On September 30, 2010 the Company filed the amended lease agreement on a Form 6-K.</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11, 2005 ICLR entered into an amended and restated lease agreement with 212 C Associates, L.P. The lease is for office space at a monthly rent of approximately $175,000 for the term of the lease. The amendment and restatement of the previously existing lease agreement extended the term of the lease for 10 years from the date of the amendment and restatement. ICLR has the right to extend the term of the lease for an additional five years upon notice to the landlord at least 12 months prior to the expiration date. ICLR also has the right to terminate the lease at any time after the seventh anniversary of the amendment and restatement date by paying the landlord a $1,250,000 termination fee.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On April 20, 2010 the Company’s subsidiary, Beacon Bioscience Inc. entered into an amended lease agreement with Stone Manor Partners, L.P. The lease is for office space at a monthly rent of approximately $114,000 for the term of the lease. The amendment of the previously existing lease agreement extended the term of the lease for 10 years from the date of the amendment.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regime in Iraq, certain persons indicted by the International Criminal Tribunal for the former Yugoslavia and certain associated persons, Zimbabwe, the Islamic Republic of Iran, the Democratic Peoples Republic of Korea, the Republic of Lebanon, the Taliban of Afghanistan, Osama bin Laden and Al-Qaeda, Liberia, Burma/Myanmar, Uzbekistan, Sudan, Somalia, Cote D’Ivoire, the Democratic Republic of Congo, President Lukashenko and certain other officials of Belarus, and countries that harbor certain terrorist groups, without the prior permission of the Central Bank of Ireland.</w:t>
      </w:r>
    </w:p>
    <w:p>
      <w:pPr>
        <w:spacing w:after="0" w:line="22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Sierra Leone, Sudan, Cote D’Ivoire, Democratic Republic of Congo, Liberia, individuals designated by the international independent investigation Commission or the Government of Lebanon, Democratic Peoples Republic of Korea, the Islamic Republic of Iran, Iraq,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Taxation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REFERENCES TO THE ORDINARY SHARES SHALL INCLUDE ADSs REPRESENTING SUCH ORDINARY SHARES AND ADRs EVIDENCING OWNERSHIP OF SUCH ADSs.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is a public limited company incorporated and resident for tax purposes in Ireland.</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Irish tax purposes, the residence of a company is generally in the jurisdiction where the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exemption from Irish corporation tax which was available to Irish resident companies whose income was derived from qualifying royalties or license fees paid in respect of qualifying patents, no longer applies to payments received on or after November, 24 2010.</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research and development tax credit is available in Ireland where an Irish resident company incurs qualifying expenditure on research and development activities and this expenditure exceeds the qualifying expenditure spent by the company in 2003. The qualifying excess expenditure results in a tax credit of 25% of that excess.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rates discussed above.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Capital gains arising to an Irish resident company are liable to tax at 25% (22% for disposals made in 2009 on or before April 7, 2009). However, a capital gains tax exemption is available in Ireland in respect of disposals of certain qualifying shareholdings.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197"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is being disposed of, throughout the period of at least one year, within the two year period prior to disposal.</w:t>
      </w:r>
    </w:p>
    <w:p>
      <w:pPr>
        <w:spacing w:after="0" w:line="19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7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the company making the disposal together with its “5% plus subsidiaries” should be primarily a trading group.</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 Withholding Tax</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exempted, all dividends paid by ICON, other than dividends paid before November 24, 2010 entirely out of exempt patent income received before 24 November 2010 (subject to conditions), will be subject to Irish withholding tax at the standard rate of income tax in force at the time the dividend is paid, currently 20%.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individual shareholder who is neither resident nor ordinarily resident for tax purposes in Ireland, but is resident in a Relevant Territory, will be exempt from withholding tax provided he or she makes the requisite declaration.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dividend withholding tax will apply on the payment of a dividend from an Irish resident company to its Irish resident 51% parent company. Where the Irish company receiving the dividend does not hold at least 51% of the shares of the paying company, the dividend will be exempt from withholding tax provided the Irish corporate shareholder makes the requisite declaration.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Non-Irish resident corporate shareholders that:</w:t>
      </w:r>
    </w:p>
    <w:p>
      <w:pPr>
        <w:spacing w:after="0" w:line="25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ultimately controlled by residents of a Relevant Territory;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by Irish residents;</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(including Ireland) or Territories; or</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Special arrangements are available in the case of an interest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208"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bank’s ADS register shows that the beneficial owner has a U.S. address on the register; or</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 Income Tax</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Irish resident or ordinarily resident shareholders will generally be liable to Irish income tax on dividend income at their marginal rate of tax. This income may also be liable to Pay Related Social Insurance (PRSI), and an additional Universal Social Charge (“USC”) (which applies from January 1, 2011 and replaces the health levy and income levy) of up to 14% in total.</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19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resident in the U.S. or in a Relevant Territory;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in a Relevant Territory;</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in a Relevant Territory;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27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non-Irish resident individuals that are either domiciled in Ireland or Irish nationals will be subject to an annual levy of €200,000 if their Irish-located capital exceeds €5,000,000, their worldwide annual income exceeds €1,000,000 and their liability to Irish Income Tax in that year is less than €200,000.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Capital Gains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Irish resident or ordinarily resident shareholders will be liable to capital gains tax at 25% on gains arising from the disposal or part disposal of their shareholding.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jc w:val="both"/>
        <w:spacing w:after="0" w:line="312" w:lineRule="auto"/>
        <w:rPr>
          <w:sz w:val="20"/>
          <w:szCs w:val="20"/>
          <w:color w:val="auto"/>
        </w:rPr>
      </w:pPr>
      <w:r>
        <w:rPr>
          <w:rFonts w:ascii="Arial" w:cs="Arial" w:eastAsia="Arial" w:hAnsi="Arial"/>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provisions to subject a person who disposes of an interest in a company while temporarily being non-Irish resident, to Irish capital gains tax. This treatment will apply to Irish domiciled individuals -:</w:t>
      </w:r>
    </w:p>
    <w:p>
      <w:pPr>
        <w:spacing w:after="0" w:line="19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who own the shares when they cease to be resident;</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issued share capital of the company or is worth at least €500,000.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25% of the taxable gain.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Irish capital acquisitions tax (referred to as CAT) applies to gifts and inheritances. Subject to certain tax – free thresholds, gifts and inheritances are liable to tax at 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2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the extent that the property of which the gift or inheritance consists is situated in the Republic of Ireland at the date of the gift or inheritance;</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ind w:left="660" w:right="2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his death; or</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where the person receiving the gift or inheritance is resident or ordinarily resident in the Republic of Ireland at the date of the gift or inheritance.</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tax-free threshold amounts that apply with effect from December 8, 2010 are:</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€16,604 ((2010: €20,740 pre December 8, 2010/€16,604 post December 8, 2010) in the case of persons who are not related to one another;</w:t>
      </w:r>
    </w:p>
    <w:p>
      <w:pPr>
        <w:spacing w:after="0" w:line="397"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€33,208 (2010: €41,481 pre December 8, 2010/€33,208 post December 8, 2010) in the case of gifts or inheritances received from inter alia a brother or sister or from a brother or sister of a parent or from a grandparent; and</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€332,084 (2010: €414,799 pre December 8, 2010/€332,084 post December 8, 2010) in the case of gifts and inheritances received from a parent (or from a grandparent by a minor child of a deceased child) and specified inheritances received by a parent from a child.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Ordinary Shares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 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Stamp Duty - ADSs Representing Ordinary Shares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should arise.</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Transfers of ADSs are exempt from Irish stamp duty if the ADSs are dealt in on the NASDAQ National Market or any recognized stock exchange in the United States or Canada.</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Documents on Display</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(the “Exchange Act”) and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foreign private issuer, we are exempt from certain rules under the Exchange Act, prescribing the furnishing and content of proxy statements to shareholders.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Ciaran Murray, telephone number: (353) 1 291 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NASDAQ may provide exemptions from the NASDAQ corporate governance standards to a foreign private issuer when those standards are contrary to a law, rule or regulation of any public authority exercising jurisdiction over such issuer or contrary to generally accepted business practices in the issuer’s country of domicile, except to the extent that such exemptions would be contrary to United States federal securities laws. The Company,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Quantitative and Qualitative Disclosures about Market Risk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Qualitative Disclosure of Market Risk</w:t>
      </w:r>
      <w:r>
        <w:rPr>
          <w:rFonts w:ascii="Arial" w:cs="Arial" w:eastAsia="Arial" w:hAnsi="Arial"/>
          <w:sz w:val="18"/>
          <w:szCs w:val="18"/>
          <w:color w:val="auto"/>
        </w:rPr>
        <w:t>. The principal market risks (i.e. risk of loss arising from adverse changes in market rates and prices) to which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exposed are:</w:t>
      </w:r>
    </w:p>
    <w:p>
      <w:pPr>
        <w:spacing w:after="0" w:line="224"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changes on cash and cash equivalents,</w:t>
      </w:r>
    </w:p>
    <w:p>
      <w:pPr>
        <w:spacing w:after="0" w:line="279" w:lineRule="exact"/>
        <w:rPr>
          <w:rFonts w:ascii="Arial" w:cs="Arial" w:eastAsia="Arial" w:hAnsi="Arial"/>
          <w:sz w:val="18"/>
          <w:szCs w:val="18"/>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risk on non-U.S. dollar denominated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financial instruments solely to hedge exposure to these market risks and we do not enter into these instruments for trading or speculative purposes. The Company had no interest rate instruments or derivatives during the year ended December 31,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foreign currency exchange risk relates to movements in rates between the U.S. dollar, Sterling and the Euro. At December 31, 2010 we had cash denominated in non-U.S. dollar denominated currencies. In order to reduce the foreign currency exchange risk, we may enter into certain derivative instruments to reduce our exposure to adverse changes in exchange rates. We held no foreign exchange forward contracts during the year ended December 31, 2010.</w:t>
      </w:r>
    </w:p>
    <w:p>
      <w:pPr>
        <w:spacing w:after="0" w:line="21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Quantitative disclosure of Market Risk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analysis below presents the sensitivity of the market value, or fair value of our financial instruments to selected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market rates and prices. The changes chosen represent our view of changes that are reasonable over a one year period.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hypothetical changes in fair value are estimated based on the same methodology used by the third party financial institutions to calculate the fair value of the original instruments, keeping all variables constant except the relevant exchange rate, as the case may be, which has been adjusted to reflect the hypothetical change. Fair value estimates by their nature are subjective and involve uncertainties and matters of significant judgment and therefore cannot be determined precisely.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sensitivity analysis below represents the hypothetical change in fair value based on an immediate 10% movement in the exchange rates.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320" w:type="dxa"/>
            <w:vAlign w:val="bottom"/>
          </w:tcPr>
          <w:p>
            <w:pPr>
              <w:jc w:val="right"/>
              <w:ind w:right="610"/>
              <w:spacing w:after="0"/>
              <w:rPr>
                <w:sz w:val="20"/>
                <w:szCs w:val="20"/>
                <w:color w:val="auto"/>
              </w:rPr>
            </w:pPr>
            <w:r>
              <w:rPr>
                <w:rFonts w:ascii="Arial" w:cs="Arial" w:eastAsia="Arial" w:hAnsi="Arial"/>
                <w:sz w:val="18"/>
                <w:szCs w:val="18"/>
                <w:b w:val="1"/>
                <w:bCs w:val="1"/>
                <w:color w:val="auto"/>
              </w:rPr>
              <w:t>Fair value Change +10%</w:t>
            </w:r>
          </w:p>
        </w:tc>
        <w:tc>
          <w:tcPr>
            <w:tcW w:w="2600" w:type="dxa"/>
            <w:vAlign w:val="bottom"/>
          </w:tcPr>
          <w:p>
            <w:pPr>
              <w:jc w:val="right"/>
              <w:spacing w:after="0"/>
              <w:rPr>
                <w:sz w:val="20"/>
                <w:szCs w:val="20"/>
                <w:color w:val="auto"/>
              </w:rPr>
            </w:pPr>
            <w:r>
              <w:rPr>
                <w:rFonts w:ascii="Arial" w:cs="Arial" w:eastAsia="Arial" w:hAnsi="Arial"/>
                <w:sz w:val="18"/>
                <w:szCs w:val="18"/>
                <w:b w:val="1"/>
                <w:bCs w:val="1"/>
                <w:color w:val="auto"/>
              </w:rPr>
              <w:t>Fair value Change -10%</w:t>
            </w:r>
          </w:p>
        </w:tc>
      </w:tr>
      <w:tr>
        <w:trPr>
          <w:trHeight w:val="216"/>
        </w:trPr>
        <w:tc>
          <w:tcPr>
            <w:tcW w:w="2320" w:type="dxa"/>
            <w:vAlign w:val="bottom"/>
          </w:tcPr>
          <w:p>
            <w:pPr>
              <w:spacing w:after="0"/>
              <w:rPr>
                <w:sz w:val="18"/>
                <w:szCs w:val="18"/>
                <w:color w:val="auto"/>
              </w:rPr>
            </w:pPr>
          </w:p>
        </w:tc>
        <w:tc>
          <w:tcPr>
            <w:tcW w:w="3180" w:type="dxa"/>
            <w:vAlign w:val="bottom"/>
          </w:tcPr>
          <w:p>
            <w:pPr>
              <w:jc w:val="right"/>
              <w:ind w:right="610"/>
              <w:spacing w:after="0"/>
              <w:rPr>
                <w:sz w:val="20"/>
                <w:szCs w:val="20"/>
                <w:color w:val="auto"/>
              </w:rPr>
            </w:pPr>
            <w:r>
              <w:rPr>
                <w:rFonts w:ascii="Arial" w:cs="Arial" w:eastAsia="Arial" w:hAnsi="Arial"/>
                <w:sz w:val="18"/>
                <w:szCs w:val="18"/>
                <w:b w:val="1"/>
                <w:bCs w:val="1"/>
                <w:color w:val="auto"/>
              </w:rPr>
              <w:t>Fair value at</w:t>
            </w:r>
          </w:p>
        </w:tc>
        <w:tc>
          <w:tcPr>
            <w:tcW w:w="3320" w:type="dxa"/>
            <w:vAlign w:val="bottom"/>
          </w:tcPr>
          <w:p>
            <w:pPr>
              <w:jc w:val="right"/>
              <w:ind w:right="610"/>
              <w:spacing w:after="0"/>
              <w:rPr>
                <w:sz w:val="20"/>
                <w:szCs w:val="20"/>
                <w:color w:val="auto"/>
              </w:rPr>
            </w:pPr>
            <w:r>
              <w:rPr>
                <w:rFonts w:ascii="Arial" w:cs="Arial" w:eastAsia="Arial" w:hAnsi="Arial"/>
                <w:sz w:val="18"/>
                <w:szCs w:val="18"/>
                <w:b w:val="1"/>
                <w:bCs w:val="1"/>
                <w:color w:val="auto"/>
              </w:rPr>
              <w:t>movement in</w:t>
            </w:r>
          </w:p>
        </w:tc>
        <w:tc>
          <w:tcPr>
            <w:tcW w:w="2600" w:type="dxa"/>
            <w:vAlign w:val="bottom"/>
          </w:tcPr>
          <w:p>
            <w:pPr>
              <w:jc w:val="right"/>
              <w:spacing w:after="0"/>
              <w:rPr>
                <w:sz w:val="20"/>
                <w:szCs w:val="20"/>
                <w:color w:val="auto"/>
              </w:rPr>
            </w:pPr>
            <w:r>
              <w:rPr>
                <w:rFonts w:ascii="Arial" w:cs="Arial" w:eastAsia="Arial" w:hAnsi="Arial"/>
                <w:sz w:val="18"/>
                <w:szCs w:val="18"/>
                <w:b w:val="1"/>
                <w:bCs w:val="1"/>
                <w:color w:val="auto"/>
              </w:rPr>
              <w:t>movement in</w:t>
            </w:r>
          </w:p>
        </w:tc>
      </w:tr>
      <w:tr>
        <w:trPr>
          <w:trHeight w:val="216"/>
        </w:trPr>
        <w:tc>
          <w:tcPr>
            <w:tcW w:w="2320" w:type="dxa"/>
            <w:vAlign w:val="bottom"/>
          </w:tcPr>
          <w:p>
            <w:pPr>
              <w:spacing w:after="0"/>
              <w:rPr>
                <w:sz w:val="18"/>
                <w:szCs w:val="18"/>
                <w:color w:val="auto"/>
              </w:rPr>
            </w:pPr>
          </w:p>
        </w:tc>
        <w:tc>
          <w:tcPr>
            <w:tcW w:w="3180" w:type="dxa"/>
            <w:vAlign w:val="bottom"/>
          </w:tcPr>
          <w:p>
            <w:pPr>
              <w:jc w:val="right"/>
              <w:ind w:right="610"/>
              <w:spacing w:after="0"/>
              <w:rPr>
                <w:sz w:val="20"/>
                <w:szCs w:val="20"/>
                <w:color w:val="auto"/>
              </w:rPr>
            </w:pPr>
            <w:r>
              <w:rPr>
                <w:rFonts w:ascii="Arial" w:cs="Arial" w:eastAsia="Arial" w:hAnsi="Arial"/>
                <w:sz w:val="18"/>
                <w:szCs w:val="18"/>
                <w:b w:val="1"/>
                <w:bCs w:val="1"/>
                <w:color w:val="auto"/>
              </w:rPr>
              <w:t>December 31, 2010</w:t>
            </w:r>
          </w:p>
        </w:tc>
        <w:tc>
          <w:tcPr>
            <w:tcW w:w="3320" w:type="dxa"/>
            <w:vAlign w:val="bottom"/>
          </w:tcPr>
          <w:p>
            <w:pPr>
              <w:jc w:val="right"/>
              <w:ind w:right="610"/>
              <w:spacing w:after="0"/>
              <w:rPr>
                <w:sz w:val="20"/>
                <w:szCs w:val="20"/>
                <w:color w:val="auto"/>
              </w:rPr>
            </w:pPr>
            <w:r>
              <w:rPr>
                <w:rFonts w:ascii="Arial" w:cs="Arial" w:eastAsia="Arial" w:hAnsi="Arial"/>
                <w:sz w:val="18"/>
                <w:szCs w:val="18"/>
                <w:b w:val="1"/>
                <w:bCs w:val="1"/>
                <w:color w:val="auto"/>
              </w:rPr>
              <w:t>foreign exchange rate</w:t>
            </w:r>
          </w:p>
        </w:tc>
        <w:tc>
          <w:tcPr>
            <w:tcW w:w="2600" w:type="dxa"/>
            <w:vAlign w:val="bottom"/>
          </w:tcPr>
          <w:p>
            <w:pPr>
              <w:jc w:val="right"/>
              <w:spacing w:after="0"/>
              <w:rPr>
                <w:sz w:val="20"/>
                <w:szCs w:val="20"/>
                <w:color w:val="auto"/>
              </w:rPr>
            </w:pPr>
            <w:r>
              <w:rPr>
                <w:rFonts w:ascii="Arial" w:cs="Arial" w:eastAsia="Arial" w:hAnsi="Arial"/>
                <w:sz w:val="18"/>
                <w:szCs w:val="18"/>
                <w:b w:val="1"/>
                <w:bCs w:val="1"/>
                <w:color w:val="auto"/>
              </w:rPr>
              <w:t>foreign exchange rate</w:t>
            </w:r>
          </w:p>
        </w:tc>
      </w:tr>
      <w:tr>
        <w:trPr>
          <w:trHeight w:val="234"/>
        </w:trPr>
        <w:tc>
          <w:tcPr>
            <w:tcW w:w="2320" w:type="dxa"/>
            <w:vAlign w:val="bottom"/>
          </w:tcPr>
          <w:p>
            <w:pPr>
              <w:spacing w:after="0"/>
              <w:rPr>
                <w:sz w:val="20"/>
                <w:szCs w:val="20"/>
                <w:color w:val="auto"/>
              </w:rPr>
            </w:pPr>
          </w:p>
        </w:tc>
        <w:tc>
          <w:tcPr>
            <w:tcW w:w="3180" w:type="dxa"/>
            <w:vAlign w:val="bottom"/>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3320" w:type="dxa"/>
            <w:vAlign w:val="bottom"/>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260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418"/>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Non-U.S. Dollar</w:t>
            </w:r>
          </w:p>
        </w:tc>
        <w:tc>
          <w:tcPr>
            <w:tcW w:w="31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$65,144</w:t>
            </w:r>
          </w:p>
        </w:tc>
        <w:tc>
          <w:tcPr>
            <w:tcW w:w="33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$6,514</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r>
      <w:tr>
        <w:trPr>
          <w:trHeight w:val="23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denominated cash</w:t>
            </w:r>
          </w:p>
        </w:tc>
        <w:tc>
          <w:tcPr>
            <w:tcW w:w="31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r>
      <w:tr>
        <w:trPr>
          <w:trHeight w:val="216"/>
        </w:trPr>
        <w:tc>
          <w:tcPr>
            <w:tcW w:w="23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sensitivity analysis below represents the hypothetical change in our interest income based on an immediate 1% movement in market interest rates.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3560" w:type="dxa"/>
            <w:vAlign w:val="bottom"/>
          </w:tcPr>
          <w:p>
            <w:pPr>
              <w:jc w:val="right"/>
              <w:ind w:right="590"/>
              <w:spacing w:after="0"/>
              <w:rPr>
                <w:sz w:val="20"/>
                <w:szCs w:val="20"/>
                <w:color w:val="auto"/>
              </w:rPr>
            </w:pPr>
            <w:r>
              <w:rPr>
                <w:rFonts w:ascii="Arial" w:cs="Arial" w:eastAsia="Arial" w:hAnsi="Arial"/>
                <w:sz w:val="18"/>
                <w:szCs w:val="18"/>
                <w:b w:val="1"/>
                <w:bCs w:val="1"/>
                <w:color w:val="auto"/>
              </w:rPr>
              <w:t>Interest Income</w:t>
            </w:r>
          </w:p>
        </w:tc>
        <w:tc>
          <w:tcPr>
            <w:tcW w:w="2980" w:type="dxa"/>
            <w:vAlign w:val="bottom"/>
          </w:tcPr>
          <w:p>
            <w:pPr>
              <w:jc w:val="right"/>
              <w:ind w:right="450"/>
              <w:spacing w:after="0"/>
              <w:rPr>
                <w:sz w:val="20"/>
                <w:szCs w:val="20"/>
                <w:color w:val="auto"/>
              </w:rPr>
            </w:pPr>
            <w:r>
              <w:rPr>
                <w:rFonts w:ascii="Arial" w:cs="Arial" w:eastAsia="Arial" w:hAnsi="Arial"/>
                <w:sz w:val="18"/>
                <w:szCs w:val="18"/>
                <w:b w:val="1"/>
                <w:bCs w:val="1"/>
                <w:color w:val="auto"/>
              </w:rPr>
              <w:t>Interest Income</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Interest Income</w:t>
            </w:r>
          </w:p>
        </w:tc>
      </w:tr>
      <w:tr>
        <w:trPr>
          <w:trHeight w:val="216"/>
        </w:trPr>
        <w:tc>
          <w:tcPr>
            <w:tcW w:w="2540" w:type="dxa"/>
            <w:vAlign w:val="bottom"/>
          </w:tcPr>
          <w:p>
            <w:pPr>
              <w:spacing w:after="0"/>
              <w:rPr>
                <w:sz w:val="18"/>
                <w:szCs w:val="18"/>
                <w:color w:val="auto"/>
              </w:rPr>
            </w:pPr>
          </w:p>
        </w:tc>
        <w:tc>
          <w:tcPr>
            <w:tcW w:w="3560" w:type="dxa"/>
            <w:vAlign w:val="bottom"/>
          </w:tcPr>
          <w:p>
            <w:pPr>
              <w:jc w:val="right"/>
              <w:ind w:right="590"/>
              <w:spacing w:after="0"/>
              <w:rPr>
                <w:sz w:val="20"/>
                <w:szCs w:val="20"/>
                <w:color w:val="auto"/>
              </w:rPr>
            </w:pPr>
            <w:r>
              <w:rPr>
                <w:rFonts w:ascii="Arial" w:cs="Arial" w:eastAsia="Arial" w:hAnsi="Arial"/>
                <w:sz w:val="18"/>
                <w:szCs w:val="18"/>
                <w:b w:val="1"/>
                <w:bCs w:val="1"/>
                <w:color w:val="auto"/>
              </w:rPr>
              <w:t>for the year ended</w:t>
            </w:r>
          </w:p>
        </w:tc>
        <w:tc>
          <w:tcPr>
            <w:tcW w:w="298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 1% increase in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Change 1% decrease in</w:t>
            </w:r>
          </w:p>
        </w:tc>
      </w:tr>
      <w:tr>
        <w:trPr>
          <w:trHeight w:val="216"/>
        </w:trPr>
        <w:tc>
          <w:tcPr>
            <w:tcW w:w="2540" w:type="dxa"/>
            <w:vAlign w:val="bottom"/>
          </w:tcPr>
          <w:p>
            <w:pPr>
              <w:spacing w:after="0"/>
              <w:rPr>
                <w:sz w:val="18"/>
                <w:szCs w:val="18"/>
                <w:color w:val="auto"/>
              </w:rPr>
            </w:pPr>
          </w:p>
        </w:tc>
        <w:tc>
          <w:tcPr>
            <w:tcW w:w="3560" w:type="dxa"/>
            <w:vAlign w:val="bottom"/>
          </w:tcPr>
          <w:p>
            <w:pPr>
              <w:jc w:val="right"/>
              <w:ind w:right="590"/>
              <w:spacing w:after="0"/>
              <w:rPr>
                <w:sz w:val="20"/>
                <w:szCs w:val="20"/>
                <w:color w:val="auto"/>
              </w:rPr>
            </w:pPr>
            <w:r>
              <w:rPr>
                <w:rFonts w:ascii="Arial" w:cs="Arial" w:eastAsia="Arial" w:hAnsi="Arial"/>
                <w:sz w:val="18"/>
                <w:szCs w:val="18"/>
                <w:b w:val="1"/>
                <w:bCs w:val="1"/>
                <w:color w:val="auto"/>
              </w:rPr>
              <w:t>December 31, 2010</w:t>
            </w:r>
          </w:p>
        </w:tc>
        <w:tc>
          <w:tcPr>
            <w:tcW w:w="2980" w:type="dxa"/>
            <w:vAlign w:val="bottom"/>
          </w:tcPr>
          <w:p>
            <w:pPr>
              <w:jc w:val="right"/>
              <w:ind w:right="450"/>
              <w:spacing w:after="0"/>
              <w:rPr>
                <w:sz w:val="20"/>
                <w:szCs w:val="20"/>
                <w:color w:val="auto"/>
              </w:rPr>
            </w:pPr>
            <w:r>
              <w:rPr>
                <w:rFonts w:ascii="Arial" w:cs="Arial" w:eastAsia="Arial" w:hAnsi="Arial"/>
                <w:sz w:val="18"/>
                <w:szCs w:val="18"/>
                <w:b w:val="1"/>
                <w:bCs w:val="1"/>
                <w:color w:val="auto"/>
              </w:rPr>
              <w:t>market interest rate</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market interest rate</w:t>
            </w:r>
          </w:p>
        </w:tc>
      </w:tr>
      <w:tr>
        <w:trPr>
          <w:trHeight w:val="234"/>
        </w:trPr>
        <w:tc>
          <w:tcPr>
            <w:tcW w:w="2540" w:type="dxa"/>
            <w:vAlign w:val="bottom"/>
          </w:tcPr>
          <w:p>
            <w:pPr>
              <w:spacing w:after="0"/>
              <w:rPr>
                <w:sz w:val="20"/>
                <w:szCs w:val="20"/>
                <w:color w:val="auto"/>
              </w:rPr>
            </w:pPr>
          </w:p>
        </w:tc>
        <w:tc>
          <w:tcPr>
            <w:tcW w:w="3560" w:type="dxa"/>
            <w:vAlign w:val="bottom"/>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2980" w:type="dxa"/>
            <w:vAlign w:val="bottom"/>
          </w:tcPr>
          <w:p>
            <w:pPr>
              <w:jc w:val="right"/>
              <w:ind w:right="450"/>
              <w:spacing w:after="0"/>
              <w:rPr>
                <w:sz w:val="20"/>
                <w:szCs w:val="20"/>
                <w:color w:val="auto"/>
              </w:rPr>
            </w:pPr>
            <w:r>
              <w:rPr>
                <w:rFonts w:ascii="Arial" w:cs="Arial" w:eastAsia="Arial" w:hAnsi="Arial"/>
                <w:sz w:val="18"/>
                <w:szCs w:val="18"/>
                <w:b w:val="1"/>
                <w:bCs w:val="1"/>
                <w:color w:val="auto"/>
              </w:rPr>
              <w:t>(in thousands)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432"/>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5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$1,761</w:t>
            </w:r>
          </w:p>
        </w:tc>
        <w:tc>
          <w:tcPr>
            <w:tcW w:w="29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$3,943</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Description of Securities Other than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incorporate by reference the description of the amendment to our Memorandum and Articles of Association described under the heading “Memorandum and Articles of Association” from Item 10 of this Form 20-F.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2010.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61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62 of this Form 20-F.</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Changes in internal controls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Thomas Lynch acts as the Audit Committee financial expert serving on our Audit Committee and Board of Directors. Mr. Lynch is an independent Board member and serves as one of our non-executive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of Directors adopted its code of ethics in 2003, which applies to the Chief Executive Officer, the Chief Financial Officer and any persons performing similar functions, if any,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modifications to, or waivers from, the provisions of such code, which are required to be disclosed.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code is available on our website at the following 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http://www.iconplc.com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2010 and December 31, 2009, were KPMG.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2010 and December 31, 2009 and fees billed for other services rendered by KPMG.</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9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12 month period ending</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 month period ending</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9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December 31, 2009</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December 31, 2010</w:t>
            </w: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9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$1,735</w:t>
            </w:r>
          </w:p>
        </w:tc>
        <w:tc>
          <w:tcPr>
            <w:tcW w:w="11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65%</w:t>
            </w: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$1,554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Audit related fees (2)</w:t>
            </w:r>
          </w:p>
        </w:tc>
        <w:tc>
          <w:tcPr>
            <w:tcW w:w="376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185</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fees (3)</w:t>
            </w:r>
          </w:p>
        </w:tc>
        <w:tc>
          <w:tcPr>
            <w:tcW w:w="3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928</w:t>
            </w:r>
          </w:p>
        </w:tc>
        <w:tc>
          <w:tcPr>
            <w:tcW w:w="11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34%</w:t>
            </w:r>
          </w:p>
        </w:tc>
        <w:tc>
          <w:tcPr>
            <w:tcW w:w="17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963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$2,687</w:t>
            </w: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$2,702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fees include annual audit fees for the Company and its subsidiaries.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Audit related fees principally consisted of fees for financial due diligence services and fees for audit of the financial statements of employee benefit plans.</w:t>
      </w:r>
    </w:p>
    <w:p>
      <w:pPr>
        <w:spacing w:after="0" w:line="275" w:lineRule="exact"/>
        <w:rPr>
          <w:rFonts w:ascii="Arial" w:cs="Arial" w:eastAsia="Arial" w:hAnsi="Arial"/>
          <w:sz w:val="16"/>
          <w:szCs w:val="16"/>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on an annual basis the audit and non-audit services provided to the Company by its auditors.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Changes in Registrant’s Certifying Accountant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10 “Exemptions from Corporate Governance Listing Requirements under the NASDAQ Marketplace Rules”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pages 61 to 103 of this Form 20-F.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of ICON plc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at December 31, 2009 and December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2008, December 31, 2009 and December 31, 2010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Statements of Shareholders’ Equity and Comprehensive Income for the years ended December 31, 2008, December 31, 2009 and December 31, 2010</w:t>
      </w:r>
    </w:p>
    <w:p>
      <w:pPr>
        <w:spacing w:after="0" w:line="197" w:lineRule="exact"/>
        <w:rPr>
          <w:sz w:val="20"/>
          <w:szCs w:val="20"/>
          <w:color w:val="auto"/>
        </w:rPr>
      </w:pPr>
    </w:p>
    <w:p>
      <w:pPr>
        <w:ind w:right="2400"/>
        <w:spacing w:after="0" w:line="559" w:lineRule="auto"/>
        <w:rPr>
          <w:sz w:val="20"/>
          <w:szCs w:val="20"/>
          <w:color w:val="auto"/>
        </w:rPr>
      </w:pPr>
      <w:r>
        <w:rPr>
          <w:rFonts w:ascii="Arial" w:cs="Arial" w:eastAsia="Arial" w:hAnsi="Arial"/>
          <w:sz w:val="18"/>
          <w:szCs w:val="18"/>
          <w:color w:val="auto"/>
        </w:rPr>
        <w:t>Consolidated Statements of Cash Flows for the years ended December 31, 2008, December 31, 2009 and December 31, 2010 Notes to the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Exhibits of ICON plc and subsidiaries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ind w:left="180"/>
              <w:spacing w:after="0"/>
              <w:rPr>
                <w:sz w:val="20"/>
                <w:szCs w:val="20"/>
                <w:color w:val="auto"/>
              </w:rPr>
            </w:pPr>
            <w:r>
              <w:rPr>
                <w:rFonts w:ascii="Arial" w:cs="Arial" w:eastAsia="Arial" w:hAnsi="Arial"/>
                <w:sz w:val="18"/>
                <w:szCs w:val="18"/>
                <w:color w:val="auto"/>
              </w:rPr>
              <w:t>Exhibit</w:t>
            </w: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180"/>
              <w:spacing w:after="0"/>
              <w:rPr>
                <w:sz w:val="20"/>
                <w:szCs w:val="20"/>
                <w:color w:val="auto"/>
              </w:rPr>
            </w:pPr>
            <w:r>
              <w:rPr>
                <w:rFonts w:ascii="Arial" w:cs="Arial" w:eastAsia="Arial" w:hAnsi="Arial"/>
                <w:sz w:val="18"/>
                <w:szCs w:val="18"/>
                <w:color w:val="auto"/>
              </w:rPr>
              <w:t>Number</w:t>
            </w:r>
          </w:p>
        </w:tc>
        <w:tc>
          <w:tcPr>
            <w:tcW w:w="9900" w:type="dxa"/>
            <w:vAlign w:val="bottom"/>
          </w:tcPr>
          <w:p>
            <w:pPr>
              <w:ind w:left="9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3.1</w:t>
            </w:r>
          </w:p>
        </w:tc>
        <w:tc>
          <w:tcPr>
            <w:tcW w:w="9900" w:type="dxa"/>
            <w:vAlign w:val="bottom"/>
          </w:tcPr>
          <w:p>
            <w:pPr>
              <w:ind w:left="780"/>
              <w:spacing w:after="0"/>
              <w:rPr>
                <w:sz w:val="20"/>
                <w:szCs w:val="20"/>
                <w:color w:val="auto"/>
              </w:rPr>
            </w:pPr>
            <w:r>
              <w:rPr>
                <w:rFonts w:ascii="Arial" w:cs="Arial" w:eastAsia="Arial" w:hAnsi="Arial"/>
                <w:sz w:val="18"/>
                <w:szCs w:val="18"/>
                <w:color w:val="auto"/>
              </w:rPr>
              <w:t>Description of the Memorandum and Articles of Association of the Company.</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9900" w:type="dxa"/>
            <w:vAlign w:val="bottom"/>
          </w:tcPr>
          <w:p>
            <w:pPr>
              <w:ind w:left="780"/>
              <w:spacing w:after="0"/>
              <w:rPr>
                <w:sz w:val="20"/>
                <w:szCs w:val="20"/>
                <w:color w:val="auto"/>
              </w:rPr>
            </w:pPr>
            <w:r>
              <w:rPr>
                <w:rFonts w:ascii="Arial" w:cs="Arial" w:eastAsia="Arial" w:hAnsi="Arial"/>
                <w:sz w:val="18"/>
                <w:szCs w:val="18"/>
                <w:color w:val="auto"/>
                <w:w w:val="93"/>
              </w:rPr>
              <w:t>Amendment Number 2 to the Amended and Restated Office Space Lease, dated January 11, 2005, between ICON Clinical</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10.1(d)</w:t>
            </w:r>
          </w:p>
        </w:tc>
        <w:tc>
          <w:tcPr>
            <w:tcW w:w="9900" w:type="dxa"/>
            <w:vAlign w:val="bottom"/>
          </w:tcPr>
          <w:p>
            <w:pPr>
              <w:ind w:left="780"/>
              <w:spacing w:after="0"/>
              <w:rPr>
                <w:sz w:val="20"/>
                <w:szCs w:val="20"/>
                <w:color w:val="auto"/>
              </w:rPr>
            </w:pPr>
            <w:r>
              <w:rPr>
                <w:rFonts w:ascii="Arial" w:cs="Arial" w:eastAsia="Arial" w:hAnsi="Arial"/>
                <w:sz w:val="18"/>
                <w:szCs w:val="18"/>
                <w:color w:val="auto"/>
                <w:w w:val="90"/>
              </w:rPr>
              <w:t>Research, Inc. and 212 C Associates, L.P. (incorporated by reference to Exhibit 10.1(d) to the Form 20-F (File No. 333-08704)</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900" w:type="dxa"/>
            <w:vAlign w:val="bottom"/>
          </w:tcPr>
          <w:p>
            <w:pPr>
              <w:ind w:left="780"/>
              <w:spacing w:after="0"/>
              <w:rPr>
                <w:sz w:val="20"/>
                <w:szCs w:val="20"/>
                <w:color w:val="auto"/>
              </w:rPr>
            </w:pPr>
            <w:r>
              <w:rPr>
                <w:rFonts w:ascii="Arial" w:cs="Arial" w:eastAsia="Arial" w:hAnsi="Arial"/>
                <w:sz w:val="18"/>
                <w:szCs w:val="18"/>
                <w:color w:val="auto"/>
              </w:rPr>
              <w:t>filed on March 31, 2009).</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9900" w:type="dxa"/>
            <w:vAlign w:val="bottom"/>
          </w:tcPr>
          <w:p>
            <w:pPr>
              <w:ind w:left="780"/>
              <w:spacing w:after="0"/>
              <w:rPr>
                <w:sz w:val="20"/>
                <w:szCs w:val="20"/>
                <w:color w:val="auto"/>
              </w:rPr>
            </w:pPr>
            <w:r>
              <w:rPr>
                <w:rFonts w:ascii="Arial" w:cs="Arial" w:eastAsia="Arial" w:hAnsi="Arial"/>
                <w:sz w:val="18"/>
                <w:szCs w:val="18"/>
                <w:color w:val="auto"/>
                <w:w w:val="92"/>
              </w:rPr>
              <w:t>Agreement of Lease, dated August 13, 2001, between ICON Clinical Research (UK) Limited, ICON plc and Capital Business</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10.2</w:t>
            </w:r>
          </w:p>
        </w:tc>
        <w:tc>
          <w:tcPr>
            <w:tcW w:w="9900" w:type="dxa"/>
            <w:vAlign w:val="bottom"/>
          </w:tcPr>
          <w:p>
            <w:pPr>
              <w:ind w:left="780"/>
              <w:spacing w:after="0"/>
              <w:rPr>
                <w:sz w:val="20"/>
                <w:szCs w:val="20"/>
                <w:color w:val="auto"/>
              </w:rPr>
            </w:pPr>
            <w:r>
              <w:rPr>
                <w:rFonts w:ascii="Arial" w:cs="Arial" w:eastAsia="Arial" w:hAnsi="Arial"/>
                <w:sz w:val="18"/>
                <w:szCs w:val="18"/>
                <w:color w:val="auto"/>
                <w:w w:val="92"/>
              </w:rPr>
              <w:t>Parks Globeside Limited (incorporated by reference to Exhibit 10.2 to the Form 20-F (File No. 333-08704) filed on March 31,</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900" w:type="dxa"/>
            <w:vAlign w:val="bottom"/>
          </w:tcPr>
          <w:p>
            <w:pPr>
              <w:ind w:left="7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9900" w:type="dxa"/>
            <w:vAlign w:val="bottom"/>
          </w:tcPr>
          <w:p>
            <w:pPr>
              <w:ind w:left="780"/>
              <w:spacing w:after="0"/>
              <w:rPr>
                <w:sz w:val="20"/>
                <w:szCs w:val="20"/>
                <w:color w:val="auto"/>
              </w:rPr>
            </w:pPr>
            <w:r>
              <w:rPr>
                <w:rFonts w:ascii="Arial" w:cs="Arial" w:eastAsia="Arial" w:hAnsi="Arial"/>
                <w:sz w:val="18"/>
                <w:szCs w:val="18"/>
                <w:color w:val="auto"/>
                <w:w w:val="93"/>
              </w:rPr>
              <w:t>Agreement of Lease, dated November 29, 2002, between ICON Laboratories, Inc. and MSM Reality Co. LLC, Davrick, LLC</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10.3</w:t>
            </w:r>
          </w:p>
        </w:tc>
        <w:tc>
          <w:tcPr>
            <w:tcW w:w="9900" w:type="dxa"/>
            <w:vAlign w:val="bottom"/>
          </w:tcPr>
          <w:p>
            <w:pPr>
              <w:ind w:left="780"/>
              <w:spacing w:after="0"/>
              <w:rPr>
                <w:sz w:val="20"/>
                <w:szCs w:val="20"/>
                <w:color w:val="auto"/>
              </w:rPr>
            </w:pPr>
            <w:r>
              <w:rPr>
                <w:rFonts w:ascii="Arial" w:cs="Arial" w:eastAsia="Arial" w:hAnsi="Arial"/>
                <w:sz w:val="18"/>
                <w:szCs w:val="18"/>
                <w:color w:val="auto"/>
                <w:w w:val="94"/>
              </w:rPr>
              <w:t>and Sholom Blau Co. LLC (together, the “Landlord”). (incorporated by reference to Exhibit 10.3 to the Form 20-F (File No.</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900" w:type="dxa"/>
            <w:vAlign w:val="bottom"/>
          </w:tcPr>
          <w:p>
            <w:pPr>
              <w:ind w:left="780"/>
              <w:spacing w:after="0"/>
              <w:rPr>
                <w:sz w:val="20"/>
                <w:szCs w:val="20"/>
                <w:color w:val="auto"/>
              </w:rPr>
            </w:pPr>
            <w:r>
              <w:rPr>
                <w:rFonts w:ascii="Arial" w:cs="Arial" w:eastAsia="Arial" w:hAnsi="Arial"/>
                <w:sz w:val="18"/>
                <w:szCs w:val="18"/>
                <w:color w:val="auto"/>
              </w:rPr>
              <w:t>333-08704) filed on March 31, 2009).</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4"/>
                <w:szCs w:val="24"/>
                <w:color w:val="auto"/>
              </w:rPr>
            </w:pPr>
          </w:p>
        </w:tc>
        <w:tc>
          <w:tcPr>
            <w:tcW w:w="9900" w:type="dxa"/>
            <w:vAlign w:val="bottom"/>
          </w:tcPr>
          <w:p>
            <w:pPr>
              <w:ind w:left="780"/>
              <w:spacing w:after="0"/>
              <w:rPr>
                <w:sz w:val="20"/>
                <w:szCs w:val="20"/>
                <w:color w:val="auto"/>
              </w:rPr>
            </w:pPr>
            <w:r>
              <w:rPr>
                <w:rFonts w:ascii="Arial" w:cs="Arial" w:eastAsia="Arial" w:hAnsi="Arial"/>
                <w:sz w:val="18"/>
                <w:szCs w:val="18"/>
                <w:color w:val="auto"/>
                <w:w w:val="92"/>
              </w:rPr>
              <w:t>Highwoods Properties Office Lease, dated February 17, 2003, between ICON Clinical Research, Inc. and Highwoods Realty</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10.4</w:t>
            </w:r>
          </w:p>
        </w:tc>
        <w:tc>
          <w:tcPr>
            <w:tcW w:w="9900" w:type="dxa"/>
            <w:vAlign w:val="bottom"/>
          </w:tcPr>
          <w:p>
            <w:pPr>
              <w:ind w:left="780"/>
              <w:spacing w:after="0"/>
              <w:rPr>
                <w:sz w:val="20"/>
                <w:szCs w:val="20"/>
                <w:color w:val="auto"/>
              </w:rPr>
            </w:pPr>
            <w:r>
              <w:rPr>
                <w:rFonts w:ascii="Arial" w:cs="Arial" w:eastAsia="Arial" w:hAnsi="Arial"/>
                <w:sz w:val="18"/>
                <w:szCs w:val="18"/>
                <w:color w:val="auto"/>
                <w:w w:val="96"/>
              </w:rPr>
              <w:t>Limited Partnership (incorporated by reference to Exhibit 10.4 to the Form 20-F (File No. 333-08704) filed on March 31,</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900" w:type="dxa"/>
            <w:vAlign w:val="bottom"/>
          </w:tcPr>
          <w:p>
            <w:pPr>
              <w:ind w:left="78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418"/>
        </w:trPr>
        <w:tc>
          <w:tcPr>
            <w:tcW w:w="152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9900" w:type="dxa"/>
            <w:vAlign w:val="bottom"/>
          </w:tcPr>
          <w:p>
            <w:pPr>
              <w:ind w:left="780"/>
              <w:spacing w:after="0"/>
              <w:rPr>
                <w:sz w:val="20"/>
                <w:szCs w:val="20"/>
                <w:color w:val="auto"/>
              </w:rPr>
            </w:pPr>
            <w:r>
              <w:rPr>
                <w:rFonts w:ascii="Arial" w:cs="Arial" w:eastAsia="Arial" w:hAnsi="Arial"/>
                <w:sz w:val="18"/>
                <w:szCs w:val="18"/>
                <w:color w:val="auto"/>
                <w:w w:val="90"/>
              </w:rPr>
              <w:t>Amendment Number 4 to the Amended Office Space Lease, dated April 20, 2010 between Beacon Bioscience, Inc. and Stone</w:t>
            </w: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9900" w:type="dxa"/>
            <w:vAlign w:val="bottom"/>
            <w:vMerge w:val="restart"/>
          </w:tcPr>
          <w:p>
            <w:pPr>
              <w:ind w:left="780"/>
              <w:spacing w:after="0"/>
              <w:rPr>
                <w:sz w:val="20"/>
                <w:szCs w:val="20"/>
                <w:color w:val="auto"/>
              </w:rPr>
            </w:pPr>
            <w:r>
              <w:rPr>
                <w:rFonts w:ascii="Arial" w:cs="Arial" w:eastAsia="Arial" w:hAnsi="Arial"/>
                <w:sz w:val="18"/>
                <w:szCs w:val="18"/>
                <w:color w:val="auto"/>
              </w:rPr>
              <w:t>Manor Partners, L.P.</w:t>
            </w: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9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12.1*</w:t>
            </w:r>
          </w:p>
        </w:tc>
        <w:tc>
          <w:tcPr>
            <w:tcW w:w="9900" w:type="dxa"/>
            <w:vAlign w:val="bottom"/>
          </w:tcPr>
          <w:p>
            <w:pPr>
              <w:ind w:left="780"/>
              <w:spacing w:after="0"/>
              <w:rPr>
                <w:sz w:val="20"/>
                <w:szCs w:val="20"/>
                <w:color w:val="auto"/>
              </w:rPr>
            </w:pPr>
            <w:r>
              <w:rPr>
                <w:rFonts w:ascii="Arial" w:cs="Arial" w:eastAsia="Arial" w:hAnsi="Arial"/>
                <w:sz w:val="18"/>
                <w:szCs w:val="18"/>
                <w:color w:val="auto"/>
              </w:rPr>
              <w:t>Section 302 certifications.</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12.2*</w:t>
            </w:r>
          </w:p>
        </w:tc>
        <w:tc>
          <w:tcPr>
            <w:tcW w:w="9900" w:type="dxa"/>
            <w:vAlign w:val="bottom"/>
          </w:tcPr>
          <w:p>
            <w:pPr>
              <w:ind w:left="78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21.1</w:t>
            </w:r>
          </w:p>
        </w:tc>
        <w:tc>
          <w:tcPr>
            <w:tcW w:w="9900" w:type="dxa"/>
            <w:vAlign w:val="bottom"/>
          </w:tcPr>
          <w:p>
            <w:pPr>
              <w:ind w:left="78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23.1</w:t>
            </w:r>
          </w:p>
        </w:tc>
        <w:tc>
          <w:tcPr>
            <w:tcW w:w="9900" w:type="dxa"/>
            <w:vAlign w:val="bottom"/>
          </w:tcPr>
          <w:p>
            <w:pPr>
              <w:ind w:left="780"/>
              <w:spacing w:after="0"/>
              <w:rPr>
                <w:sz w:val="20"/>
                <w:szCs w:val="20"/>
                <w:color w:val="auto"/>
              </w:rPr>
            </w:pPr>
            <w:r>
              <w:rPr>
                <w:rFonts w:ascii="Arial" w:cs="Arial" w:eastAsia="Arial" w:hAnsi="Arial"/>
                <w:sz w:val="18"/>
                <w:szCs w:val="18"/>
                <w:color w:val="auto"/>
              </w:rPr>
              <w:t>Consent of KPMG, Independent Registered Public Accounting Firm</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101.1</w:t>
            </w:r>
          </w:p>
        </w:tc>
        <w:tc>
          <w:tcPr>
            <w:tcW w:w="9900" w:type="dxa"/>
            <w:vAlign w:val="bottom"/>
          </w:tcPr>
          <w:p>
            <w:pPr>
              <w:ind w:left="780"/>
              <w:spacing w:after="0"/>
              <w:rPr>
                <w:sz w:val="20"/>
                <w:szCs w:val="20"/>
                <w:color w:val="auto"/>
              </w:rPr>
            </w:pPr>
            <w:r>
              <w:rPr>
                <w:rFonts w:ascii="Arial" w:cs="Arial" w:eastAsia="Arial" w:hAnsi="Arial"/>
                <w:sz w:val="18"/>
                <w:szCs w:val="18"/>
                <w:color w:val="auto"/>
              </w:rPr>
              <w:t>Interactive Data Files (XBRL - Related Documents)</w:t>
            </w:r>
          </w:p>
        </w:tc>
        <w:tc>
          <w:tcPr>
            <w:tcW w:w="0" w:type="dxa"/>
            <w:vAlign w:val="bottom"/>
          </w:tcPr>
          <w:p>
            <w:pPr>
              <w:spacing w:after="0"/>
              <w:rPr>
                <w:sz w:val="1"/>
                <w:szCs w:val="1"/>
                <w:color w:val="auto"/>
              </w:rPr>
            </w:pPr>
          </w:p>
        </w:tc>
      </w:tr>
      <w:tr>
        <w:trPr>
          <w:trHeight w:val="581"/>
        </w:trPr>
        <w:tc>
          <w:tcPr>
            <w:tcW w:w="1520" w:type="dxa"/>
            <w:vAlign w:val="bottom"/>
          </w:tcPr>
          <w:p>
            <w:pPr>
              <w:spacing w:after="0"/>
              <w:rPr>
                <w:sz w:val="24"/>
                <w:szCs w:val="24"/>
                <w:color w:val="auto"/>
              </w:rPr>
            </w:pPr>
          </w:p>
        </w:tc>
        <w:tc>
          <w:tcPr>
            <w:tcW w:w="9900" w:type="dxa"/>
            <w:vAlign w:val="bottom"/>
          </w:tcPr>
          <w:p>
            <w:pPr>
              <w:ind w:left="4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8"/>
        </w:trPr>
        <w:tc>
          <w:tcPr>
            <w:tcW w:w="1520" w:type="dxa"/>
            <w:vAlign w:val="bottom"/>
            <w:tcBorders>
              <w:bottom w:val="single" w:sz="8" w:color="808080"/>
            </w:tcBorders>
          </w:tcPr>
          <w:p>
            <w:pPr>
              <w:spacing w:after="0"/>
              <w:rPr>
                <w:sz w:val="10"/>
                <w:szCs w:val="10"/>
                <w:color w:val="auto"/>
              </w:rPr>
            </w:pPr>
          </w:p>
        </w:tc>
        <w:tc>
          <w:tcPr>
            <w:tcW w:w="9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2010. In making this assessment, we used the criteria set forth by the Committee of Sponsoring Organizations of the Treadway Commission (COSO) in Internal Control – Integrated Framework. Based upon the assessment performed, we determined that, as of December 31, 2010 the Company’s internal control over financial reporting was effective. In addition, there have been no changes in the Company’s internal control over financial reporting during 2010 that have materially affected, or are reasonably likely to affect materially, the Group’s internal control over financial reporting.</w:t>
      </w:r>
    </w:p>
    <w:p>
      <w:pPr>
        <w:spacing w:after="0" w:line="2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KPMG, which has audited the consolidated financial statements of the Company for the year ended December 31, 2010 has also audited the effectiveness of the Company’s internal control over financial reporting under Auditing Standard No. 5 of the Public Company Accounting Oversight Board (United States).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3" w:name="page64"/>
    <w:bookmarkEnd w:id="63"/>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ICON plc and subsidiaries (“the Company”) as of December 31, 2010 and 2009 and the related consolidated statements of operations, shareholders’ equity and comprehensive income, and cash flows for each of the years in the three-year period ended December 31, 2010. These consolidated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ICON plc and subsidiaries as of December 31, 2010 and 2009 and the results of their operations and their cash flows for each of the years in the three-year period ended December 31, 2010, in conformity with U.S. generally accepted accounting principles.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ICON plc’s internal control over financial reporting as of December 31, 2010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March 22, 2011 expressed an unqualified opinion on the effectiveness of the Company’s internal control over financial reporting.</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ICON plc’s internal control over financial reporting as of December 31, 2010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ICON plc’s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our opinion, ICON plc maintained, in all material respects, effective internal control over financial reporting as of December 31, 2010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ICON plc and subsidiaries as of December 31, 2010 and 2009 and the related consolidated statements of operations, shareholders’ equity and comprehensive income, and cash flows for each of the years in the three-year period ended December 31, 2010 and our report dated March 22, 2011 expressed an unqualified opinion on those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8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top w:val="single" w:sz="8" w:color="auto"/>
            </w:tcBorders>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20"/>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144,801</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255,706</w:t>
            </w: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 (Note 3)</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49,227</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191,924</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164,907</w:t>
            </w: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92,080</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101,431</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13,016</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12,451</w:t>
            </w: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Deferred tax asset (Note 12)</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9,625</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5,623</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20,126</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20,592</w:t>
            </w: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 (Note 12)</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14,627</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18,966</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535,426</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579,676</w:t>
            </w: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 (Note 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178,989</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170,861</w:t>
            </w: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Goodwill (Note 4)</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173,568</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175,860</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3,082</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4,353</w:t>
            </w: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Non-current income taxes receivable (Note 12)</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 (Note 12)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10,028</w:t>
            </w: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 (Note 5)</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9,960</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8,278</w:t>
            </w:r>
          </w:p>
        </w:tc>
      </w:tr>
      <w:tr>
        <w:trPr>
          <w:trHeight w:val="257"/>
        </w:trPr>
        <w:tc>
          <w:tcPr>
            <w:tcW w:w="20" w:type="dxa"/>
            <w:vAlign w:val="bottom"/>
          </w:tcPr>
          <w:p>
            <w:pPr>
              <w:spacing w:after="0"/>
              <w:rPr>
                <w:sz w:val="22"/>
                <w:szCs w:val="22"/>
                <w:color w:val="auto"/>
              </w:rPr>
            </w:pPr>
          </w:p>
        </w:tc>
        <w:tc>
          <w:tcPr>
            <w:tcW w:w="8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908,398</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949,538</w:t>
            </w:r>
          </w:p>
        </w:tc>
      </w:tr>
      <w:tr>
        <w:trPr>
          <w:trHeight w:val="210"/>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12,123</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12,314</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165,198</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134,240</w:t>
            </w: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Other liabilities (Note 7)</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119,666</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100,182</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liability (Note 12)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payable (Note 12)</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1,782</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299,520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250,326</w:t>
            </w: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2,844</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3,676</w:t>
            </w: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Non-current government grants (Note 10)</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1,470</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income taxes payable (Note 12)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19,350</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10,205</w:t>
            </w: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Non-current deferred tax liability (Note 12)</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12,688</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13,862</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740" w:type="dxa"/>
            <w:vAlign w:val="bottom"/>
          </w:tcPr>
          <w:p>
            <w:pPr>
              <w:ind w:left="320"/>
              <w:spacing w:after="0" w:line="201" w:lineRule="exact"/>
              <w:rPr>
                <w:sz w:val="20"/>
                <w:szCs w:val="20"/>
                <w:color w:val="auto"/>
              </w:rPr>
            </w:pPr>
            <w:r>
              <w:rPr>
                <w:rFonts w:ascii="Arial" w:cs="Arial" w:eastAsia="Arial" w:hAnsi="Arial"/>
                <w:sz w:val="18"/>
                <w:szCs w:val="18"/>
                <w:color w:val="auto"/>
              </w:rPr>
              <w:t>Ordinary shares, par value 6 euro cents per share;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100,000,000 shares authorized (Note 11)</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59,007,565 shares issued and outstanding at December 31, 2009 and 60,247,092 shares issued and outstanding at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2010</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174,188</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196,960</w:t>
            </w: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 (Note 18)</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12,584</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380,509</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467,580</w:t>
            </w:r>
          </w:p>
        </w:tc>
      </w:tr>
      <w:tr>
        <w:trPr>
          <w:trHeight w:val="223"/>
        </w:trPr>
        <w:tc>
          <w:tcPr>
            <w:tcW w:w="20" w:type="dxa"/>
            <w:vAlign w:val="bottom"/>
          </w:tcPr>
          <w:p>
            <w:pPr>
              <w:spacing w:after="0"/>
              <w:rPr>
                <w:sz w:val="19"/>
                <w:szCs w:val="19"/>
                <w:color w:val="auto"/>
              </w:rPr>
            </w:pPr>
          </w:p>
        </w:tc>
        <w:tc>
          <w:tcPr>
            <w:tcW w:w="8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572,246</w:t>
            </w:r>
          </w:p>
        </w:tc>
        <w:tc>
          <w:tcPr>
            <w:tcW w:w="6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669,999</w:t>
            </w:r>
          </w:p>
        </w:tc>
      </w:tr>
      <w:tr>
        <w:trPr>
          <w:trHeight w:val="216"/>
        </w:trPr>
        <w:tc>
          <w:tcPr>
            <w:tcW w:w="20" w:type="dxa"/>
            <w:vAlign w:val="bottom"/>
            <w:tcBorders>
              <w:bottom w:val="single" w:sz="8" w:color="auto"/>
            </w:tcBorders>
          </w:tcPr>
          <w:p>
            <w:pPr>
              <w:spacing w:after="0"/>
              <w:rPr>
                <w:sz w:val="18"/>
                <w:szCs w:val="18"/>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908,398</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949,538</w:t>
            </w:r>
          </w:p>
        </w:tc>
      </w:tr>
      <w:tr>
        <w:trPr>
          <w:trHeight w:val="21"/>
        </w:trPr>
        <w:tc>
          <w:tcPr>
            <w:tcW w:w="20" w:type="dxa"/>
            <w:vAlign w:val="bottom"/>
          </w:tcPr>
          <w:p>
            <w:pPr>
              <w:spacing w:after="0" w:line="20" w:lineRule="exact"/>
              <w:rPr>
                <w:sz w:val="1"/>
                <w:szCs w:val="1"/>
                <w:color w:val="auto"/>
              </w:rPr>
            </w:pPr>
          </w:p>
        </w:tc>
        <w:tc>
          <w:tcPr>
            <w:tcW w:w="8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7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90"/>
              <w:spacing w:after="0" w:line="205" w:lineRule="exact"/>
              <w:rPr>
                <w:sz w:val="20"/>
                <w:szCs w:val="20"/>
                <w:color w:val="auto"/>
              </w:rPr>
            </w:pPr>
            <w:r>
              <w:rPr>
                <w:rFonts w:ascii="Arial" w:cs="Arial" w:eastAsia="Arial" w:hAnsi="Arial"/>
                <w:sz w:val="18"/>
                <w:szCs w:val="18"/>
                <w:b w:val="1"/>
                <w:bCs w:val="1"/>
                <w:color w:val="auto"/>
                <w:w w:val="90"/>
              </w:rPr>
              <w:t>Year Ended</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194"/>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1820" w:type="dxa"/>
            <w:vAlign w:val="bottom"/>
          </w:tcPr>
          <w:p>
            <w:pPr>
              <w:spacing w:after="0"/>
              <w:rPr>
                <w:sz w:val="16"/>
                <w:szCs w:val="16"/>
                <w:color w:val="auto"/>
              </w:rPr>
            </w:pPr>
          </w:p>
        </w:tc>
        <w:tc>
          <w:tcPr>
            <w:tcW w:w="3800" w:type="dxa"/>
            <w:vAlign w:val="bottom"/>
            <w:gridSpan w:val="6"/>
          </w:tcPr>
          <w:p>
            <w:pPr>
              <w:jc w:val="center"/>
              <w:ind w:right="180"/>
              <w:spacing w:after="0" w:line="194" w:lineRule="exact"/>
              <w:rPr>
                <w:sz w:val="20"/>
                <w:szCs w:val="20"/>
                <w:color w:val="auto"/>
              </w:rPr>
            </w:pPr>
            <w:r>
              <w:rPr>
                <w:rFonts w:ascii="Arial" w:cs="Arial" w:eastAsia="Arial" w:hAnsi="Arial"/>
                <w:sz w:val="18"/>
                <w:szCs w:val="18"/>
                <w:b w:val="1"/>
                <w:bCs w:val="1"/>
                <w:color w:val="auto"/>
                <w:w w:val="88"/>
              </w:rPr>
              <w:t>(in thousands, except share and per share data)</w:t>
            </w:r>
          </w:p>
        </w:tc>
        <w:tc>
          <w:tcPr>
            <w:tcW w:w="0" w:type="dxa"/>
            <w:vAlign w:val="bottom"/>
          </w:tcPr>
          <w:p>
            <w:pPr>
              <w:spacing w:after="0"/>
              <w:rPr>
                <w:sz w:val="1"/>
                <w:szCs w:val="1"/>
                <w:color w:val="auto"/>
              </w:rPr>
            </w:pPr>
          </w:p>
        </w:tc>
      </w:tr>
      <w:tr>
        <w:trPr>
          <w:trHeight w:val="237"/>
        </w:trPr>
        <w:tc>
          <w:tcPr>
            <w:tcW w:w="580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revenue</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1,209,451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1,258,227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Reimbursable expenses</w:t>
            </w:r>
          </w:p>
        </w:tc>
        <w:tc>
          <w:tcPr>
            <w:tcW w:w="1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(344,203)</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revenue</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865,248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887,612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900,044</w:t>
            </w:r>
          </w:p>
        </w:tc>
        <w:tc>
          <w:tcPr>
            <w:tcW w:w="0" w:type="dxa"/>
            <w:vAlign w:val="bottom"/>
          </w:tcPr>
          <w:p>
            <w:pPr>
              <w:spacing w:after="0"/>
              <w:rPr>
                <w:sz w:val="1"/>
                <w:szCs w:val="1"/>
                <w:color w:val="auto"/>
              </w:rPr>
            </w:pP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 costs</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489,238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507,783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248,778</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230,910</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27,728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32,659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One-time net charges (Note 13)</w:t>
            </w:r>
          </w:p>
        </w:tc>
        <w:tc>
          <w:tcPr>
            <w:tcW w:w="1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8,808</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765,744</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780,160</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807,949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99,504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107,452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income</w:t>
            </w:r>
          </w:p>
        </w:tc>
        <w:tc>
          <w:tcPr>
            <w:tcW w:w="18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2,881</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752</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98,280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104,674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Provision for income taxes (Note 12)</w:t>
            </w:r>
          </w:p>
        </w:tc>
        <w:tc>
          <w:tcPr>
            <w:tcW w:w="1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(19,967)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78,120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94,299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(Note 2)</w:t>
            </w:r>
          </w:p>
        </w:tc>
        <w:tc>
          <w:tcPr>
            <w:tcW w:w="18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58,245,240</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58,636,878</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59,718,934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(Note 2)</w:t>
            </w:r>
          </w:p>
        </w:tc>
        <w:tc>
          <w:tcPr>
            <w:tcW w:w="18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60,221,587</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59,900,504</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60,637,103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*Comparative figures have been amended to reflect the Bonus Issue (Stock Split) which took place with an effective date of August 8, 2008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(in thousands, except share and per share data)</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Accumulated</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Additional</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Comprehensive</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6"/>
        </w:trPr>
        <w:tc>
          <w:tcPr>
            <w:tcW w:w="33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39"/>
        </w:trPr>
        <w:tc>
          <w:tcPr>
            <w:tcW w:w="20" w:type="dxa"/>
            <w:vAlign w:val="bottom"/>
          </w:tcPr>
          <w:p>
            <w:pPr>
              <w:spacing w:after="0"/>
              <w:rPr>
                <w:sz w:val="24"/>
                <w:szCs w:val="24"/>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4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57,670,488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143,639</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31,828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208,090</w:t>
            </w: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388,400</w:t>
            </w: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78,120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78,120</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4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(30,582)</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(30,582)</w:t>
            </w: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Currency impact on long-term funding (net of tax)</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2,976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2,976</w:t>
            </w:r>
          </w:p>
        </w:tc>
      </w:tr>
      <w:tr>
        <w:trPr>
          <w:trHeight w:val="202"/>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w w:val="91"/>
              </w:rPr>
              <w:t>Actuarial loss on defined benefit pension plan</w:t>
            </w:r>
          </w:p>
        </w:tc>
        <w:tc>
          <w:tcPr>
            <w:tcW w:w="440" w:type="dxa"/>
            <w:vAlign w:val="bottom"/>
          </w:tcPr>
          <w:p>
            <w:pPr>
              <w:ind w:left="40"/>
              <w:spacing w:after="0" w:line="201" w:lineRule="exact"/>
              <w:rPr>
                <w:sz w:val="20"/>
                <w:szCs w:val="20"/>
                <w:color w:val="auto"/>
              </w:rPr>
            </w:pPr>
            <w:r>
              <w:rPr>
                <w:rFonts w:ascii="Arial" w:cs="Arial" w:eastAsia="Arial" w:hAnsi="Arial"/>
                <w:sz w:val="18"/>
                <w:szCs w:val="18"/>
                <w:color w:val="auto"/>
              </w:rPr>
              <w:t>(net</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3360" w:type="dxa"/>
            <w:vAlign w:val="bottom"/>
            <w:gridSpan w:val="2"/>
          </w:tcPr>
          <w:p>
            <w:pPr>
              <w:spacing w:after="0"/>
              <w:rPr>
                <w:sz w:val="20"/>
                <w:szCs w:val="20"/>
                <w:color w:val="auto"/>
              </w:rPr>
            </w:pPr>
            <w:r>
              <w:rPr>
                <w:rFonts w:ascii="Arial" w:cs="Arial" w:eastAsia="Arial" w:hAnsi="Arial"/>
                <w:sz w:val="18"/>
                <w:szCs w:val="18"/>
                <w:color w:val="auto"/>
              </w:rPr>
              <w:t>of nil taxation)</w:t>
            </w:r>
          </w:p>
        </w:tc>
        <w:tc>
          <w:tcPr>
            <w:tcW w:w="4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w:t>
            </w:r>
          </w:p>
        </w:tc>
        <w:tc>
          <w:tcPr>
            <w:tcW w:w="2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49,470</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4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847,707</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8,438</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8,516</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6,058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6,058</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issue costs</w:t>
            </w:r>
          </w:p>
        </w:tc>
        <w:tc>
          <w:tcPr>
            <w:tcW w:w="4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4,060</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4,060</w:t>
            </w:r>
          </w:p>
        </w:tc>
      </w:tr>
      <w:tr>
        <w:trPr>
          <w:trHeight w:val="439"/>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2008</w:t>
            </w:r>
          </w:p>
        </w:tc>
        <w:tc>
          <w:tcPr>
            <w:tcW w:w="44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58,518,195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162,057</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3,178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286,210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456,366</w:t>
            </w:r>
          </w:p>
        </w:tc>
      </w:tr>
      <w:tr>
        <w:trPr>
          <w:trHeight w:val="432"/>
        </w:trPr>
        <w:tc>
          <w:tcPr>
            <w:tcW w:w="20" w:type="dxa"/>
            <w:vAlign w:val="bottom"/>
          </w:tcPr>
          <w:p>
            <w:pPr>
              <w:spacing w:after="0"/>
              <w:rPr>
                <w:sz w:val="24"/>
                <w:szCs w:val="24"/>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94,299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94,299</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7,797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w w:val="95"/>
              </w:rPr>
              <w:t>Currency impact on long-term funding (net of tax)</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2,251</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2,251</w:t>
            </w: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Actuarial loss on defined benefit pension plan</w:t>
            </w:r>
          </w:p>
        </w:tc>
        <w:tc>
          <w:tcPr>
            <w:tcW w:w="4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(net</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 nil taxation)</w:t>
            </w: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103,705</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489,370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4,419</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based compensation expense</w:t>
            </w:r>
          </w:p>
        </w:tc>
        <w:tc>
          <w:tcPr>
            <w:tcW w:w="4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7,353</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7,353</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w:t>
            </w:r>
          </w:p>
        </w:tc>
      </w:tr>
      <w:tr>
        <w:trPr>
          <w:trHeight w:val="439"/>
        </w:trPr>
        <w:tc>
          <w:tcPr>
            <w:tcW w:w="20" w:type="dxa"/>
            <w:vAlign w:val="bottom"/>
          </w:tcPr>
          <w:p>
            <w:pPr>
              <w:spacing w:after="0"/>
              <w:rPr>
                <w:sz w:val="24"/>
                <w:szCs w:val="24"/>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4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59,007,565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174,188</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12,584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380,509</w:t>
            </w: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572,246</w:t>
            </w:r>
          </w:p>
        </w:tc>
      </w:tr>
      <w:tr>
        <w:trPr>
          <w:trHeight w:val="60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Accumulated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Additional</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Paid-in</w:t>
            </w: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Income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439"/>
        </w:trPr>
        <w:tc>
          <w:tcPr>
            <w:tcW w:w="20" w:type="dxa"/>
            <w:vAlign w:val="bottom"/>
          </w:tcPr>
          <w:p>
            <w:pPr>
              <w:spacing w:after="0"/>
              <w:rPr>
                <w:sz w:val="24"/>
                <w:szCs w:val="24"/>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59,007,565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174,188</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12,584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380,509</w:t>
            </w: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572,246</w:t>
            </w:r>
          </w:p>
        </w:tc>
      </w:tr>
      <w:tr>
        <w:trPr>
          <w:trHeight w:val="432"/>
        </w:trPr>
        <w:tc>
          <w:tcPr>
            <w:tcW w:w="39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87,071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87,071</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(9,701)</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(9,701)</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9"/>
              </w:rPr>
              <w:t>Currency impact on long-term funding (net of tax)</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7"/>
              </w:rPr>
              <w:t>Actuarial loss on defined benefit pension plan (net</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of nil taxation)</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(1,209)</w:t>
            </w:r>
          </w:p>
        </w:tc>
        <w:tc>
          <w:tcPr>
            <w:tcW w:w="2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74,883</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1,237,015</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13,070</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13,168</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Issue of restricted share units</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Share based compensation expense</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7,408</w:t>
            </w:r>
          </w:p>
        </w:tc>
        <w:tc>
          <w:tcPr>
            <w:tcW w:w="2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7,408</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20" w:type="dxa"/>
            <w:vAlign w:val="bottom"/>
          </w:tcPr>
          <w:p>
            <w:pPr>
              <w:spacing w:after="0"/>
              <w:rPr>
                <w:sz w:val="19"/>
                <w:szCs w:val="19"/>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2,345</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2,345</w:t>
            </w:r>
          </w:p>
        </w:tc>
      </w:tr>
      <w:tr>
        <w:trPr>
          <w:trHeight w:val="439"/>
        </w:trPr>
        <w:tc>
          <w:tcPr>
            <w:tcW w:w="20" w:type="dxa"/>
            <w:vAlign w:val="bottom"/>
          </w:tcPr>
          <w:p>
            <w:pPr>
              <w:spacing w:after="0"/>
              <w:rPr>
                <w:sz w:val="24"/>
                <w:szCs w:val="24"/>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60,247,092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196,960</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467,580</w:t>
            </w: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669,999</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*Comparative figures have been amended to reflect the Bonus Issue (Stock Split) which took place with an effective date of August 8, 2008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78,120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94,299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87,071</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Adjustments to reconcile net income to net cash</w:t>
            </w:r>
          </w:p>
        </w:tc>
        <w:tc>
          <w:tcPr>
            <w:tcW w:w="2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provided by operating activities: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24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27,728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32,659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33,873</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Amortization of government grants</w:t>
            </w:r>
          </w:p>
        </w:tc>
        <w:tc>
          <w:tcPr>
            <w:tcW w:w="2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compensation expense</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6,058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7,353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7,408</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24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2,909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(3,399)</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Non-controlling interest</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(Increase)/decrease in accounts receivable</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25,804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18,267</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Decrease/(increase) in unbilled revenue</w:t>
            </w:r>
          </w:p>
        </w:tc>
        <w:tc>
          <w:tcPr>
            <w:tcW w:w="24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2,168</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47,898</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(4,887)</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(Increase)/decrease in other receivables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w w:val="97"/>
              </w:rPr>
              <w:t>Decrease/(increase) in prepayments and other current assets</w:t>
            </w:r>
          </w:p>
        </w:tc>
        <w:tc>
          <w:tcPr>
            <w:tcW w:w="2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(9,444)</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5,552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other non current assets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Increase/(decrease) in payments on account</w:t>
            </w:r>
          </w:p>
        </w:tc>
        <w:tc>
          <w:tcPr>
            <w:tcW w:w="24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26,404</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43,474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(29,191)</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Increase/(decrease) in other current liabilities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41,849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11,924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Increase in other non current liabilities</w:t>
            </w:r>
          </w:p>
        </w:tc>
        <w:tc>
          <w:tcPr>
            <w:tcW w:w="24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1,261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income taxes payable</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(13,576)</w:t>
            </w: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(Decrease)/increase in accounts payable</w:t>
            </w:r>
          </w:p>
        </w:tc>
        <w:tc>
          <w:tcPr>
            <w:tcW w:w="2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81,282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255,070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87,428</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plant and equipment</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(30,952)</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Purchase of subsidiary undertakings and acquisition costs</w:t>
            </w:r>
          </w:p>
        </w:tc>
        <w:tc>
          <w:tcPr>
            <w:tcW w:w="2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(49,540)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(25,932)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acquired with subsidiary undertaking</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Grant received</w:t>
            </w:r>
          </w:p>
        </w:tc>
        <w:tc>
          <w:tcPr>
            <w:tcW w:w="24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 of short term investments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14,026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17,544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79,487</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Purchase of short term investments</w:t>
            </w:r>
          </w:p>
        </w:tc>
        <w:tc>
          <w:tcPr>
            <w:tcW w:w="2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(24,045)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(30,260)</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investing activities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14,582</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Drawdown of bank credit lines and loan facilities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58,925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Repayment of bank credit lines and loan facilities</w:t>
            </w:r>
          </w:p>
        </w:tc>
        <w:tc>
          <w:tcPr>
            <w:tcW w:w="2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(48,927)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(126,969)</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share options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8,516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4,419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13,168</w:t>
            </w: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Share issuance costs</w:t>
            </w:r>
          </w:p>
        </w:tc>
        <w:tc>
          <w:tcPr>
            <w:tcW w:w="2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from the exercise of share options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4,060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Repayment of other liabilities and finance lease obligations</w:t>
            </w:r>
          </w:p>
        </w:tc>
        <w:tc>
          <w:tcPr>
            <w:tcW w:w="2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22,337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15,296</w:t>
            </w: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2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2,103</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2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86,423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110,905</w:t>
            </w:r>
          </w:p>
        </w:tc>
      </w:tr>
      <w:tr>
        <w:trPr>
          <w:trHeight w:val="223"/>
        </w:trPr>
        <w:tc>
          <w:tcPr>
            <w:tcW w:w="2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2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76,881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58,378</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144,801</w:t>
            </w:r>
          </w:p>
        </w:tc>
      </w:tr>
      <w:tr>
        <w:trPr>
          <w:trHeight w:val="439"/>
        </w:trPr>
        <w:tc>
          <w:tcPr>
            <w:tcW w:w="20" w:type="dxa"/>
            <w:vAlign w:val="bottom"/>
          </w:tcPr>
          <w:p>
            <w:pPr>
              <w:spacing w:after="0"/>
              <w:rPr>
                <w:sz w:val="24"/>
                <w:szCs w:val="24"/>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58,378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144,801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255,706</w:t>
            </w:r>
          </w:p>
        </w:tc>
      </w:tr>
      <w:tr>
        <w:trPr>
          <w:trHeight w:val="581"/>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0" w:type="dxa"/>
            <w:vAlign w:val="bottom"/>
          </w:tcPr>
          <w:p>
            <w:pPr>
              <w:jc w:val="right"/>
              <w:ind w:right="1650"/>
              <w:spacing w:after="0"/>
              <w:rPr>
                <w:sz w:val="20"/>
                <w:szCs w:val="20"/>
                <w:color w:val="auto"/>
              </w:rPr>
            </w:pPr>
            <w:r>
              <w:rPr>
                <w:rFonts w:ascii="Arial" w:cs="Arial" w:eastAsia="Arial" w:hAnsi="Arial"/>
                <w:sz w:val="18"/>
                <w:szCs w:val="18"/>
                <w:color w:val="auto"/>
              </w:rPr>
              <w:t>68</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plc and its subsidiaries (“the Company” or “ICON”) is a contract research organization (“CRO”), providing outsourced development services on a global basis to the pharmaceutical, biotechnology and medical device industries. The Company specializes in the strategic development, management and analysis of programs that support Clinical Development - from compound selection to Phase I-IV clinical studies.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 highly fragmented industry, we are one of a select group of companies with the capability and expertise to conduct clinical trials in all major therapeutic areas on a global basis. At December 31, 2010 the Company had 7,735 employees, in 73 locations, in 39 countries, providing Phase I - IV Clinical Trial Management, Drug Development Support Services, Data Management, Biostatistics, Central Laboratory, Imaging and Staff Contracting services. The Company has the operational flexibility to provide development services on a stand-alone basis or as part of an integrated “full service” solution.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For the year ended December 31, 2010 we derived approximately 42.3%, 46.9 % and 10.8 % of our net revenue in the United States, Europe and Rest of World, respectively.</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the Company’s ADSs was adjusted on NASDAQ to effect the Bonus Issue prior to the opening of trading on August 13, 2008. All outstanding ordinary share amounts referenced in the consolidated financial statements and the notes thereto have been retrospectively restated to give effect to the Bonus Issue as if it had occurred as of the date referenced.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197" w:lineRule="exact"/>
        <w:rPr>
          <w:sz w:val="20"/>
          <w:szCs w:val="20"/>
          <w:color w:val="auto"/>
        </w:rPr>
      </w:pPr>
    </w:p>
    <w:p>
      <w:pPr>
        <w:ind w:left="700" w:hanging="692"/>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08"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1" w:name="page72"/>
    <w:bookmarkEnd w:id="71"/>
    <w:p>
      <w:pPr>
        <w:ind w:left="700" w:hanging="69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primarily earns revenues by providing a number of different services to its customers. These services include clinical trials management, biometric activities, consulting, laboratory, imaging and contract staffing services. Contracts range in duration from a number of months to several years.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services, as rendered, is recognized only after persuasive evidence of an arrangement exists, the sales price is fixed or determinable and collectability is reasonably assured.</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Biometrics revenue is recognised on a fee-for-service method as each unit of data is prepared recognizing revenue on the basis of the number of units completed in a period as a percentage of the total number of contracted units. Imaging revenue is recognised on a fee-for-service basis recognizing revenue for each image completed. Consulting revenue is recognised on a fee-for-service basis as each hour of the related service is performed. Contract staffing revenue is recognized on a fee-for-service basis, over the time the related service is performed, or in the case of permanent placement, once the candidate has been placed with the client. 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206" w:lineRule="exact"/>
        <w:rPr>
          <w:sz w:val="20"/>
          <w:szCs w:val="20"/>
          <w:color w:val="auto"/>
        </w:rPr>
      </w:pPr>
    </w:p>
    <w:p>
      <w:pPr>
        <w:spacing w:after="0"/>
        <w:tabs>
          <w:tab w:leader="none" w:pos="10260" w:val="left"/>
        </w:tabs>
        <w:rPr>
          <w:sz w:val="20"/>
          <w:szCs w:val="20"/>
          <w:color w:val="auto"/>
        </w:rPr>
      </w:pPr>
      <w:r>
        <w:rPr>
          <w:rFonts w:ascii="Arial" w:cs="Arial" w:eastAsia="Arial" w:hAnsi="Arial"/>
          <w:sz w:val="18"/>
          <w:szCs w:val="18"/>
          <w:color w:val="auto"/>
        </w:rPr>
        <w:t>Contracts generally contain provisions for renegotiation in the event of changes in the scope, nature, duration, or volume of services</w:t>
      </w:r>
      <w:r>
        <w:rPr>
          <w:sz w:val="20"/>
          <w:szCs w:val="20"/>
          <w:color w:val="auto"/>
        </w:rPr>
        <w:tab/>
      </w:r>
      <w:r>
        <w:rPr>
          <w:rFonts w:ascii="Arial" w:cs="Arial" w:eastAsia="Arial" w:hAnsi="Arial"/>
          <w:sz w:val="17"/>
          <w:szCs w:val="17"/>
          <w:color w:val="auto"/>
        </w:rPr>
        <w:t>of the contract.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Renegotiated amounts are recognised as revenue by revision to the total contract value arising as a result of an authorised customer change order.</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difference between the amount of revenue recognised and the amount billed on a particular contract is included in the balance sheet as unbilled revenue. Normally, amounts become billable upon the achievement of certain milestones, for example, target patient enrollment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contract termination, if the value of work performed and recognised as revenue is greater than aggregate milestone billings at the date of termination, cancellation clauses ensure that the Company is paid for all work performed to the termination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2" w:name="page73"/>
    <w:bookmarkEnd w:id="72"/>
    <w:p>
      <w:pPr>
        <w:ind w:left="760" w:hanging="707"/>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Reimbursable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215" w:lineRule="exact"/>
        <w:rPr>
          <w:sz w:val="20"/>
          <w:szCs w:val="20"/>
          <w:color w:val="auto"/>
        </w:rPr>
      </w:pPr>
    </w:p>
    <w:p>
      <w:pPr>
        <w:ind w:left="700" w:hanging="69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costs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197"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costs associated with advertising and promotion are expensed as incurred. The advertising and promotion expense was $3,467,000, $2,548,000 and $3,431,000 for the years ended December 31, 2008, December 31, 2009 and December 31, 2010 respectively.</w:t>
      </w:r>
    </w:p>
    <w:p>
      <w:pPr>
        <w:spacing w:after="0" w:line="197"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currencies and translation of subsidiaries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Amounts credited or charged to the statement of operations for the years ended December 31, 2008, December 31, 2009 and December 31, 2010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Year ended</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5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47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9"/>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Amounts (credited)/charged</w:t>
            </w:r>
          </w:p>
        </w:tc>
        <w:tc>
          <w:tcPr>
            <w:tcW w:w="3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1,639</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3,731</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balance sheet and average rates for the statement of operations. Translation gains and losses arising are reported as a movement on accumulated other comprehensive income.</w:t>
      </w:r>
    </w:p>
    <w:p>
      <w:pPr>
        <w:spacing w:after="0" w:line="174"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Disclosure about 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material class of financial instrument: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received on account, accrued liabilities, accrued bonuses, bank overdraft and taxes payable have carrying amounts that approximate fair value due to the short term maturities of these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carrying amounts approximate fair value based on net present value of estimated future cash flows.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3" w:name="page74"/>
    <w:bookmarkEnd w:id="73"/>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Goodwill and Impairment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No impairment was recognized as a result of the impairment testing carried out for the years ended December 31, 2008, December 31, 2009 and December 31, 2010.</w:t>
      </w:r>
    </w:p>
    <w:p>
      <w:pPr>
        <w:spacing w:after="0" w:line="205" w:lineRule="exact"/>
        <w:rPr>
          <w:sz w:val="20"/>
          <w:szCs w:val="20"/>
          <w:color w:val="auto"/>
        </w:rPr>
      </w:pPr>
    </w:p>
    <w:p>
      <w:pPr>
        <w:ind w:left="680" w:hanging="6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on a straight line basis over their estimated useful life.</w:t>
      </w:r>
    </w:p>
    <w:p>
      <w:pPr>
        <w:spacing w:after="0" w:line="252" w:lineRule="exact"/>
        <w:rPr>
          <w:sz w:val="20"/>
          <w:szCs w:val="20"/>
          <w:color w:val="auto"/>
        </w:rPr>
      </w:pPr>
    </w:p>
    <w:p>
      <w:pPr>
        <w:ind w:left="720" w:hanging="71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197"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 term investments - available for sale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classifies short-term investments as available for sale in accordance with the terms of FASB ASC 320, </w:t>
      </w:r>
      <w:r>
        <w:rPr>
          <w:rFonts w:ascii="Arial" w:cs="Arial" w:eastAsia="Arial" w:hAnsi="Arial"/>
          <w:sz w:val="18"/>
          <w:szCs w:val="18"/>
          <w:i w:val="1"/>
          <w:iCs w:val="1"/>
          <w:color w:val="auto"/>
        </w:rPr>
        <w:t>Investments –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Realized gains and losses are determined using specific identification. The investments are reported at fair value, with unrealized gains or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 separate component of shareholders’ equity. Any differences between the cost and fair value of the investments are represented by accrued interest.</w:t>
      </w:r>
    </w:p>
    <w:p>
      <w:pPr>
        <w:spacing w:after="0" w:line="214" w:lineRule="exact"/>
        <w:rPr>
          <w:sz w:val="20"/>
          <w:szCs w:val="20"/>
          <w:color w:val="auto"/>
        </w:rPr>
      </w:pPr>
    </w:p>
    <w:p>
      <w:pPr>
        <w:ind w:left="800" w:hanging="747"/>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Inventory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Inventory is valued at the lower of cost and net market value and after provisions for obsolescence. Cost of raw materials comprises the purchase price and attributable costs, less trade discounts. At December 31, 2010 the carrying value of inventory, included within prepayments and other current assets on the balance sheet, was $3.8 million (2009: $3.6 million).</w:t>
      </w:r>
    </w:p>
    <w:p>
      <w:pPr>
        <w:spacing w:after="0" w:line="208" w:lineRule="exact"/>
        <w:rPr>
          <w:sz w:val="20"/>
          <w:szCs w:val="20"/>
          <w:color w:val="auto"/>
        </w:rPr>
      </w:pPr>
    </w:p>
    <w:p>
      <w:pPr>
        <w:ind w:left="720" w:hanging="71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240" w:type="dxa"/>
            <w:vAlign w:val="bottom"/>
            <w:gridSpan w:val="3"/>
          </w:tcPr>
          <w:p>
            <w:pPr>
              <w:jc w:val="right"/>
              <w:ind w:right="10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2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42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Motor vehicles</w:t>
            </w:r>
          </w:p>
        </w:tc>
        <w:tc>
          <w:tcPr>
            <w:tcW w:w="42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4" w:name="page75"/>
    <w:bookmarkEnd w:id="74"/>
    <w:p>
      <w:pPr>
        <w:ind w:left="760" w:hanging="707"/>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Leased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statement of operations on a straight line basis over the lease term.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08" w:lineRule="exact"/>
        <w:rPr>
          <w:sz w:val="20"/>
          <w:szCs w:val="20"/>
          <w:color w:val="auto"/>
        </w:rPr>
      </w:pPr>
    </w:p>
    <w:p>
      <w:pPr>
        <w:ind w:left="720" w:hanging="71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applies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which requires the asset and liability method of accounting for income taxes. Under the asset and liability method of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The Company adopted the provisions of FASB Interpretation No. 48 </w:t>
      </w:r>
      <w:r>
        <w:rPr>
          <w:rFonts w:ascii="Arial" w:cs="Arial" w:eastAsia="Arial" w:hAnsi="Arial"/>
          <w:sz w:val="17"/>
          <w:szCs w:val="17"/>
          <w:i w:val="1"/>
          <w:iCs w:val="1"/>
          <w:color w:val="auto"/>
        </w:rPr>
        <w:t>Accounting for Uncertain Income Taxes</w:t>
      </w:r>
      <w:r>
        <w:rPr>
          <w:rFonts w:ascii="Arial" w:cs="Arial" w:eastAsia="Arial" w:hAnsi="Arial"/>
          <w:sz w:val="17"/>
          <w:szCs w:val="17"/>
          <w:color w:val="auto"/>
        </w:rPr>
        <w:t xml:space="preserve"> (“FIN 48”)</w:t>
      </w:r>
      <w:r>
        <w:rPr>
          <w:rFonts w:ascii="Arial" w:cs="Arial" w:eastAsia="Arial" w:hAnsi="Arial"/>
          <w:sz w:val="17"/>
          <w:szCs w:val="17"/>
          <w:i w:val="1"/>
          <w:iCs w:val="1"/>
          <w:color w:val="auto"/>
        </w:rPr>
        <w:t>,</w:t>
      </w:r>
      <w:r>
        <w:rPr>
          <w:rFonts w:ascii="Arial" w:cs="Arial" w:eastAsia="Arial" w:hAnsi="Arial"/>
          <w:sz w:val="17"/>
          <w:szCs w:val="17"/>
          <w:color w:val="auto"/>
        </w:rPr>
        <w:t xml:space="preserve"> (included in FASB ASC Topic 740, Income Taxes), as of January 1, 2007. FIN 48 requires that the Company recognizes the largest amount of tax benefit that is greater than 50% likely of being realized upon effective settlement when considering uncertain tax positions.</w:t>
      </w:r>
    </w:p>
    <w:p>
      <w:pPr>
        <w:spacing w:after="0" w:line="206" w:lineRule="exact"/>
        <w:rPr>
          <w:sz w:val="20"/>
          <w:szCs w:val="20"/>
          <w:color w:val="auto"/>
        </w:rPr>
      </w:pPr>
    </w:p>
    <w:p>
      <w:pPr>
        <w:ind w:left="720" w:hanging="71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grants received relating to capital expenditure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193" w:lineRule="exact"/>
        <w:rPr>
          <w:sz w:val="20"/>
          <w:szCs w:val="20"/>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Research and development credits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the operating expenditure to which the credits relate.</w:t>
      </w:r>
    </w:p>
    <w:p>
      <w:pPr>
        <w:spacing w:after="0" w:line="215" w:lineRule="exact"/>
        <w:rPr>
          <w:sz w:val="20"/>
          <w:szCs w:val="20"/>
          <w:color w:val="auto"/>
        </w:rPr>
      </w:pPr>
    </w:p>
    <w:p>
      <w:pPr>
        <w:ind w:left="740" w:hanging="68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operates, through a subsidiary, a defined benefit plan for certain of its United Kingdom employees. The Company accounts for the costs of this plan using actuarial models required by FASB ASC 715-30 and the plan is presented in accordance with the requirements of FASB ASC 715-60 </w:t>
      </w:r>
      <w:r>
        <w:rPr>
          <w:rFonts w:ascii="Arial" w:cs="Arial" w:eastAsia="Arial" w:hAnsi="Arial"/>
          <w:sz w:val="18"/>
          <w:szCs w:val="18"/>
          <w:i w:val="1"/>
          <w:iCs w:val="1"/>
          <w:color w:val="auto"/>
        </w:rPr>
        <w:t>Defined</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Plans – Other Postretirement</w:t>
      </w:r>
      <w:r>
        <w:rPr>
          <w:rFonts w:ascii="Arial" w:cs="Arial" w:eastAsia="Arial" w:hAnsi="Arial"/>
          <w:sz w:val="18"/>
          <w:szCs w:val="18"/>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5" w:name="page76"/>
    <w:bookmarkEnd w:id="75"/>
    <w:p>
      <w:pPr>
        <w:ind w:left="680" w:hanging="672"/>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income per ordinary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Weighted average number of ordinary shares outstanding for basic net income per ordinary share</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58,245,240</w:t>
            </w: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58,636,878</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59,718,934</w:t>
            </w:r>
          </w:p>
        </w:tc>
      </w:tr>
      <w:tr>
        <w:trPr>
          <w:trHeight w:val="223"/>
        </w:trPr>
        <w:tc>
          <w:tcPr>
            <w:tcW w:w="20" w:type="dxa"/>
            <w:vAlign w:val="bottom"/>
          </w:tcPr>
          <w:p>
            <w:pPr>
              <w:spacing w:after="0"/>
              <w:rPr>
                <w:sz w:val="19"/>
                <w:szCs w:val="19"/>
                <w:color w:val="auto"/>
              </w:rPr>
            </w:pPr>
          </w:p>
        </w:tc>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dilutive share options outstanding</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1,976,347</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1,263,626</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918,169</w:t>
            </w:r>
          </w:p>
        </w:tc>
      </w:tr>
      <w:tr>
        <w:trPr>
          <w:trHeight w:val="257"/>
        </w:trPr>
        <w:tc>
          <w:tcPr>
            <w:tcW w:w="20" w:type="dxa"/>
            <w:vAlign w:val="bottom"/>
          </w:tcPr>
          <w:p>
            <w:pPr>
              <w:spacing w:after="0"/>
              <w:rPr>
                <w:sz w:val="22"/>
                <w:szCs w:val="22"/>
                <w:color w:val="auto"/>
              </w:rPr>
            </w:pPr>
          </w:p>
        </w:tc>
        <w:tc>
          <w:tcPr>
            <w:tcW w:w="7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4"/>
              </w:rPr>
              <w:t>Weighted average number of ordinary shares outstanding for diluted net income per ordinary share</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60,221,587</w:t>
            </w:r>
          </w:p>
        </w:tc>
        <w:tc>
          <w:tcPr>
            <w:tcW w:w="15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59,900,504</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60,637,103</w:t>
            </w:r>
          </w:p>
        </w:tc>
      </w:tr>
      <w:tr>
        <w:trPr>
          <w:trHeight w:val="453"/>
        </w:trPr>
        <w:tc>
          <w:tcPr>
            <w:tcW w:w="2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(u)</w:t>
            </w:r>
          </w:p>
        </w:tc>
        <w:tc>
          <w:tcPr>
            <w:tcW w:w="69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accounts for its share options in accordance with the provisions of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Share-based compensation expense for equity-settled awards made to employees and directors is measured and recognized based on estimated grant date fair values. These awards include employee stock options.</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Share-based compensation expense for stock options awarded to employees and directors is estimated at the grant date based on each option’s fair value as calculated using the Black-Scholes option-pricing model. The value of awards expected to vest is recognized as an expense over the requisite service periods.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Estimating the fair value of share-based awards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08" w:lineRule="exact"/>
        <w:rPr>
          <w:sz w:val="20"/>
          <w:szCs w:val="20"/>
          <w:color w:val="auto"/>
        </w:rPr>
      </w:pPr>
    </w:p>
    <w:p>
      <w:pPr>
        <w:ind w:left="720" w:hanging="712"/>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215" w:lineRule="exact"/>
        <w:rPr>
          <w:sz w:val="20"/>
          <w:szCs w:val="20"/>
          <w:color w:val="auto"/>
        </w:rPr>
      </w:pPr>
    </w:p>
    <w:p>
      <w:pPr>
        <w:ind w:left="800" w:hanging="74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Reclassifications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consolidated financial statements have been reclassified where necessary to conform to the current year presentation.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3. Short term investments - available for sale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actively manages its available cash resources to try to ensure optimum returns. During the year ended December 31, 2010 the Company reinvested its investment portfolio in cash and cash equivalents. The Company had previously classified its investment portfolio as available for sale. The investments were reported at fair value, with unrealized gains or losses reported in a separate component of shareholders’ equity. During the years ended December 31, 2008, December 31, 2009 and December 31, 2010, no unrealized gains or losses arose. Any differences between the cost and fair value of the investments were represented by accrued interest.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4. Goodwill</w:t>
            </w:r>
          </w:p>
        </w:tc>
        <w:tc>
          <w:tcPr>
            <w:tcW w:w="3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1"/>
        </w:trPr>
        <w:tc>
          <w:tcPr>
            <w:tcW w:w="5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54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54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Opening Goodwill</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169,344</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173,568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34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1,584</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3,505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3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r>
      <w:tr>
        <w:trPr>
          <w:trHeight w:val="223"/>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3,476</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r>
      <w:tr>
        <w:trPr>
          <w:trHeight w:val="473"/>
        </w:trPr>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Goodwill</w:t>
            </w:r>
          </w:p>
        </w:tc>
        <w:tc>
          <w:tcPr>
            <w:tcW w:w="3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173,568</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175,860</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The Company tests goodwill annually for any impairments or whenever events occur which may indicate impairment. The results of the Company’s goodwill impairment testing during the year ended December 31, 2010 indicated the existence of sufficient headroom such that a reasonably possible change to the key assumptions used would be unlikely to result in an impairment of the related goodwill.</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 Acquisition of Timaq Medical Imaging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17, 2010 the Company acquired Timaq Medical Imaging (“Timaq”), a European provider of advanced imaging services to the pharmaceutical and biotechnology industry, located in Zurich, Switzerland for an initial cash consideration of CHF 1.3 million ($1.2 million). Certain performance milestones were built into the acquisition agreement requiring potential additional consideration of up to CHF 2.9 million ($3.1 million) if these milestones are achieved during the years ended December 31, 2010 to December 31, 2013. On December 31, 2010 CHF 0.3 million ($0.3 million) was paid to the former shareholders in respect of certain milestones for the year ended December 31, 2010. CHF 2.6 million ($2.7 million) has been accrued in relation to the remaining milestones at December 31, 2010.</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Timaq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May 17</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Goodwill</w:t>
            </w:r>
          </w:p>
        </w:tc>
        <w:tc>
          <w:tcPr>
            <w:tcW w:w="4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3,505</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current assets</w:t>
            </w:r>
          </w:p>
        </w:tc>
        <w:tc>
          <w:tcPr>
            <w:tcW w:w="4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23"/>
        </w:trPr>
        <w:tc>
          <w:tcPr>
            <w:tcW w:w="20" w:type="dxa"/>
            <w:vAlign w:val="bottom"/>
          </w:tcPr>
          <w:p>
            <w:pPr>
              <w:spacing w:after="0"/>
              <w:rPr>
                <w:sz w:val="19"/>
                <w:szCs w:val="19"/>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4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3,823</w:t>
            </w:r>
          </w:p>
        </w:tc>
      </w:tr>
      <w:tr>
        <w:trPr>
          <w:trHeight w:val="21"/>
        </w:trPr>
        <w:tc>
          <w:tcPr>
            <w:tcW w:w="2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advanced imaging services to pharmaceutical and biotechnology customers in the European market.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The proforma effect of the Timaq Medical Imaging acquisition if completed on January 1, 2009 would have resulted in net revenue, net income and earnings per share for the fiscal years ended December 31, 2009 and December 31, 2010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2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53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88"/>
              </w:rPr>
              <w:t>(in thousands)</w:t>
            </w:r>
          </w:p>
        </w:tc>
        <w:tc>
          <w:tcPr>
            <w:tcW w:w="76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888,929</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900,370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37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93,332</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86,594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23"/>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 Prior Period Acquisitions - Acquisition of Qualia Clinical Services Inc. and Veeda Laboratories Ltd.</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 2009 the Company completed the acquisitions of Qualia Clinical Services, Inc, a provider of Phase I clinical trial services, located in Omaha, Nebraska and Veeda Laboratories Limited, a specialist provider of biomarker laboratory services, located in Oxford, United Kingdom, neither of which were considered individually significant. In aggregate, the total purchase price for these acquisitions was approximately $2.2 million. The excess of the consideration paid over the carrying value of the assets acquired of $0.6 million, has been recorded as goodwill of $1.6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acquisitions of Qualia Clinical Services Inc. and Veeda Laboratories Ltd. have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which is effective for all acquisitions which have taken place since January 1, 2009</w:t>
      </w:r>
      <w:r>
        <w:rPr>
          <w:rFonts w:ascii="Arial" w:cs="Arial" w:eastAsia="Arial" w:hAnsi="Arial"/>
          <w:sz w:val="18"/>
          <w:szCs w:val="18"/>
          <w:i w:val="1"/>
          <w:iCs w:val="1"/>
          <w:color w:val="auto"/>
        </w:rPr>
        <w:t>.</w:t>
      </w:r>
      <w:r>
        <w:rPr>
          <w:rFonts w:ascii="Arial" w:cs="Arial" w:eastAsia="Arial" w:hAnsi="Arial"/>
          <w:sz w:val="18"/>
          <w:szCs w:val="18"/>
          <w:color w:val="auto"/>
        </w:rPr>
        <w:t xml:space="preserve"> The following table summarizes the fair values of the assets acquired and the liabilities assumed.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Intangible assets</w:t>
            </w:r>
          </w:p>
        </w:tc>
        <w:tc>
          <w:tcPr>
            <w:tcW w:w="4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1,584</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w:t>
            </w:r>
          </w:p>
        </w:tc>
        <w:tc>
          <w:tcPr>
            <w:tcW w:w="4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Current liabilities</w:t>
            </w:r>
          </w:p>
        </w:tc>
        <w:tc>
          <w:tcPr>
            <w:tcW w:w="4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57"/>
        </w:trPr>
        <w:tc>
          <w:tcPr>
            <w:tcW w:w="20" w:type="dxa"/>
            <w:vAlign w:val="bottom"/>
          </w:tcPr>
          <w:p>
            <w:pPr>
              <w:spacing w:after="0"/>
              <w:rPr>
                <w:sz w:val="22"/>
                <w:szCs w:val="22"/>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current liabilities</w:t>
            </w:r>
          </w:p>
        </w:tc>
        <w:tc>
          <w:tcPr>
            <w:tcW w:w="4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2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4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2,214</w:t>
            </w:r>
          </w:p>
        </w:tc>
      </w:tr>
      <w:tr>
        <w:trPr>
          <w:trHeight w:val="21"/>
        </w:trPr>
        <w:tc>
          <w:tcPr>
            <w:tcW w:w="2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and biomarker laboratory services to pharmaceutical and biotechnology companies.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proforma effect of the Qualia Clinical Services Inc. and Veeda Laboratories Ltd. acquisitions if completed on January 1, 2008 would have resulted in net revenue, net income and earnings per share for the years ended December 31, 2008 and December 31, 2009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5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52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234"/>
        </w:trPr>
        <w:tc>
          <w:tcPr>
            <w:tcW w:w="37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5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88"/>
              </w:rPr>
              <w:t>(in thousands)</w:t>
            </w:r>
          </w:p>
        </w:tc>
        <w:tc>
          <w:tcPr>
            <w:tcW w:w="76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866,763</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888,048</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5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77,839</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93,887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23"/>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5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r>
      <w:tr>
        <w:trPr>
          <w:trHeight w:val="608"/>
        </w:trPr>
        <w:tc>
          <w:tcPr>
            <w:tcW w:w="3760" w:type="dxa"/>
            <w:vAlign w:val="bottom"/>
          </w:tcPr>
          <w:p>
            <w:pPr>
              <w:spacing w:after="0"/>
              <w:rPr>
                <w:sz w:val="24"/>
                <w:szCs w:val="24"/>
                <w:color w:val="auto"/>
              </w:rPr>
            </w:pPr>
          </w:p>
        </w:tc>
        <w:tc>
          <w:tcPr>
            <w:tcW w:w="5380" w:type="dxa"/>
            <w:vAlign w:val="bottom"/>
          </w:tcPr>
          <w:p>
            <w:pPr>
              <w:jc w:val="right"/>
              <w:ind w:right="3250"/>
              <w:spacing w:after="0"/>
              <w:rPr>
                <w:sz w:val="20"/>
                <w:szCs w:val="20"/>
                <w:color w:val="auto"/>
              </w:rPr>
            </w:pPr>
            <w:r>
              <w:rPr>
                <w:rFonts w:ascii="Arial" w:cs="Arial" w:eastAsia="Arial" w:hAnsi="Arial"/>
                <w:sz w:val="18"/>
                <w:szCs w:val="18"/>
                <w:color w:val="auto"/>
              </w:rPr>
              <w:t>76</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8"/>
        </w:trPr>
        <w:tc>
          <w:tcPr>
            <w:tcW w:w="3760" w:type="dxa"/>
            <w:vAlign w:val="bottom"/>
            <w:tcBorders>
              <w:bottom w:val="single" w:sz="8" w:color="808080"/>
            </w:tcBorders>
          </w:tcPr>
          <w:p>
            <w:pPr>
              <w:spacing w:after="0"/>
              <w:rPr>
                <w:sz w:val="10"/>
                <w:szCs w:val="10"/>
                <w:color w:val="auto"/>
              </w:rPr>
            </w:pPr>
          </w:p>
        </w:tc>
        <w:tc>
          <w:tcPr>
            <w:tcW w:w="5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(c) Prior Period Acquisitions - Acquisition of Healthcare Discoveries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$11.1 million, excluding costs of acquisition. Healthcare Discoveries, located in San Antonio, Texas, is engaged in the provision of Phase I clinical trial services. Certain performance milestones were built into the acquisition agreement requiring payment of additional consideration of up to $10.0 million if these milestones were achieved during the year ended December 31, 2008. On September 3, 2010 $2.2 million was paid to the former shareholders of Healthcare Discoveries Inc. in full and final settlement of the outstanding consideration payable.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Healthcare Discoveries has been accounted for as a business combination in accordance with FASB Statement No. 141. The following table summarizes the fair values of the assets acquired and the liabilities assumed at the date of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February, 11</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Intangible assets</w:t>
            </w:r>
          </w:p>
        </w:tc>
        <w:tc>
          <w:tcPr>
            <w:tcW w:w="4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2,890</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12,424</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w:t>
            </w:r>
          </w:p>
        </w:tc>
        <w:tc>
          <w:tcPr>
            <w:tcW w:w="4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23"/>
        </w:trPr>
        <w:tc>
          <w:tcPr>
            <w:tcW w:w="20" w:type="dxa"/>
            <w:vAlign w:val="bottom"/>
          </w:tcPr>
          <w:p>
            <w:pPr>
              <w:spacing w:after="0"/>
              <w:rPr>
                <w:sz w:val="19"/>
                <w:szCs w:val="19"/>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liabilities</w:t>
            </w:r>
          </w:p>
        </w:tc>
        <w:tc>
          <w:tcPr>
            <w:tcW w:w="4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r>
      <w:tr>
        <w:trPr>
          <w:trHeight w:val="257"/>
        </w:trPr>
        <w:tc>
          <w:tcPr>
            <w:tcW w:w="20" w:type="dxa"/>
            <w:vAlign w:val="bottom"/>
          </w:tcPr>
          <w:p>
            <w:pPr>
              <w:spacing w:after="0"/>
              <w:rPr>
                <w:sz w:val="22"/>
                <w:szCs w:val="22"/>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4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14,270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Acquisition of Prevalere Life Sciences Inc.</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14, 2008 the Company acquired 100% of the common stock of Prevalere Life Sciences Inc. (“Prevalere”), for an initial cash consideration of $37.6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were achieved during the years ended December 31, 2008 and December 31, 2009. On April 30, 2009 $5.0 million was paid in respect of the milestones for the year ended December 31, 2008. At December 31, 2009 no amounts were accrued in respect of the potential additional consideration, as the milestones were not achieved.</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Prevalere has been accounted for as a business combination in accordance with FASB Statement No. 141. The following table summarizes the fair values of the assets acquired and the liabilities assumed at the date of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Novemeber</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2,614</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Intangible assets</w:t>
            </w:r>
          </w:p>
        </w:tc>
        <w:tc>
          <w:tcPr>
            <w:tcW w:w="4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7,375</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29,244</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w:t>
            </w:r>
          </w:p>
        </w:tc>
        <w:tc>
          <w:tcPr>
            <w:tcW w:w="4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6,504</w:t>
            </w:r>
          </w:p>
        </w:tc>
      </w:tr>
      <w:tr>
        <w:trPr>
          <w:trHeight w:val="223"/>
        </w:trPr>
        <w:tc>
          <w:tcPr>
            <w:tcW w:w="20" w:type="dxa"/>
            <w:vAlign w:val="bottom"/>
          </w:tcPr>
          <w:p>
            <w:pPr>
              <w:spacing w:after="0"/>
              <w:rPr>
                <w:sz w:val="19"/>
                <w:szCs w:val="19"/>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liabilities</w:t>
            </w:r>
          </w:p>
        </w:tc>
        <w:tc>
          <w:tcPr>
            <w:tcW w:w="4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r>
      <w:tr>
        <w:trPr>
          <w:trHeight w:val="257"/>
        </w:trPr>
        <w:tc>
          <w:tcPr>
            <w:tcW w:w="20" w:type="dxa"/>
            <w:vAlign w:val="bottom"/>
          </w:tcPr>
          <w:p>
            <w:pPr>
              <w:spacing w:after="0"/>
              <w:rPr>
                <w:sz w:val="22"/>
                <w:szCs w:val="22"/>
                <w:color w:val="auto"/>
              </w:rPr>
            </w:pPr>
          </w:p>
        </w:tc>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4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43,430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bioanalytical and immunoassay services to pharmaceutical and biotechnology companies and allows the Company to participate in a growing market for these services.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(e) Acquisition of remaining 30% interest in Beacon Biosciences Inc.</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were achieved during the year ended December 31, 2009. At December 31, 2009 no amounts were accrued in respect of the additional consideration payable as these milestones were not achieved.</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acquisition of Beacon has been accounted for as a business combination in accordance with FASB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 The following table summarizes the fair values of the assets acquired and the liabilities assumed at the date of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7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Intangible assets</w:t>
            </w:r>
          </w:p>
        </w:tc>
        <w:tc>
          <w:tcPr>
            <w:tcW w:w="66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1,710</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14,569</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w:t>
            </w:r>
          </w:p>
        </w:tc>
        <w:tc>
          <w:tcPr>
            <w:tcW w:w="66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6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liabilities</w:t>
            </w:r>
          </w:p>
        </w:tc>
        <w:tc>
          <w:tcPr>
            <w:tcW w:w="6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(1,689)</w:t>
            </w:r>
          </w:p>
        </w:tc>
      </w:tr>
      <w:tr>
        <w:trPr>
          <w:trHeight w:val="223"/>
        </w:trPr>
        <w:tc>
          <w:tcPr>
            <w:tcW w:w="20" w:type="dxa"/>
            <w:vAlign w:val="bottom"/>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6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17,780</w:t>
            </w:r>
          </w:p>
        </w:tc>
      </w:tr>
      <w:tr>
        <w:trPr>
          <w:trHeight w:val="21"/>
        </w:trPr>
        <w:tc>
          <w:tcPr>
            <w:tcW w:w="2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640" w:type="dxa"/>
            <w:vAlign w:val="bottom"/>
          </w:tcPr>
          <w:p>
            <w:pPr>
              <w:jc w:val="right"/>
              <w:ind w:right="4650"/>
              <w:spacing w:after="0"/>
              <w:rPr>
                <w:sz w:val="20"/>
                <w:szCs w:val="20"/>
                <w:color w:val="auto"/>
              </w:rPr>
            </w:pPr>
            <w:r>
              <w:rPr>
                <w:rFonts w:ascii="Arial" w:cs="Arial" w:eastAsia="Arial" w:hAnsi="Arial"/>
                <w:sz w:val="18"/>
                <w:szCs w:val="18"/>
                <w:color w:val="auto"/>
              </w:rPr>
              <w:t>78</w:t>
            </w:r>
          </w:p>
        </w:tc>
        <w:tc>
          <w:tcPr>
            <w:tcW w:w="88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66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5. Intangible Assets</w:t>
            </w:r>
          </w:p>
        </w:tc>
        <w:tc>
          <w:tcPr>
            <w:tcW w:w="3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December 31,</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Cost</w:t>
            </w:r>
          </w:p>
        </w:tc>
        <w:tc>
          <w:tcPr>
            <w:tcW w:w="3320" w:type="dxa"/>
            <w:vAlign w:val="bottom"/>
          </w:tcPr>
          <w:p>
            <w:pPr>
              <w:spacing w:after="0"/>
              <w:rPr>
                <w:sz w:val="20"/>
                <w:szCs w:val="20"/>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acquired</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11,567</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12,337</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Volunteer list acquired</w:t>
            </w:r>
          </w:p>
        </w:tc>
        <w:tc>
          <w:tcPr>
            <w:tcW w:w="33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1,325</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1,325</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1,470</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14,439</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15,077</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(4,479)</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(6,933)</w:t>
            </w: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book value</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9,960</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8,278</w:t>
            </w:r>
          </w:p>
        </w:tc>
      </w:tr>
      <w:tr>
        <w:trPr>
          <w:trHeight w:val="21"/>
        </w:trPr>
        <w:tc>
          <w:tcPr>
            <w:tcW w:w="20" w:type="dxa"/>
            <w:vAlign w:val="bottom"/>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The value of certain client relationships identified of $0.8 million is being amortized over approximately 3 years, the estimated period of benefit. $160,000 has been amortized in the period since the date of acquisition.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2009 the Company completed the acquisitions of Qualia Clinical Services Inc, a US provider of Phase I clinical trial services and Veeda Laboratories Limited, a specialist provider of biomarker laboratory services. The value of certain client relationships identified of $0.4 million is being amortized over approximately 3 years, the estimated period of benefit. $210,000 has been amortized in the period since the date of acquisition.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2004 the Company acquired 70% of the common stock of Beacon Biosciences Inc, a US provider of advanced imaging services. On December 31, 2008 the remaining 30% of the common stock was acquired by the Company. The value of certain customer relationships and order backlog identified of $0.2 million and $1.5 million respectively are being amortized over approximately 3 years, the estimated period of benefit. $1,151,000 has been amortized in the period since the date of acquisition.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11, 2008 the Company acquired Healthcare Discoveries, a US provider of Phase I clinical trial services. The value of certain client relationships identified of $1.6 million is being amortized over periods ranging from approximately 2 to 9 years, the estimated periods of benefit. The value of certain volunteer lists identified of $1.3 million is being amortized over approximately 6 years, the estimated period of benefit. $1,571,000 has been amortized in the period since the date of acquisition.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14, 2008 the Company acquired Prevalere Life Sciences, a US provider of bioanalytical and immunoassay laboratory services. The value of certain customer relationships identified of $7.4 million is being amortized over periods ranging from approximately 7 to 11 years, the estimated period of the benefit. $1,717,000 has been amortized in the period since the date of acquisition.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12, 2007 the Company acquired DOCS International, a European based clinical research staffing organization. The value of certain customer relationships identified of $2.1 million were amortized over approximately 3 years, the estimated period of the benefit.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tcPr>
          <w:p>
            <w:pPr>
              <w:spacing w:after="0"/>
              <w:rPr>
                <w:sz w:val="20"/>
                <w:szCs w:val="20"/>
                <w:color w:val="auto"/>
              </w:rPr>
            </w:pPr>
            <w:r>
              <w:rPr>
                <w:rFonts w:ascii="Arial" w:cs="Arial" w:eastAsia="Arial" w:hAnsi="Arial"/>
                <w:sz w:val="18"/>
                <w:szCs w:val="18"/>
                <w:color w:val="auto"/>
                <w:w w:val="97"/>
              </w:rPr>
              <w:t>Future intangible asset amortization expense for the years ended December 31, 2011 to December 31, 2015 is as follows:</w:t>
            </w:r>
          </w:p>
        </w:tc>
        <w:tc>
          <w:tcPr>
            <w:tcW w:w="820" w:type="dxa"/>
            <w:vAlign w:val="bottom"/>
          </w:tcPr>
          <w:p>
            <w:pPr>
              <w:spacing w:after="0"/>
              <w:rPr>
                <w:sz w:val="20"/>
                <w:szCs w:val="20"/>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98"/>
        </w:trPr>
        <w:tc>
          <w:tcPr>
            <w:tcW w:w="9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9460" w:type="dxa"/>
            <w:vAlign w:val="bottom"/>
          </w:tcPr>
          <w:p>
            <w:pPr>
              <w:spacing w:after="0"/>
              <w:rPr>
                <w:sz w:val="20"/>
                <w:szCs w:val="20"/>
                <w:color w:val="auto"/>
              </w:rPr>
            </w:pPr>
          </w:p>
        </w:tc>
        <w:tc>
          <w:tcPr>
            <w:tcW w:w="1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2012</w:t>
            </w:r>
          </w:p>
        </w:tc>
        <w:tc>
          <w:tcPr>
            <w:tcW w:w="8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2014</w:t>
            </w:r>
          </w:p>
        </w:tc>
        <w:tc>
          <w:tcPr>
            <w:tcW w:w="8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3"/>
        </w:trPr>
        <w:tc>
          <w:tcPr>
            <w:tcW w:w="9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8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3"/>
        </w:trPr>
        <w:tc>
          <w:tcPr>
            <w:tcW w:w="9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608"/>
        </w:trPr>
        <w:tc>
          <w:tcPr>
            <w:tcW w:w="9460" w:type="dxa"/>
            <w:vAlign w:val="bottom"/>
          </w:tcPr>
          <w:p>
            <w:pPr>
              <w:ind w:left="5620"/>
              <w:spacing w:after="0"/>
              <w:rPr>
                <w:sz w:val="20"/>
                <w:szCs w:val="20"/>
                <w:color w:val="auto"/>
              </w:rPr>
            </w:pPr>
            <w:r>
              <w:rPr>
                <w:rFonts w:ascii="Arial" w:cs="Arial" w:eastAsia="Arial" w:hAnsi="Arial"/>
                <w:sz w:val="18"/>
                <w:szCs w:val="18"/>
                <w:color w:val="auto"/>
              </w:rPr>
              <w:t>79</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2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270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3,671</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Building</w:t>
            </w: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100,758</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138,570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57,866</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29,769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5,951</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336,658</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354,019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asset write off</w:t>
            </w:r>
          </w:p>
        </w:tc>
        <w:tc>
          <w:tcPr>
            <w:tcW w:w="2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(157,669)</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178,989</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170,861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Total cost at December 31, 2010 includes $825,000 (2009: $907,000) which relates to assets held under capital finance leases. Related accumulated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amounted to $518,000 (2009: $357,000).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7. Other Liabilities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1"/>
        </w:trPr>
        <w:tc>
          <w:tcPr>
            <w:tcW w:w="45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45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45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60,441</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54,983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Facility related liabilities</w:t>
            </w:r>
          </w:p>
        </w:tc>
        <w:tc>
          <w:tcPr>
            <w:tcW w:w="4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13,540</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11,666</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liabilities</w:t>
            </w:r>
          </w:p>
        </w:tc>
        <w:tc>
          <w:tcPr>
            <w:tcW w:w="4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35,459</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liabilities</w:t>
            </w:r>
          </w:p>
        </w:tc>
        <w:tc>
          <w:tcPr>
            <w:tcW w:w="4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6,233</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5,202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Short term government grants</w:t>
            </w:r>
          </w:p>
        </w:tc>
        <w:tc>
          <w:tcPr>
            <w:tcW w:w="4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Short term finance leases (note 15)</w:t>
            </w:r>
          </w:p>
        </w:tc>
        <w:tc>
          <w:tcPr>
            <w:tcW w:w="4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pension obligations, net (note 8)</w:t>
            </w:r>
          </w:p>
        </w:tc>
        <w:tc>
          <w:tcPr>
            <w:tcW w:w="4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Restructuring provisions (note 13)</w:t>
            </w:r>
          </w:p>
        </w:tc>
        <w:tc>
          <w:tcPr>
            <w:tcW w:w="4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3,396</w:t>
            </w:r>
          </w:p>
        </w:tc>
        <w:tc>
          <w:tcPr>
            <w:tcW w:w="6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23"/>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consideration payable</w:t>
            </w:r>
          </w:p>
        </w:tc>
        <w:tc>
          <w:tcPr>
            <w:tcW w:w="4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2,712</w:t>
            </w:r>
          </w:p>
        </w:tc>
      </w:tr>
      <w:tr>
        <w:trPr>
          <w:trHeight w:val="216"/>
        </w:trPr>
        <w:tc>
          <w:tcPr>
            <w:tcW w:w="45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7"/>
        </w:trPr>
        <w:tc>
          <w:tcPr>
            <w:tcW w:w="4560" w:type="dxa"/>
            <w:vAlign w:val="bottom"/>
            <w:tcBorders>
              <w:bottom w:val="single" w:sz="8" w:color="auto"/>
            </w:tcBorders>
            <w:shd w:val="clear" w:color="auto" w:fill="CCEEFF"/>
          </w:tcPr>
          <w:p>
            <w:pPr>
              <w:spacing w:after="0"/>
              <w:rPr>
                <w:sz w:val="22"/>
                <w:szCs w:val="22"/>
                <w:color w:val="auto"/>
              </w:rPr>
            </w:pPr>
          </w:p>
        </w:tc>
        <w:tc>
          <w:tcPr>
            <w:tcW w:w="4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119,666</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100,182</w:t>
            </w:r>
          </w:p>
        </w:tc>
      </w:tr>
      <w:tr>
        <w:trPr>
          <w:trHeight w:val="574"/>
        </w:trPr>
        <w:tc>
          <w:tcPr>
            <w:tcW w:w="4560" w:type="dxa"/>
            <w:vAlign w:val="bottom"/>
          </w:tcPr>
          <w:p>
            <w:pPr>
              <w:spacing w:after="0"/>
              <w:rPr>
                <w:sz w:val="24"/>
                <w:szCs w:val="24"/>
                <w:color w:val="auto"/>
              </w:rPr>
            </w:pPr>
          </w:p>
        </w:tc>
        <w:tc>
          <w:tcPr>
            <w:tcW w:w="4340" w:type="dxa"/>
            <w:vAlign w:val="bottom"/>
          </w:tcPr>
          <w:p>
            <w:pPr>
              <w:jc w:val="right"/>
              <w:ind w:right="3010"/>
              <w:spacing w:after="0"/>
              <w:rPr>
                <w:sz w:val="20"/>
                <w:szCs w:val="20"/>
                <w:color w:val="auto"/>
              </w:rPr>
            </w:pPr>
            <w:r>
              <w:rPr>
                <w:rFonts w:ascii="Arial" w:cs="Arial" w:eastAsia="Arial" w:hAnsi="Arial"/>
                <w:sz w:val="18"/>
                <w:szCs w:val="18"/>
                <w:color w:val="auto"/>
              </w:rPr>
              <w:t>80</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8"/>
        </w:trPr>
        <w:tc>
          <w:tcPr>
            <w:tcW w:w="456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8. Employee Benefits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this plan are recorded, as an expense in the Consolidated Statement of Operations. Contributions for the years ended December 31, 2008, December 31, 2009 and December 31, 2010 were $10,372,000, $14,241,000 and $14,206,000 respectively.</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2008, December 31, 2009 and December 31, 2010 were $4,499,000, $5,189,000 and $6,603,000 respectively.</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One of the Company’s subsidiaries which was acquired during the 2003 fiscal year,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2008, December 31, 2009 and December 31, 2010, consist of units held in independently administered funds. The pension costs of this plan are presented in the following tables in accordance with the requirements of ASC 715-60, </w:t>
      </w:r>
      <w:r>
        <w:rPr>
          <w:rFonts w:ascii="Arial" w:cs="Arial" w:eastAsia="Arial" w:hAnsi="Arial"/>
          <w:sz w:val="17"/>
          <w:szCs w:val="17"/>
          <w:i w:val="1"/>
          <w:iCs w:val="1"/>
          <w:color w:val="auto"/>
        </w:rPr>
        <w:t>Defined Benefit Plans – Other Postretirement</w:t>
      </w:r>
      <w:r>
        <w:rPr>
          <w:rFonts w:ascii="Arial" w:cs="Arial" w:eastAsia="Arial" w:hAnsi="Arial"/>
          <w:sz w:val="17"/>
          <w:szCs w:val="17"/>
          <w:color w:val="auto"/>
        </w:rPr>
        <w:t>. The plan has been closed to new entrants with effect from July 1, 2003.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30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10,114</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13,686</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Service cost</w:t>
            </w:r>
          </w:p>
        </w:tc>
        <w:tc>
          <w:tcPr>
            <w:tcW w:w="30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182</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0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673</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30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0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Actuarial loss</w:t>
            </w:r>
          </w:p>
        </w:tc>
        <w:tc>
          <w:tcPr>
            <w:tcW w:w="30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2,079</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2,232</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30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3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1,149</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13,686</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28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10,392</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13,573</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8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2,200</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2,003</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432</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8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28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1,163</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13,573</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15,499</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the assets above do not include any of the Company’s own financial instruments, property occupied by, or other assets used by,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Funded status</w:t>
            </w:r>
          </w:p>
        </w:tc>
        <w:tc>
          <w:tcPr>
            <w:tcW w:w="34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3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13,573</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Components of net periodic benefit cost/(credit)</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4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1"/>
              </w:rPr>
              <w:t>(in thousands)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854</w:t>
            </w:r>
          </w:p>
        </w:tc>
        <w:tc>
          <w:tcPr>
            <w:tcW w:w="4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673</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746</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Plan curtailments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(871)</w:t>
            </w:r>
          </w:p>
        </w:tc>
        <w:tc>
          <w:tcPr>
            <w:tcW w:w="4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(gain)/loss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periodic benefit (credit)/cost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459"/>
        </w:trPr>
        <w:tc>
          <w:tcPr>
            <w:tcW w:w="7260" w:type="dxa"/>
            <w:vAlign w:val="bottom"/>
            <w:gridSpan w:val="2"/>
          </w:tcPr>
          <w:p>
            <w:pPr>
              <w:spacing w:after="0"/>
              <w:rPr>
                <w:sz w:val="20"/>
                <w:szCs w:val="20"/>
                <w:color w:val="auto"/>
              </w:rPr>
            </w:pPr>
            <w:r>
              <w:rPr>
                <w:rFonts w:ascii="Arial" w:cs="Arial" w:eastAsia="Arial" w:hAnsi="Arial"/>
                <w:sz w:val="18"/>
                <w:szCs w:val="18"/>
                <w:color w:val="auto"/>
                <w:w w:val="93"/>
              </w:rPr>
              <w:t>The following assumptions were used in determining the net periodic pension benefit cost/(credit):</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Year ended</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9"/>
              </w:rPr>
              <w:t>December 31,</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8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Expected rate of return on plan assets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441"/>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8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4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619</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Prior service costs recognized in other comprehensive income</w:t>
            </w:r>
          </w:p>
        </w:tc>
        <w:tc>
          <w:tcPr>
            <w:tcW w:w="2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Less actuarial loss recognized in net periodic benefit cost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costs recognized in net periodic benefit cost</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1,044</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642</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net gain and prior service cost for the defined benefit pension plan that will be amortized from accumulated other comprehensive income into net periodic benefit cost over the next year are $nil and $nil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income that has not yet been recognized as components of net periodic benefit cost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5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6"/>
              </w:rPr>
              <w:t>(in thousands)</w:t>
            </w: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4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60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80" w:type="dxa"/>
            <w:vAlign w:val="bottom"/>
          </w:tcPr>
          <w:p>
            <w:pPr>
              <w:jc w:val="right"/>
              <w:ind w:right="1650"/>
              <w:spacing w:after="0"/>
              <w:rPr>
                <w:sz w:val="20"/>
                <w:szCs w:val="20"/>
                <w:color w:val="auto"/>
              </w:rPr>
            </w:pPr>
            <w:r>
              <w:rPr>
                <w:rFonts w:ascii="Arial" w:cs="Arial" w:eastAsia="Arial" w:hAnsi="Arial"/>
                <w:sz w:val="18"/>
                <w:szCs w:val="18"/>
                <w:color w:val="auto"/>
              </w:rPr>
              <w:t>82</w:t>
            </w: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Benefit Obligation</w:t>
            </w:r>
          </w:p>
        </w:tc>
        <w:tc>
          <w:tcPr>
            <w:tcW w:w="46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5460" w:type="dxa"/>
            <w:vAlign w:val="bottom"/>
          </w:tcPr>
          <w:p>
            <w:pPr>
              <w:spacing w:after="0"/>
              <w:rPr>
                <w:sz w:val="20"/>
                <w:szCs w:val="20"/>
                <w:color w:val="auto"/>
              </w:rPr>
            </w:pPr>
            <w:r>
              <w:rPr>
                <w:rFonts w:ascii="Arial" w:cs="Arial" w:eastAsia="Arial" w:hAnsi="Arial"/>
                <w:sz w:val="18"/>
                <w:szCs w:val="18"/>
                <w:color w:val="auto"/>
                <w:w w:val="92"/>
              </w:rPr>
              <w:t>The following assumptions were used in determining the benefit obligation</w:t>
            </w:r>
          </w:p>
        </w:tc>
        <w:tc>
          <w:tcPr>
            <w:tcW w:w="4640" w:type="dxa"/>
            <w:vAlign w:val="bottom"/>
          </w:tcPr>
          <w:p>
            <w:pPr>
              <w:jc w:val="right"/>
              <w:ind w:right="2850"/>
              <w:spacing w:after="0"/>
              <w:rPr>
                <w:sz w:val="20"/>
                <w:szCs w:val="20"/>
                <w:color w:val="auto"/>
              </w:rPr>
            </w:pPr>
            <w:r>
              <w:rPr>
                <w:rFonts w:ascii="Arial" w:cs="Arial" w:eastAsia="Arial" w:hAnsi="Arial"/>
                <w:sz w:val="18"/>
                <w:szCs w:val="18"/>
                <w:color w:val="auto"/>
                <w:w w:val="91"/>
              </w:rPr>
              <w:t>at December 31, 2010:</w:t>
            </w:r>
          </w:p>
        </w:tc>
        <w:tc>
          <w:tcPr>
            <w:tcW w:w="1320" w:type="dxa"/>
            <w:vAlign w:val="bottom"/>
          </w:tcPr>
          <w:p>
            <w:pPr>
              <w:spacing w:after="0"/>
              <w:rPr>
                <w:sz w:val="24"/>
                <w:szCs w:val="24"/>
                <w:color w:val="auto"/>
              </w:rPr>
            </w:pPr>
          </w:p>
        </w:tc>
      </w:tr>
      <w:tr>
        <w:trPr>
          <w:trHeight w:val="441"/>
        </w:trPr>
        <w:tc>
          <w:tcPr>
            <w:tcW w:w="5460" w:type="dxa"/>
            <w:vAlign w:val="bottom"/>
          </w:tcPr>
          <w:p>
            <w:pPr>
              <w:spacing w:after="0"/>
              <w:rPr>
                <w:sz w:val="24"/>
                <w:szCs w:val="24"/>
                <w:color w:val="auto"/>
              </w:rPr>
            </w:pPr>
          </w:p>
        </w:tc>
        <w:tc>
          <w:tcPr>
            <w:tcW w:w="464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5460" w:type="dxa"/>
            <w:vAlign w:val="bottom"/>
          </w:tcPr>
          <w:p>
            <w:pPr>
              <w:spacing w:after="0"/>
              <w:rPr>
                <w:sz w:val="20"/>
                <w:szCs w:val="20"/>
                <w:color w:val="auto"/>
              </w:rPr>
            </w:pPr>
          </w:p>
        </w:tc>
        <w:tc>
          <w:tcPr>
            <w:tcW w:w="464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2010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46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is determined by reference to UK long dated government and corporate bond yields at the balance sheet date. This is represented by the iboxx AA 15 year plus return.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assets of the scheme are invested in the Legal and General Global Equity and Fixed Index Fund. The aim of this fund is to capture the returns on UK and overseas equity markets with a more even investment in UK and overseas equities than would be provided by reference to market capitalization or consensus weights.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expected long-term rate of return on assets at December 31, 2010 of 7.1% was calculated as the value of the fund after application of a market value reduction factor.</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December 31, 2010 UK gilts were yielding around 4.2% per annum. This is often referred to as the risk free rate of return as UK gilts have a negligible risk of default and the income payments and capital on redemption are guaranteed by the UK Government. The long-term expected return on equities has been determined by setting appropriate risk premiums above the yield on UK gilts. A long term equity “risk-premium” of 3.1% per annum has been assumed, this being the expected long-term out-performance of equities over UK gilts. The long-term expected return on bonds is determined by reference to UK long dated government and corporate bond yields at the balance sheet date. This is represented by the iboxx AA 15 year plus return.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The expected long term rates of return on different asset classes over the long term are as follows:</w:t>
            </w:r>
          </w:p>
        </w:tc>
        <w:tc>
          <w:tcPr>
            <w:tcW w:w="2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1"/>
        </w:trPr>
        <w:tc>
          <w:tcPr>
            <w:tcW w:w="7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Expected</w:t>
            </w:r>
          </w:p>
        </w:tc>
      </w:tr>
      <w:tr>
        <w:trPr>
          <w:trHeight w:val="216"/>
        </w:trPr>
        <w:tc>
          <w:tcPr>
            <w:tcW w:w="7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long-term</w:t>
            </w:r>
          </w:p>
        </w:tc>
      </w:tr>
      <w:tr>
        <w:trPr>
          <w:trHeight w:val="216"/>
        </w:trPr>
        <w:tc>
          <w:tcPr>
            <w:tcW w:w="794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216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return per</w:t>
            </w:r>
          </w:p>
        </w:tc>
      </w:tr>
      <w:tr>
        <w:trPr>
          <w:trHeight w:val="234"/>
        </w:trPr>
        <w:tc>
          <w:tcPr>
            <w:tcW w:w="79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annum</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Bonds</w:t>
            </w:r>
          </w:p>
        </w:tc>
        <w:tc>
          <w:tcPr>
            <w:tcW w:w="2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702"/>
        </w:trPr>
        <w:tc>
          <w:tcPr>
            <w:tcW w:w="7940" w:type="dxa"/>
            <w:vAlign w:val="bottom"/>
          </w:tcPr>
          <w:p>
            <w:pPr>
              <w:spacing w:after="0"/>
              <w:rPr>
                <w:sz w:val="20"/>
                <w:szCs w:val="20"/>
                <w:color w:val="auto"/>
              </w:rPr>
            </w:pPr>
            <w:r>
              <w:rPr>
                <w:rFonts w:ascii="Arial" w:cs="Arial" w:eastAsia="Arial" w:hAnsi="Arial"/>
                <w:sz w:val="18"/>
                <w:szCs w:val="18"/>
                <w:color w:val="auto"/>
              </w:rPr>
              <w:t>The underlying asset split of the fund is shown below.</w:t>
            </w: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1"/>
        </w:trPr>
        <w:tc>
          <w:tcPr>
            <w:tcW w:w="794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216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940" w:type="dxa"/>
            <w:vAlign w:val="bottom"/>
          </w:tcPr>
          <w:p>
            <w:pPr>
              <w:spacing w:after="0"/>
              <w:rPr>
                <w:sz w:val="20"/>
                <w:szCs w:val="20"/>
                <w:color w:val="auto"/>
              </w:rPr>
            </w:pPr>
          </w:p>
        </w:tc>
        <w:tc>
          <w:tcPr>
            <w:tcW w:w="216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2010</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Bonds</w:t>
            </w: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9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Applying the above expected long term rates of return to the asset distribution at December 31, 2010 gives rise to an expected overall rate of return of scheme assets of approximately 7.1% per annum.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9160" w:type="dxa"/>
            <w:vAlign w:val="bottom"/>
            <w:gridSpan w:val="5"/>
          </w:tcPr>
          <w:p>
            <w:pPr>
              <w:spacing w:after="0"/>
              <w:rPr>
                <w:sz w:val="20"/>
                <w:szCs w:val="20"/>
                <w:color w:val="auto"/>
              </w:rPr>
            </w:pPr>
            <w:r>
              <w:rPr>
                <w:rFonts w:ascii="Arial" w:cs="Arial" w:eastAsia="Arial" w:hAnsi="Arial"/>
                <w:sz w:val="18"/>
                <w:szCs w:val="18"/>
                <w:b w:val="1"/>
                <w:bCs w:val="1"/>
                <w:color w:val="auto"/>
              </w:rPr>
              <w:t>Plan Asset Fair Value Measurements</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Quoted Prices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Active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Markets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Identical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Equity Securities</w:t>
            </w:r>
          </w:p>
        </w:tc>
        <w:tc>
          <w:tcPr>
            <w:tcW w:w="8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Legal and General UK Equity Index</w:t>
            </w: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North America Equity Index</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Legal and General Europe (ex UK) Equity Index</w:t>
            </w: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Japan Equity Index</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Legal and General Asia Pac (ex Japan) Equity Index</w:t>
            </w: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40" w:type="dxa"/>
            <w:vAlign w:val="bottom"/>
            <w:gridSpan w:val="4"/>
          </w:tcPr>
          <w:p>
            <w:pPr>
              <w:spacing w:after="0" w:line="176" w:lineRule="exact"/>
              <w:rPr>
                <w:sz w:val="20"/>
                <w:szCs w:val="20"/>
                <w:color w:val="auto"/>
              </w:rPr>
            </w:pPr>
            <w:r>
              <w:rPr>
                <w:rFonts w:ascii="Arial" w:cs="Arial" w:eastAsia="Arial" w:hAnsi="Arial"/>
                <w:sz w:val="18"/>
                <w:szCs w:val="18"/>
                <w:color w:val="auto"/>
              </w:rPr>
              <w:t>Fixed Income Securities</w:t>
            </w: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and General over 15 year Gilts Index</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Legal and General AAA-AA-A Bonds Over 15 year Index</w:t>
            </w: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Legal and General over 5 year Index-Linked Gilts Index</w:t>
            </w:r>
          </w:p>
        </w:tc>
        <w:tc>
          <w:tcPr>
            <w:tcW w:w="8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459"/>
        </w:trPr>
        <w:tc>
          <w:tcPr>
            <w:tcW w:w="9160" w:type="dxa"/>
            <w:vAlign w:val="bottom"/>
            <w:gridSpan w:val="5"/>
          </w:tcPr>
          <w:p>
            <w:pPr>
              <w:spacing w:after="0"/>
              <w:rPr>
                <w:sz w:val="20"/>
                <w:szCs w:val="20"/>
                <w:color w:val="auto"/>
              </w:rPr>
            </w:pPr>
            <w:r>
              <w:rPr>
                <w:rFonts w:ascii="Arial" w:cs="Arial" w:eastAsia="Arial" w:hAnsi="Arial"/>
                <w:sz w:val="18"/>
                <w:szCs w:val="18"/>
                <w:b w:val="1"/>
                <w:bCs w:val="1"/>
                <w:color w:val="auto"/>
              </w:rPr>
              <w:t>Cash Flows</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160" w:type="dxa"/>
            <w:vAlign w:val="bottom"/>
            <w:gridSpan w:val="5"/>
          </w:tcPr>
          <w:p>
            <w:pPr>
              <w:spacing w:after="0"/>
              <w:rPr>
                <w:sz w:val="20"/>
                <w:szCs w:val="20"/>
                <w:color w:val="auto"/>
              </w:rPr>
            </w:pPr>
            <w:r>
              <w:rPr>
                <w:rFonts w:ascii="Arial" w:cs="Arial" w:eastAsia="Arial" w:hAnsi="Arial"/>
                <w:sz w:val="18"/>
                <w:szCs w:val="18"/>
                <w:color w:val="auto"/>
              </w:rPr>
              <w:t>The Company expects to contribute $0.3 million to its pension fund in the year ending December 31, 2011.</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160" w:type="dxa"/>
            <w:vAlign w:val="bottom"/>
            <w:gridSpan w:val="5"/>
          </w:tcPr>
          <w:p>
            <w:pPr>
              <w:spacing w:after="0"/>
              <w:rPr>
                <w:sz w:val="20"/>
                <w:szCs w:val="20"/>
                <w:color w:val="auto"/>
              </w:rPr>
            </w:pPr>
            <w:r>
              <w:rPr>
                <w:rFonts w:ascii="Arial" w:cs="Arial" w:eastAsia="Arial" w:hAnsi="Arial"/>
                <w:sz w:val="18"/>
                <w:szCs w:val="18"/>
                <w:color w:val="auto"/>
                <w:w w:val="97"/>
              </w:rPr>
              <w:t>The following annual benefit payments, which reflect expected future service, as appropriate, are expected to be paid.</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2011</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2012</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2013</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2014</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2015</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4"/>
          </w:tcPr>
          <w:p>
            <w:pPr>
              <w:spacing w:after="0"/>
              <w:rPr>
                <w:sz w:val="20"/>
                <w:szCs w:val="20"/>
                <w:color w:val="auto"/>
              </w:rPr>
            </w:pPr>
            <w:r>
              <w:rPr>
                <w:rFonts w:ascii="Arial" w:cs="Arial" w:eastAsia="Arial" w:hAnsi="Arial"/>
                <w:sz w:val="18"/>
                <w:szCs w:val="18"/>
                <w:color w:val="auto"/>
              </w:rPr>
              <w:t>Years 2016 - 2020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9. Share Options and Stock Compensation Charges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option granted under the 2008 Employees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and Organization Committee of the Board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No options can be granted after January 17, 2013.</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2010 is eight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2008, December 31, 2009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580" w:type="dxa"/>
            <w:vAlign w:val="bottom"/>
          </w:tcPr>
          <w:p>
            <w:pPr>
              <w:jc w:val="right"/>
              <w:ind w:right="390"/>
              <w:spacing w:after="0"/>
              <w:rPr>
                <w:sz w:val="20"/>
                <w:szCs w:val="20"/>
                <w:color w:val="auto"/>
              </w:rPr>
            </w:pPr>
            <w:r>
              <w:rPr>
                <w:rFonts w:ascii="Arial" w:cs="Arial" w:eastAsia="Arial" w:hAnsi="Arial"/>
                <w:sz w:val="18"/>
                <w:szCs w:val="18"/>
                <w:b w:val="1"/>
                <w:bCs w:val="1"/>
                <w:color w:val="auto"/>
              </w:rPr>
              <w:t>Options Granted</w:t>
            </w: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4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Grant Date</w:t>
            </w:r>
          </w:p>
        </w:tc>
      </w:tr>
      <w:tr>
        <w:trPr>
          <w:trHeight w:val="241"/>
        </w:trPr>
        <w:tc>
          <w:tcPr>
            <w:tcW w:w="2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Under Plans *</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Shares *</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Exercise Price *</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Fair Value *</w:t>
            </w:r>
          </w:p>
        </w:tc>
      </w:tr>
      <w:tr>
        <w:trPr>
          <w:trHeight w:val="257"/>
        </w:trPr>
        <w:tc>
          <w:tcPr>
            <w:tcW w:w="20" w:type="dxa"/>
            <w:vAlign w:val="bottom"/>
          </w:tcPr>
          <w:p>
            <w:pPr>
              <w:spacing w:after="0"/>
              <w:rPr>
                <w:sz w:val="22"/>
                <w:szCs w:val="22"/>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2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4,976,126</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4,976,126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2580" w:type="dxa"/>
            <w:vAlign w:val="bottom"/>
          </w:tcPr>
          <w:p>
            <w:pPr>
              <w:jc w:val="right"/>
              <w:ind w:right="390"/>
              <w:spacing w:after="0"/>
              <w:rPr>
                <w:sz w:val="20"/>
                <w:szCs w:val="20"/>
                <w:color w:val="auto"/>
              </w:rPr>
            </w:pPr>
            <w:r>
              <w:rPr>
                <w:rFonts w:ascii="Arial" w:cs="Arial" w:eastAsia="Arial" w:hAnsi="Arial"/>
                <w:sz w:val="18"/>
                <w:szCs w:val="18"/>
                <w:color w:val="auto"/>
              </w:rPr>
              <w:t>1,282,190</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1,282,190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12.85</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(847,707)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(188,346)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r>
      <w:tr>
        <w:trPr>
          <w:trHeight w:val="21"/>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2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5,222,263</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5,222,263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2580" w:type="dxa"/>
            <w:vAlign w:val="bottom"/>
          </w:tcPr>
          <w:p>
            <w:pPr>
              <w:jc w:val="right"/>
              <w:ind w:right="390"/>
              <w:spacing w:after="0"/>
              <w:rPr>
                <w:sz w:val="20"/>
                <w:szCs w:val="20"/>
                <w:color w:val="auto"/>
              </w:rPr>
            </w:pPr>
            <w:r>
              <w:rPr>
                <w:rFonts w:ascii="Arial" w:cs="Arial" w:eastAsia="Arial" w:hAnsi="Arial"/>
                <w:sz w:val="18"/>
                <w:szCs w:val="18"/>
                <w:color w:val="auto"/>
              </w:rPr>
              <w:t>932,133</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932,133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21.54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8.47</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(489,370)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(256,804)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10.09</w:t>
            </w:r>
          </w:p>
        </w:tc>
      </w:tr>
      <w:tr>
        <w:trPr>
          <w:trHeight w:val="21"/>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2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5,408,222</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5,408,222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2580" w:type="dxa"/>
            <w:vAlign w:val="bottom"/>
          </w:tcPr>
          <w:p>
            <w:pPr>
              <w:jc w:val="right"/>
              <w:ind w:right="390"/>
              <w:spacing w:after="0"/>
              <w:rPr>
                <w:sz w:val="20"/>
                <w:szCs w:val="20"/>
                <w:color w:val="auto"/>
              </w:rPr>
            </w:pPr>
            <w:r>
              <w:rPr>
                <w:rFonts w:ascii="Arial" w:cs="Arial" w:eastAsia="Arial" w:hAnsi="Arial"/>
                <w:sz w:val="18"/>
                <w:szCs w:val="18"/>
                <w:color w:val="auto"/>
              </w:rPr>
              <w:t>1,038,327</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1,038,327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24.34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9.08</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(1,237,015)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(410,857)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w:t>
            </w:r>
          </w:p>
        </w:tc>
      </w:tr>
      <w:tr>
        <w:trPr>
          <w:trHeight w:val="21"/>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2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4,798,677</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4,798,677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r>
      <w:tr>
        <w:trPr>
          <w:trHeight w:val="426"/>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Vested and exercisable at December 31, 2010</w:t>
            </w:r>
          </w:p>
        </w:tc>
        <w:tc>
          <w:tcPr>
            <w:tcW w:w="2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2,125,003</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2,125,003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7.21</w:t>
            </w:r>
          </w:p>
        </w:tc>
      </w:tr>
      <w:tr>
        <w:trPr>
          <w:trHeight w:val="21"/>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Comparative figures have been amended to reflect the Bonus Issue, (Stock Split) which took place with an effective date August 8, 2008.</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remaining contractual life of options outstanding and options exercisable at December 31, 2010, was 4.84 years and 3.53 years respectively. 962,069 options are expected to vest during the year ended December 31, 2011.</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intrinsic value of options exercised during the year ended December 31, 2010 amounted to $13.9 million. The intrinsic value of options outstanding and options exercisable at December 31, 2010 amounted to $16.5 million and $13.8 million respectively. Intrinsic value is calculated based on the market value of the Company’s shares at December 31,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3"/>
              </w:rPr>
              <w:t>Non vested shares outstanding as at December 31, 2010 are as follows:</w:t>
            </w: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68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680" w:type="dxa"/>
            <w:vAlign w:val="bottom"/>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Weighted Average</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68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Shares</w:t>
            </w:r>
          </w:p>
        </w:tc>
        <w:tc>
          <w:tcPr>
            <w:tcW w:w="3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Exercise Price</w:t>
            </w:r>
          </w:p>
        </w:tc>
        <w:tc>
          <w:tcPr>
            <w:tcW w:w="4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2009</w:t>
            </w:r>
          </w:p>
        </w:tc>
        <w:tc>
          <w:tcPr>
            <w:tcW w:w="2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2,904,687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23.60</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1,038,327</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24.34</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(927,289)</w:t>
            </w:r>
          </w:p>
        </w:tc>
        <w:tc>
          <w:tcPr>
            <w:tcW w:w="3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20.61</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(342,051)</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24.88</w:t>
            </w: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2010</w:t>
            </w:r>
          </w:p>
        </w:tc>
        <w:tc>
          <w:tcPr>
            <w:tcW w:w="2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2,673,674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24.76</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680" w:type="dxa"/>
            <w:vAlign w:val="bottom"/>
          </w:tcPr>
          <w:p>
            <w:pPr>
              <w:jc w:val="right"/>
              <w:ind w:right="217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Outstanding and exercisable share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share options as of December 31,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760" w:type="dxa"/>
            <w:vAlign w:val="bottom"/>
            <w:gridSpan w:val="2"/>
          </w:tcPr>
          <w:p>
            <w:pPr>
              <w:jc w:val="right"/>
              <w:ind w:right="1430"/>
              <w:spacing w:after="0"/>
              <w:rPr>
                <w:sz w:val="20"/>
                <w:szCs w:val="20"/>
                <w:color w:val="auto"/>
              </w:rPr>
            </w:pPr>
            <w:r>
              <w:rPr>
                <w:rFonts w:ascii="Arial" w:cs="Arial" w:eastAsia="Arial" w:hAnsi="Arial"/>
                <w:sz w:val="18"/>
                <w:szCs w:val="18"/>
                <w:b w:val="1"/>
                <w:bCs w:val="1"/>
                <w:color w:val="auto"/>
              </w:rPr>
              <w:t>Options Outstanding</w:t>
            </w:r>
          </w:p>
        </w:tc>
        <w:tc>
          <w:tcPr>
            <w:tcW w:w="2040" w:type="dxa"/>
            <w:vAlign w:val="bottom"/>
          </w:tcPr>
          <w:p>
            <w:pPr>
              <w:spacing w:after="0"/>
              <w:rPr>
                <w:sz w:val="18"/>
                <w:szCs w:val="18"/>
                <w:color w:val="auto"/>
              </w:rPr>
            </w:pPr>
          </w:p>
        </w:tc>
        <w:tc>
          <w:tcPr>
            <w:tcW w:w="318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jc w:val="right"/>
              <w:ind w:right="410"/>
              <w:spacing w:after="0"/>
              <w:rPr>
                <w:sz w:val="20"/>
                <w:szCs w:val="20"/>
                <w:color w:val="auto"/>
              </w:rPr>
            </w:pPr>
            <w:r>
              <w:rPr>
                <w:rFonts w:ascii="Arial" w:cs="Arial" w:eastAsia="Arial" w:hAnsi="Arial"/>
                <w:sz w:val="18"/>
                <w:szCs w:val="18"/>
                <w:b w:val="1"/>
                <w:bCs w:val="1"/>
                <w:color w:val="auto"/>
              </w:rPr>
              <w:t>Weighted</w:t>
            </w:r>
          </w:p>
        </w:tc>
        <w:tc>
          <w:tcPr>
            <w:tcW w:w="2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b w:val="1"/>
                <w:bCs w:val="1"/>
                <w:color w:val="auto"/>
              </w:rPr>
              <w:t>Range</w:t>
            </w:r>
          </w:p>
        </w:tc>
        <w:tc>
          <w:tcPr>
            <w:tcW w:w="1700" w:type="dxa"/>
            <w:vAlign w:val="bottom"/>
          </w:tcPr>
          <w:p>
            <w:pPr>
              <w:spacing w:after="0"/>
              <w:rPr>
                <w:sz w:val="18"/>
                <w:szCs w:val="18"/>
                <w:color w:val="auto"/>
              </w:rPr>
            </w:pPr>
          </w:p>
        </w:tc>
        <w:tc>
          <w:tcPr>
            <w:tcW w:w="2060" w:type="dxa"/>
            <w:vAlign w:val="bottom"/>
          </w:tcPr>
          <w:p>
            <w:pPr>
              <w:jc w:val="right"/>
              <w:ind w:right="410"/>
              <w:spacing w:after="0"/>
              <w:rPr>
                <w:sz w:val="20"/>
                <w:szCs w:val="20"/>
                <w:color w:val="auto"/>
              </w:rPr>
            </w:pPr>
            <w:r>
              <w:rPr>
                <w:rFonts w:ascii="Arial" w:cs="Arial" w:eastAsia="Arial" w:hAnsi="Arial"/>
                <w:sz w:val="18"/>
                <w:szCs w:val="18"/>
                <w:b w:val="1"/>
                <w:bCs w:val="1"/>
                <w:color w:val="auto"/>
              </w:rPr>
              <w:t>Average</w:t>
            </w:r>
          </w:p>
        </w:tc>
        <w:tc>
          <w:tcPr>
            <w:tcW w:w="204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w:t>
            </w:r>
          </w:p>
        </w:tc>
        <w:tc>
          <w:tcPr>
            <w:tcW w:w="17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b w:val="1"/>
                <w:bCs w:val="1"/>
                <w:color w:val="auto"/>
              </w:rPr>
              <w:t>Exercise</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2060" w:type="dxa"/>
            <w:vAlign w:val="bottom"/>
          </w:tcPr>
          <w:p>
            <w:pPr>
              <w:jc w:val="right"/>
              <w:ind w:right="410"/>
              <w:spacing w:after="0"/>
              <w:rPr>
                <w:sz w:val="20"/>
                <w:szCs w:val="20"/>
                <w:color w:val="auto"/>
              </w:rPr>
            </w:pPr>
            <w:r>
              <w:rPr>
                <w:rFonts w:ascii="Arial" w:cs="Arial" w:eastAsia="Arial" w:hAnsi="Arial"/>
                <w:sz w:val="18"/>
                <w:szCs w:val="18"/>
                <w:b w:val="1"/>
                <w:bCs w:val="1"/>
                <w:color w:val="auto"/>
              </w:rPr>
              <w:t>Remaining</w:t>
            </w:r>
          </w:p>
        </w:tc>
        <w:tc>
          <w:tcPr>
            <w:tcW w:w="2040" w:type="dxa"/>
            <w:vAlign w:val="bottom"/>
          </w:tcPr>
          <w:p>
            <w:pPr>
              <w:jc w:val="right"/>
              <w:ind w:right="390"/>
              <w:spacing w:after="0"/>
              <w:rPr>
                <w:sz w:val="20"/>
                <w:szCs w:val="20"/>
                <w:color w:val="auto"/>
              </w:rPr>
            </w:pPr>
            <w:r>
              <w:rPr>
                <w:rFonts w:ascii="Arial" w:cs="Arial" w:eastAsia="Arial" w:hAnsi="Arial"/>
                <w:sz w:val="18"/>
                <w:szCs w:val="18"/>
                <w:b w:val="1"/>
                <w:bCs w:val="1"/>
                <w:color w:val="auto"/>
              </w:rPr>
              <w:t>Average</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460" w:type="dxa"/>
            <w:vAlign w:val="bottom"/>
          </w:tcPr>
          <w:p>
            <w:pPr>
              <w:jc w:val="right"/>
              <w:ind w:right="530"/>
              <w:spacing w:after="0"/>
              <w:rPr>
                <w:sz w:val="20"/>
                <w:szCs w:val="20"/>
                <w:color w:val="auto"/>
              </w:rPr>
            </w:pPr>
            <w:r>
              <w:rPr>
                <w:rFonts w:ascii="Arial" w:cs="Arial" w:eastAsia="Arial" w:hAnsi="Arial"/>
                <w:sz w:val="18"/>
                <w:szCs w:val="18"/>
                <w:b w:val="1"/>
                <w:bCs w:val="1"/>
                <w:color w:val="auto"/>
              </w:rPr>
              <w:t>Price</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060" w:type="dxa"/>
            <w:vAlign w:val="bottom"/>
          </w:tcPr>
          <w:p>
            <w:pPr>
              <w:jc w:val="right"/>
              <w:ind w:right="410"/>
              <w:spacing w:after="0"/>
              <w:rPr>
                <w:sz w:val="20"/>
                <w:szCs w:val="20"/>
                <w:color w:val="auto"/>
              </w:rPr>
            </w:pPr>
            <w:r>
              <w:rPr>
                <w:rFonts w:ascii="Arial" w:cs="Arial" w:eastAsia="Arial" w:hAnsi="Arial"/>
                <w:sz w:val="18"/>
                <w:szCs w:val="18"/>
                <w:b w:val="1"/>
                <w:bCs w:val="1"/>
                <w:color w:val="auto"/>
              </w:rPr>
              <w:t>Contractual Life</w:t>
            </w:r>
          </w:p>
        </w:tc>
        <w:tc>
          <w:tcPr>
            <w:tcW w:w="2040" w:type="dxa"/>
            <w:vAlign w:val="bottom"/>
          </w:tcPr>
          <w:p>
            <w:pPr>
              <w:jc w:val="right"/>
              <w:ind w:right="390"/>
              <w:spacing w:after="0"/>
              <w:rPr>
                <w:sz w:val="20"/>
                <w:szCs w:val="20"/>
                <w:color w:val="auto"/>
              </w:rPr>
            </w:pPr>
            <w:r>
              <w:rPr>
                <w:rFonts w:ascii="Arial" w:cs="Arial" w:eastAsia="Arial" w:hAnsi="Arial"/>
                <w:sz w:val="18"/>
                <w:szCs w:val="18"/>
                <w:b w:val="1"/>
                <w:bCs w:val="1"/>
                <w:color w:val="auto"/>
              </w:rPr>
              <w:t>Exercise Price</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$7.00</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0.05</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$7.00</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$8.60</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396,776</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2.15</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$8.60</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396,776</w:t>
            </w:r>
          </w:p>
        </w:tc>
        <w:tc>
          <w:tcPr>
            <w:tcW w:w="1460" w:type="dxa"/>
            <w:vAlign w:val="bottom"/>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$8.88</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230,568</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1.09</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$8.88</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230,568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$10.42</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20,000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3.04</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$10.42</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20,000</w:t>
            </w:r>
          </w:p>
        </w:tc>
        <w:tc>
          <w:tcPr>
            <w:tcW w:w="1460" w:type="dxa"/>
            <w:vAlign w:val="bottom"/>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$11.00</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579,987</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3.09</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$11.00</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419,563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$15.47</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6.33</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$15.47</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180</w:t>
            </w:r>
          </w:p>
        </w:tc>
        <w:tc>
          <w:tcPr>
            <w:tcW w:w="1460" w:type="dxa"/>
            <w:vAlign w:val="bottom"/>
          </w:tcPr>
          <w:p>
            <w:pPr>
              <w:jc w:val="right"/>
              <w:spacing w:after="0"/>
              <w:rPr>
                <w:sz w:val="20"/>
                <w:szCs w:val="20"/>
                <w:color w:val="auto"/>
              </w:rPr>
            </w:pPr>
            <w:r>
              <w:rPr>
                <w:rFonts w:ascii="Arial" w:cs="Arial" w:eastAsia="Arial" w:hAnsi="Arial"/>
                <w:sz w:val="18"/>
                <w:szCs w:val="18"/>
                <w:color w:val="auto"/>
              </w:rPr>
              <w:t>$15.47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$15.84</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6.33</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$15.84</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20,600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$17.30</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24,000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3.64</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$17.30</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19,200</w:t>
            </w:r>
          </w:p>
        </w:tc>
        <w:tc>
          <w:tcPr>
            <w:tcW w:w="1460" w:type="dxa"/>
            <w:vAlign w:val="bottom"/>
          </w:tcPr>
          <w:p>
            <w:pPr>
              <w:jc w:val="right"/>
              <w:spacing w:after="0"/>
              <w:rPr>
                <w:sz w:val="20"/>
                <w:szCs w:val="20"/>
                <w:color w:val="auto"/>
              </w:rPr>
            </w:pPr>
            <w:r>
              <w:rPr>
                <w:rFonts w:ascii="Arial" w:cs="Arial" w:eastAsia="Arial" w:hAnsi="Arial"/>
                <w:sz w:val="18"/>
                <w:szCs w:val="18"/>
                <w:color w:val="auto"/>
              </w:rPr>
              <w:t>$17.30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$18.00</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3.83</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$18.00</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50,000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$18.98</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9,000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5.87</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$18.98</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3,600</w:t>
            </w:r>
          </w:p>
        </w:tc>
        <w:tc>
          <w:tcPr>
            <w:tcW w:w="1460" w:type="dxa"/>
            <w:vAlign w:val="bottom"/>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$19.45</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7.82</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$19.45</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$19.94</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6.17</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$19.94</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400</w:t>
            </w:r>
          </w:p>
        </w:tc>
        <w:tc>
          <w:tcPr>
            <w:tcW w:w="1460" w:type="dxa"/>
            <w:vAlign w:val="bottom"/>
          </w:tcPr>
          <w:p>
            <w:pPr>
              <w:jc w:val="right"/>
              <w:spacing w:after="0"/>
              <w:rPr>
                <w:sz w:val="20"/>
                <w:szCs w:val="20"/>
                <w:color w:val="auto"/>
              </w:rPr>
            </w:pPr>
            <w:r>
              <w:rPr>
                <w:rFonts w:ascii="Arial" w:cs="Arial" w:eastAsia="Arial" w:hAnsi="Arial"/>
                <w:sz w:val="18"/>
                <w:szCs w:val="18"/>
                <w:color w:val="auto"/>
              </w:rPr>
              <w:t>$19.94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$20.16</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7.87</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$20.16</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$21.25</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754,230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4.13</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$21.25</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434,698</w:t>
            </w:r>
          </w:p>
        </w:tc>
        <w:tc>
          <w:tcPr>
            <w:tcW w:w="1460" w:type="dxa"/>
            <w:vAlign w:val="bottom"/>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$21.76</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4.31</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$21.76</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$22.10</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11,000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6.56</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$22.10</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2,200</w:t>
            </w:r>
          </w:p>
        </w:tc>
        <w:tc>
          <w:tcPr>
            <w:tcW w:w="1460" w:type="dxa"/>
            <w:vAlign w:val="bottom"/>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$22.26</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662,493</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6.15</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$22.26</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128,724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$22.60</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4.65</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$22.60</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1,200</w:t>
            </w:r>
          </w:p>
        </w:tc>
        <w:tc>
          <w:tcPr>
            <w:tcW w:w="1460" w:type="dxa"/>
            <w:vAlign w:val="bottom"/>
          </w:tcPr>
          <w:p>
            <w:pPr>
              <w:jc w:val="right"/>
              <w:spacing w:after="0"/>
              <w:rPr>
                <w:sz w:val="20"/>
                <w:szCs w:val="20"/>
                <w:color w:val="auto"/>
              </w:rPr>
            </w:pPr>
            <w:r>
              <w:rPr>
                <w:rFonts w:ascii="Arial" w:cs="Arial" w:eastAsia="Arial" w:hAnsi="Arial"/>
                <w:sz w:val="18"/>
                <w:szCs w:val="18"/>
                <w:color w:val="auto"/>
              </w:rPr>
              <w:t>$22.60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$23.06</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7.62</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$23.06</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$23.20</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4,000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7.70</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$23.20</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$24.25</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150,000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7.18</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$24.25</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$24.46</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743,383</w:t>
            </w:r>
          </w:p>
        </w:tc>
        <w:tc>
          <w:tcPr>
            <w:tcW w:w="2060" w:type="dxa"/>
            <w:vAlign w:val="bottom"/>
          </w:tcPr>
          <w:p>
            <w:pPr>
              <w:jc w:val="right"/>
              <w:ind w:right="390"/>
              <w:spacing w:after="0"/>
              <w:rPr>
                <w:sz w:val="20"/>
                <w:szCs w:val="20"/>
                <w:color w:val="auto"/>
              </w:rPr>
            </w:pPr>
            <w:r>
              <w:rPr>
                <w:rFonts w:ascii="Arial" w:cs="Arial" w:eastAsia="Arial" w:hAnsi="Arial"/>
                <w:sz w:val="18"/>
                <w:szCs w:val="18"/>
                <w:color w:val="auto"/>
              </w:rPr>
              <w:t>7.17</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$24.46</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2,000</w:t>
            </w:r>
          </w:p>
        </w:tc>
        <w:tc>
          <w:tcPr>
            <w:tcW w:w="1460" w:type="dxa"/>
            <w:vAlign w:val="bottom"/>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$26.20</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7.38</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$26.20</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$26.27</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5.81</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$26.27</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800</w:t>
            </w:r>
          </w:p>
        </w:tc>
        <w:tc>
          <w:tcPr>
            <w:tcW w:w="1460" w:type="dxa"/>
            <w:vAlign w:val="bottom"/>
          </w:tcPr>
          <w:p>
            <w:pPr>
              <w:jc w:val="right"/>
              <w:spacing w:after="0"/>
              <w:rPr>
                <w:sz w:val="20"/>
                <w:szCs w:val="20"/>
                <w:color w:val="auto"/>
              </w:rPr>
            </w:pPr>
            <w:r>
              <w:rPr>
                <w:rFonts w:ascii="Arial" w:cs="Arial" w:eastAsia="Arial" w:hAnsi="Arial"/>
                <w:sz w:val="18"/>
                <w:szCs w:val="18"/>
                <w:color w:val="auto"/>
              </w:rPr>
              <w:t>$26.27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$27.91</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7.42</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$27.91</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$29.45</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8,000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7.33</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$29.45</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$29.38</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7.34</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$29.38</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$35.33</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951,940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5.15</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$35.33</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385,694</w:t>
            </w:r>
          </w:p>
        </w:tc>
        <w:tc>
          <w:tcPr>
            <w:tcW w:w="1460" w:type="dxa"/>
            <w:vAlign w:val="bottom"/>
          </w:tcPr>
          <w:p>
            <w:pPr>
              <w:jc w:val="right"/>
              <w:spacing w:after="0"/>
              <w:rPr>
                <w:sz w:val="20"/>
                <w:szCs w:val="20"/>
                <w:color w:val="auto"/>
              </w:rPr>
            </w:pPr>
            <w:r>
              <w:rPr>
                <w:rFonts w:ascii="Arial" w:cs="Arial" w:eastAsia="Arial" w:hAnsi="Arial"/>
                <w:sz w:val="18"/>
                <w:szCs w:val="18"/>
                <w:color w:val="auto"/>
              </w:rPr>
              <w:t>$35.33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$36.05</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6,000</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5.40</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$36.05</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right"/>
              <w:ind w:right="530"/>
              <w:spacing w:after="0"/>
              <w:rPr>
                <w:sz w:val="20"/>
                <w:szCs w:val="20"/>
                <w:color w:val="auto"/>
              </w:rPr>
            </w:pPr>
            <w:r>
              <w:rPr>
                <w:rFonts w:ascii="Arial" w:cs="Arial" w:eastAsia="Arial" w:hAnsi="Arial"/>
                <w:sz w:val="18"/>
                <w:szCs w:val="18"/>
                <w:color w:val="auto"/>
              </w:rPr>
              <w:t>$36.20</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2,000</w:t>
            </w:r>
          </w:p>
        </w:tc>
        <w:tc>
          <w:tcPr>
            <w:tcW w:w="2060" w:type="dxa"/>
            <w:vAlign w:val="bottom"/>
          </w:tcPr>
          <w:p>
            <w:pPr>
              <w:jc w:val="right"/>
              <w:ind w:right="410"/>
              <w:spacing w:after="0"/>
              <w:rPr>
                <w:sz w:val="20"/>
                <w:szCs w:val="20"/>
                <w:color w:val="auto"/>
              </w:rPr>
            </w:pPr>
            <w:r>
              <w:rPr>
                <w:rFonts w:ascii="Arial" w:cs="Arial" w:eastAsia="Arial" w:hAnsi="Arial"/>
                <w:sz w:val="18"/>
                <w:szCs w:val="18"/>
                <w:color w:val="auto"/>
              </w:rPr>
              <w:t>5.33</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$36.20</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800</w:t>
            </w:r>
          </w:p>
        </w:tc>
        <w:tc>
          <w:tcPr>
            <w:tcW w:w="1460" w:type="dxa"/>
            <w:vAlign w:val="bottom"/>
          </w:tcPr>
          <w:p>
            <w:pPr>
              <w:jc w:val="right"/>
              <w:spacing w:after="0"/>
              <w:rPr>
                <w:sz w:val="20"/>
                <w:szCs w:val="20"/>
                <w:color w:val="auto"/>
              </w:rPr>
            </w:pPr>
            <w:r>
              <w:rPr>
                <w:rFonts w:ascii="Arial" w:cs="Arial" w:eastAsia="Arial" w:hAnsi="Arial"/>
                <w:sz w:val="18"/>
                <w:szCs w:val="18"/>
                <w:color w:val="auto"/>
              </w:rPr>
              <w:t>$36.20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$41.25</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5.67</w:t>
            </w:r>
          </w:p>
        </w:tc>
        <w:tc>
          <w:tcPr>
            <w:tcW w:w="20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$41.25</w:t>
            </w:r>
          </w:p>
        </w:tc>
        <w:tc>
          <w:tcPr>
            <w:tcW w:w="17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400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$7.00 - $41.25</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4,798,677</w:t>
            </w:r>
          </w:p>
        </w:tc>
        <w:tc>
          <w:tcPr>
            <w:tcW w:w="20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4.84</w:t>
            </w:r>
          </w:p>
        </w:tc>
        <w:tc>
          <w:tcPr>
            <w:tcW w:w="20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$21.71</w:t>
            </w:r>
          </w:p>
        </w:tc>
        <w:tc>
          <w:tcPr>
            <w:tcW w:w="17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2,125,003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granted at exercise prices ranging from $7.00 to $10.42 have fully vested at December 31, 2010. Substantially all options vest over a five year period from the date of grant.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Fair value of Stock Options Assumptions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years ended December 31, 2008, December 31, 2009 and December 31, 2010 was calculated using the Black-Scholes option pricing model. The weighted average fair values and assumptions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Year Ended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9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8.47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368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9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 years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 years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Units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7, 2008 the Company awarded 6,280 restricted share units (“RSU’s”) to certain employees of the Group. Ordinary shares related to these RSU’s may be issued by the Company over periods ranging from February 26, 2009 to February 26, 2011. The market value of the Company’s shares on date of award was $41.95. On August 16, 2010 2,512 ordinary shares were issued by the Company relating to certain of the RSU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for the year ended December 31, 2010 is stated after charging $7.4 million in respect of non-cash stock compensation expense. Non-cash stock compensation expense for the year ended December 31, 2010 has been allocated to direct costs and selling, general and administrative expenses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Year ended</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4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5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49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3,776</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4,049</w:t>
            </w:r>
          </w:p>
        </w:tc>
      </w:tr>
      <w:tr>
        <w:trPr>
          <w:trHeight w:val="223"/>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3,577</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3,359</w:t>
            </w:r>
          </w:p>
        </w:tc>
      </w:tr>
      <w:tr>
        <w:trPr>
          <w:trHeight w:val="439"/>
        </w:trPr>
        <w:tc>
          <w:tcPr>
            <w:tcW w:w="4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compensation costs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6,058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7,353</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7,408</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December 31, 2010 amounted to $16.2 million. The weighted average period over which this is expected to be recognized is 3.0 years. Total tax benefit recognized in additional paid in capital related to the non-cash compensation expense amounted to $2.3 million for the year ended December 31, 2010 (2009: $0.5 million, 2008: $4.1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Arial" w:cs="Arial" w:eastAsia="Arial" w:hAnsi="Arial"/>
                <w:sz w:val="18"/>
                <w:szCs w:val="18"/>
                <w:b w:val="1"/>
                <w:bCs w:val="1"/>
                <w:color w:val="auto"/>
              </w:rPr>
              <w:t>10. Government Grants</w:t>
            </w:r>
          </w:p>
        </w:tc>
        <w:tc>
          <w:tcPr>
            <w:tcW w:w="3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1"/>
        </w:trPr>
        <w:tc>
          <w:tcPr>
            <w:tcW w:w="58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58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6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58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20"/>
                <w:szCs w:val="20"/>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Received</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3,126</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0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(1,659)</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30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442</w:t>
            </w:r>
          </w:p>
        </w:tc>
        <w:tc>
          <w:tcPr>
            <w:tcW w:w="6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16"/>
        </w:trPr>
        <w:tc>
          <w:tcPr>
            <w:tcW w:w="58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1,909</w:t>
            </w:r>
          </w:p>
        </w:tc>
        <w:tc>
          <w:tcPr>
            <w:tcW w:w="6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1,581</w:t>
            </w:r>
          </w:p>
        </w:tc>
      </w:tr>
      <w:tr>
        <w:trPr>
          <w:trHeight w:val="223"/>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0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58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1,750</w:t>
            </w:r>
          </w:p>
        </w:tc>
        <w:tc>
          <w:tcPr>
            <w:tcW w:w="6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Government grants amortized to the profit and loss account amounted to $149,000 and $220,000 for the years ended December 31, 2009 and December 31, 2010 respectively. As at December 31, 2010 the Company had $1.36 million in restricted retained earnings, pursuant to the terms of grant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2008 847,707 options were exercised by employees at an average exercise price of $10.05 per share for total proceeds of $8.5 million.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2009 489,370 options were exercised by employees at an average exercise price of $9.03 per share for total proceeds of $4.4 million.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1,237,015 options were exercised by employees at an average exercise price of $10.64 per share for total proceeds of $13.2 million. During the year ended December 31, 2010 2,512 ordinary shares were issued in respect of certain RSU’s previously awarded by the Company.</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the Company’s ADSs was adjusted on NASDAQ to effect the Bonus Issue prior to the opening of trading on August 13, 2008. All outstanding ordinary share amounts referenced in the consolidated financial statements and the notes thereto have been retrospectively restated to give effect to the Bonus Issue as if it had occurred as of the date referenced.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United States and Irish based subsidiaries file tax returns in the United States and Ireland respectively. Other foreign subsidiaries are taxed separately under the laws of their respective countries.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provision for income tax expense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2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59,720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51,783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23,305</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12,997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15,255</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39,894</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439"/>
        </w:trPr>
        <w:tc>
          <w:tcPr>
            <w:tcW w:w="4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2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104,674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92,724</w:t>
            </w:r>
          </w:p>
        </w:tc>
        <w:tc>
          <w:tcPr>
            <w:tcW w:w="0" w:type="dxa"/>
            <w:vAlign w:val="bottom"/>
          </w:tcPr>
          <w:p>
            <w:pPr>
              <w:spacing w:after="0"/>
              <w:rPr>
                <w:sz w:val="1"/>
                <w:szCs w:val="1"/>
                <w:color w:val="auto"/>
              </w:rPr>
            </w:pPr>
          </w:p>
        </w:tc>
      </w:tr>
      <w:tr>
        <w:trPr>
          <w:trHeight w:val="459"/>
        </w:trPr>
        <w:tc>
          <w:tcPr>
            <w:tcW w:w="4980" w:type="dxa"/>
            <w:vAlign w:val="bottom"/>
            <w:gridSpan w:val="3"/>
          </w:tcPr>
          <w:p>
            <w:pPr>
              <w:spacing w:after="0"/>
              <w:rPr>
                <w:sz w:val="20"/>
                <w:szCs w:val="20"/>
                <w:color w:val="auto"/>
              </w:rPr>
            </w:pPr>
            <w:r>
              <w:rPr>
                <w:rFonts w:ascii="Arial" w:cs="Arial" w:eastAsia="Arial" w:hAnsi="Arial"/>
                <w:sz w:val="18"/>
                <w:szCs w:val="18"/>
                <w:color w:val="auto"/>
              </w:rPr>
              <w:t>The components of total income tax expense are as follows:</w:t>
            </w:r>
          </w:p>
        </w:tc>
        <w:tc>
          <w:tcPr>
            <w:tcW w:w="2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00" w:type="dxa"/>
            <w:vAlign w:val="bottom"/>
            <w:gridSpan w:val="2"/>
            <w:vMerge w:val="restart"/>
          </w:tcPr>
          <w:p>
            <w:pPr>
              <w:spacing w:after="0"/>
              <w:rPr>
                <w:sz w:val="20"/>
                <w:szCs w:val="20"/>
                <w:color w:val="auto"/>
              </w:rPr>
            </w:pPr>
            <w:r>
              <w:rPr>
                <w:rFonts w:ascii="Arial" w:cs="Arial" w:eastAsia="Arial" w:hAnsi="Arial"/>
                <w:sz w:val="18"/>
                <w:szCs w:val="18"/>
                <w:color w:val="auto"/>
                <w:w w:val="91"/>
              </w:rPr>
              <w:t>Provision for income taxes:</w:t>
            </w:r>
          </w:p>
        </w:tc>
        <w:tc>
          <w:tcPr>
            <w:tcW w:w="2980" w:type="dxa"/>
            <w:vAlign w:val="bottom"/>
            <w:vMerge w:val="restart"/>
          </w:tcPr>
          <w:p>
            <w:pPr>
              <w:spacing w:after="0"/>
              <w:rPr>
                <w:sz w:val="20"/>
                <w:szCs w:val="20"/>
                <w:color w:val="auto"/>
              </w:rPr>
            </w:pPr>
          </w:p>
        </w:tc>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00" w:type="dxa"/>
            <w:vAlign w:val="bottom"/>
            <w:tcBorders>
              <w:bottom w:val="single" w:sz="8" w:color="auto"/>
            </w:tcBorders>
            <w:gridSpan w:val="2"/>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98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2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6,674</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9,492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4,021</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8,077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432"/>
        </w:trPr>
        <w:tc>
          <w:tcPr>
            <w:tcW w:w="4980" w:type="dxa"/>
            <w:vAlign w:val="bottom"/>
            <w:gridSpan w:val="3"/>
          </w:tcPr>
          <w:p>
            <w:pPr>
              <w:spacing w:after="0"/>
              <w:rPr>
                <w:sz w:val="20"/>
                <w:szCs w:val="20"/>
                <w:color w:val="auto"/>
              </w:rPr>
            </w:pPr>
            <w:r>
              <w:rPr>
                <w:rFonts w:ascii="Arial" w:cs="Arial" w:eastAsia="Arial" w:hAnsi="Arial"/>
                <w:sz w:val="18"/>
                <w:szCs w:val="18"/>
                <w:color w:val="auto"/>
              </w:rPr>
              <w:t>Total current tax</w:t>
            </w:r>
          </w:p>
        </w:tc>
        <w:tc>
          <w:tcPr>
            <w:tcW w:w="27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17,203</w:t>
            </w:r>
          </w:p>
        </w:tc>
        <w:tc>
          <w:tcPr>
            <w:tcW w:w="22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13,728</w:t>
            </w:r>
          </w:p>
        </w:tc>
        <w:tc>
          <w:tcPr>
            <w:tcW w:w="3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Deferred expense/(benefit):</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2,549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432"/>
        </w:trPr>
        <w:tc>
          <w:tcPr>
            <w:tcW w:w="4980" w:type="dxa"/>
            <w:vAlign w:val="bottom"/>
            <w:gridSpan w:val="3"/>
          </w:tcPr>
          <w:p>
            <w:pPr>
              <w:spacing w:after="0"/>
              <w:rPr>
                <w:sz w:val="20"/>
                <w:szCs w:val="20"/>
                <w:color w:val="auto"/>
              </w:rPr>
            </w:pPr>
            <w:r>
              <w:rPr>
                <w:rFonts w:ascii="Arial" w:cs="Arial" w:eastAsia="Arial" w:hAnsi="Arial"/>
                <w:sz w:val="18"/>
                <w:szCs w:val="18"/>
                <w:color w:val="auto"/>
              </w:rPr>
              <w:t>Total deferred tax expense/(benefit)</w:t>
            </w:r>
          </w:p>
        </w:tc>
        <w:tc>
          <w:tcPr>
            <w:tcW w:w="27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2,764</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(3,353)</w:t>
            </w:r>
          </w:p>
        </w:tc>
        <w:tc>
          <w:tcPr>
            <w:tcW w:w="3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19,967</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10,375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Impact on shareholders equity of the tax consequence of :</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impact of long term funding</w:t>
            </w:r>
          </w:p>
        </w:tc>
        <w:tc>
          <w:tcPr>
            <w:tcW w:w="2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11,030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tcPr>
          <w:p>
            <w:pPr>
              <w:jc w:val="right"/>
              <w:ind w:right="1790"/>
              <w:spacing w:after="0"/>
              <w:rPr>
                <w:sz w:val="20"/>
                <w:szCs w:val="20"/>
                <w:color w:val="auto"/>
              </w:rPr>
            </w:pPr>
            <w:r>
              <w:rPr>
                <w:rFonts w:ascii="Arial" w:cs="Arial" w:eastAsia="Arial" w:hAnsi="Arial"/>
                <w:sz w:val="18"/>
                <w:szCs w:val="18"/>
                <w:color w:val="auto"/>
              </w:rPr>
              <w:t>90</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Ireland’s statutory income tax rate is 12.5%. The Company’s consolidated effective tax rate differed from the statutory rate as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6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Taxes at Irish statutory rate of 12.5% (2008:12.5%; 2007: 12.5%)</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13,084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11,590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Foreign and other income taxed at higher/(reduced) rates</w:t>
            </w:r>
          </w:p>
        </w:tc>
        <w:tc>
          <w:tcPr>
            <w:tcW w:w="16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5,249</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9,319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Tax Incentives</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Movement in valuation allowance</w:t>
            </w:r>
          </w:p>
        </w:tc>
        <w:tc>
          <w:tcPr>
            <w:tcW w:w="16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1,494</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4,027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Prior year over provision in respect of foreign taxes</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Effects of permanent items</w:t>
            </w:r>
          </w:p>
        </w:tc>
        <w:tc>
          <w:tcPr>
            <w:tcW w:w="16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23"/>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439"/>
        </w:trPr>
        <w:tc>
          <w:tcPr>
            <w:tcW w:w="60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10,375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Goodwill and related assets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5,112</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6,301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Accruals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1,008</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750</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Total deferred tax liabilities recognized</w:t>
            </w:r>
          </w:p>
        </w:tc>
        <w:tc>
          <w:tcPr>
            <w:tcW w:w="238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13,649</w:t>
            </w:r>
          </w:p>
        </w:tc>
        <w:tc>
          <w:tcPr>
            <w:tcW w:w="22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14,475</w:t>
            </w:r>
          </w:p>
        </w:tc>
        <w:tc>
          <w:tcPr>
            <w:tcW w:w="3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15,907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tax assets:</w:t>
            </w: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9,690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12,826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1,090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6,746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9,313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Stock options</w:t>
            </w:r>
          </w:p>
        </w:tc>
        <w:tc>
          <w:tcPr>
            <w:tcW w:w="2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2,426</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3,547</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expense</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19,880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27,962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Valuation allowance for deferred tax assets</w:t>
            </w:r>
          </w:p>
        </w:tc>
        <w:tc>
          <w:tcPr>
            <w:tcW w:w="2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 recognized</w:t>
            </w:r>
          </w:p>
        </w:tc>
        <w:tc>
          <w:tcPr>
            <w:tcW w:w="2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17,551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16,740</w:t>
            </w: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3,076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$10.0 million (2009:$6.9 million) of the deferred tax asset of $16.7 million (2009:$17.6 million) above is non-current. $13.9 million (2009:$12.7 million)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liability of $15.9 million (2009:$ 14.5 million) is non-current.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3" w:name="page94"/>
    <w:bookmarkEnd w:id="93"/>
    <w:p>
      <w:pPr>
        <w:jc w:val="both"/>
        <w:spacing w:after="0" w:line="277" w:lineRule="auto"/>
        <w:rPr>
          <w:sz w:val="20"/>
          <w:szCs w:val="20"/>
          <w:color w:val="auto"/>
        </w:rPr>
      </w:pPr>
      <w:r>
        <w:rPr>
          <w:rFonts w:ascii="Arial" w:cs="Arial" w:eastAsia="Arial" w:hAnsi="Arial"/>
          <w:sz w:val="18"/>
          <w:szCs w:val="18"/>
          <w:color w:val="auto"/>
        </w:rPr>
        <w:t>At December 31, 2010 non-U.S subsidiaries had operating loss carry forwards for income tax purposes that may be carried forward indefinitely, available to offset against future taxable income, if any, of approximately $43.3 million (2009: $34.8 million).</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2010 ICON Central Laboratories Inc., a U.S. subsidiary, had U.S. Federal and State net operating loss carry forwards of approximately $10.2 million and $11.4 million, respectively. These net operating losses are available for offset against future taxable income and expire between 2011 and 2030. Of the $10.2 million U.S. Federal and $11.4 million State net operating losses, approximately $9.1 million and $10.2 million are currently available for offset against future U.S. Federal and State taxable income respectively. The subsidiary’s ability to use the remaining U.S. Federal and State net operating loss (“NOL”) carry forwards of $1.1 million and $1.2 million, respectively is limited to $113,000 per year due to the subsidiary experiencing a change of ownership in 2000, as defined by Section 382 of the Internal Revenue Code of 1986, as amended.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Federal</w:t>
            </w:r>
          </w:p>
        </w:tc>
        <w:tc>
          <w:tcPr>
            <w:tcW w:w="68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NOL’s</w:t>
            </w:r>
          </w:p>
        </w:tc>
        <w:tc>
          <w:tcPr>
            <w:tcW w:w="6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NOL’s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2011- 2013</w:t>
            </w:r>
          </w:p>
        </w:tc>
        <w:tc>
          <w:tcPr>
            <w:tcW w:w="2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2014- 2018</w:t>
            </w:r>
          </w:p>
        </w:tc>
        <w:tc>
          <w:tcPr>
            <w:tcW w:w="27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2019- 2030</w:t>
            </w:r>
          </w:p>
        </w:tc>
        <w:tc>
          <w:tcPr>
            <w:tcW w:w="27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9,908</w:t>
            </w:r>
          </w:p>
        </w:tc>
        <w:tc>
          <w:tcPr>
            <w:tcW w:w="6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10,247</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ICON Central Laboratories Inc has alternative minimum tax credit carry forwards of approximately $0.2 million that are available to reduce future U.S. federal regular income taxes, over an indefinite period. It also has general business credit carry forwards of approximately $0.3 million that are available to offset future U.S. federal income taxes.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2010 ICON Clinical Research Inc. and its U.S. subsidiaries had combined U.S. State net operating loss carry forwards of approximately $5.2 million and $13.9 million respectively. These net operating losses are available for offset against future, or in some cases prior, taxable income in the relevant state and generally expire between 2019 and 2030.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The expected expiry dates of these losses are as follows:</w:t>
            </w:r>
          </w:p>
        </w:tc>
        <w:tc>
          <w:tcPr>
            <w:tcW w:w="2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Federal</w:t>
            </w:r>
          </w:p>
        </w:tc>
        <w:tc>
          <w:tcPr>
            <w:tcW w:w="68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NOL’s</w:t>
            </w:r>
          </w:p>
        </w:tc>
        <w:tc>
          <w:tcPr>
            <w:tcW w:w="6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NOL’s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2011- 2013</w:t>
            </w:r>
          </w:p>
        </w:tc>
        <w:tc>
          <w:tcPr>
            <w:tcW w:w="2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2014- 2018</w:t>
            </w:r>
          </w:p>
        </w:tc>
        <w:tc>
          <w:tcPr>
            <w:tcW w:w="27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2019- 2030</w:t>
            </w:r>
          </w:p>
        </w:tc>
        <w:tc>
          <w:tcPr>
            <w:tcW w:w="27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5,204</w:t>
            </w:r>
          </w:p>
        </w:tc>
        <w:tc>
          <w:tcPr>
            <w:tcW w:w="6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5,204</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ICON Clinical Research, Inc. has tax credit carry forwards of approximately U.S. $0.3 million that are available to reduce future income taxes, if any. Of these, $0.1 million begin to expire in 2012 and are subject to an annual limitation that will prevent full utilization before expiration. The remaining $0.2 million is composed of alternative minimum tax credits and general business tax credits that are available to offset future regular income taxes over an indefinite period and 20 years,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4" w:name="page95"/>
    <w:bookmarkEnd w:id="94"/>
    <w:p>
      <w:pPr>
        <w:jc w:val="both"/>
        <w:spacing w:after="0" w:line="264" w:lineRule="auto"/>
        <w:rPr>
          <w:sz w:val="20"/>
          <w:szCs w:val="20"/>
          <w:color w:val="auto"/>
        </w:rPr>
      </w:pPr>
      <w:r>
        <w:rPr>
          <w:rFonts w:ascii="Arial" w:cs="Arial" w:eastAsia="Arial" w:hAnsi="Arial"/>
          <w:sz w:val="18"/>
          <w:szCs w:val="18"/>
          <w:color w:val="auto"/>
        </w:rPr>
        <w:t>The valuation allowance at December 31, 2010 was approximately $12.3 million. The valuation allowance for deferred tax assets as of December 31, 2009 and December 31, 2008 was $10.4 million and $5.9 million respectively. The net change in the total valuation allowance was an increase of $1.9 million during 2010 and an increase of $4.5 million during 2009.</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valuation allowances at December 31, 2010 and December 31, 2009 were primarily related to tax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recognized a deferred tax liability for the undistributed earnings of foreign subsidiaries that arose in 2010 and prior years as the Company considers these earnings to be indefinitely reinvested.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w w:val="92"/>
              </w:rPr>
              <w:t>A reconciliation of the beginning and ending amount of total unrecognized tax benefits is as follows: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Gross amount of unrecognized tax benefits at start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12,878</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13,643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prior year tax positions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373</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(1,343)</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2,512</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432"/>
        </w:trPr>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Gross amount of unrecognized tax benefits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13,643</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15,855</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anticipate that the amount of unrecognized tax benefits at December 31, 2010 will significantly change in the coming year.</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the balance of total unrecognized tax benefits at December 31, 2010 there were net potential benefits of $8.1 million, which if recognized, would affect the effective rate on income tax from continuing operations. The balance of total unrecognized tax benefits at December 31, 2009 and December 31, 2008 included net potential benefits which, if recognized, would affect the effective rate of income tax from continuing operations of $15.4 million and $8.8 million respectively.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penalties recognized as an expense during the year ended December 31, 2010 amounted to $1.8 million (2009: $1.2 million) and are included within the provision for income taxes. Total accrued interest and penalties as of December 31, 2010 and December 31, 2009 were $1.7 million and $3.5 million respectively and are included in the closing income tax liabilities at those dates.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major tax jurisdictions are the United States and Ireland. We may potentially be subjected to tax audits in our major jurisdictions. In the United States tax periods open to audit include the years ended December 31, 2007, December 31, 2008, December 31, 2009 and December 31, 2010. In Ireland tax periods open to audit include the years ended December 31, 2006, December 31, 2007, December 31, 2008, December 31, 2009 and December 31, 2010. During such audits, local tax authorities may challenge the positions taken by us.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13. One-time net charges</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6880" w:type="dxa"/>
            <w:vAlign w:val="bottom"/>
            <w:gridSpan w:val="2"/>
          </w:tcPr>
          <w:p>
            <w:pPr>
              <w:spacing w:after="0"/>
              <w:rPr>
                <w:sz w:val="20"/>
                <w:szCs w:val="20"/>
                <w:color w:val="auto"/>
              </w:rPr>
            </w:pPr>
            <w:r>
              <w:rPr>
                <w:rFonts w:ascii="Arial" w:cs="Arial" w:eastAsia="Arial" w:hAnsi="Arial"/>
                <w:sz w:val="18"/>
                <w:szCs w:val="18"/>
                <w:color w:val="auto"/>
                <w:w w:val="99"/>
              </w:rPr>
              <w:t>One-time net charges recognized during the year ended December 31, 2010 comprise:</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Year Ended</w:t>
            </w:r>
          </w:p>
        </w:tc>
        <w:tc>
          <w:tcPr>
            <w:tcW w:w="12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 thousands)</w:t>
            </w:r>
          </w:p>
        </w:tc>
        <w:tc>
          <w:tcPr>
            <w:tcW w:w="1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13,301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Research and development incentives</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charge</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8,808</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response to the globalization of clinical studies and its attendant impact on resources in existing and emerging markets, the Company conducted a review of its existing infrastructure during the three months ended June 30, 2009 to better align its resources with the needs of its clients. This realignment resulted in resource rationalizations in certain more mature markets in which the Company operates. A restructuring charge of $13.3 million was recognized during the three months ended June 30, 2009 comprising $8.4 million in respect of office consolidations and $4.9 million is respect of workforce reductions.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Details of restructuring provisions recognized are as follows:</w:t>
            </w:r>
          </w:p>
        </w:tc>
        <w:tc>
          <w:tcPr>
            <w:tcW w:w="1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(in thousands)</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4,886</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8,548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released</w:t>
            </w:r>
          </w:p>
        </w:tc>
        <w:tc>
          <w:tcPr>
            <w:tcW w:w="1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provision recognised</w:t>
            </w:r>
          </w:p>
        </w:tc>
        <w:tc>
          <w:tcPr>
            <w:tcW w:w="17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4,886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8,415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7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write-off</w:t>
            </w:r>
          </w:p>
        </w:tc>
        <w:tc>
          <w:tcPr>
            <w:tcW w:w="1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provision (note 7)</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Tax Incentives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year ended December 31, 2009 the Company received research and development incentives in certain jurisdictions in which it operates. 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the operating expenditure to which the credits relate. Income of $4.5 million was recognized during the year ended December 31, 2009 in respect of these incentives.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14. Significant Concentrations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business with most major international pharmaceutical companies. Provision for doubtful debts at December 31, 2010 comprises: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6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6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20"/>
                <w:szCs w:val="20"/>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Opening provision</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7,474</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Amounts used during the year</w:t>
            </w:r>
          </w:p>
        </w:tc>
        <w:tc>
          <w:tcPr>
            <w:tcW w:w="28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23"/>
        </w:trPr>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Amounts (released)/provided during the year</w:t>
            </w:r>
          </w:p>
        </w:tc>
        <w:tc>
          <w:tcPr>
            <w:tcW w:w="28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6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432"/>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provision</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5,210</w:t>
            </w:r>
          </w:p>
        </w:tc>
        <w:tc>
          <w:tcPr>
            <w:tcW w:w="6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3,284</w:t>
            </w:r>
          </w:p>
        </w:tc>
      </w:tr>
      <w:tr>
        <w:trPr>
          <w:trHeight w:val="21"/>
        </w:trPr>
        <w:tc>
          <w:tcPr>
            <w:tcW w:w="60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several non-cancelable operating leases, primarily for facilities, that expire over the next 12 years. These leases generally contain renewal options and require the Company to pay all executory costs such as maintenance and insurance. The Company recognized $45.6 million, $45.2 million and $46.0 million in rental expense for the years ended December 31, 2008, December 31, 2009 and December 31, 2010 respectively. Future minimum rental commitments for operating leases with non-cancelable terms in excess of one year are as follows: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Minimum rental</w:t>
            </w:r>
          </w:p>
        </w:tc>
      </w:tr>
      <w:tr>
        <w:trPr>
          <w:trHeight w:val="216"/>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payments</w:t>
            </w:r>
          </w:p>
        </w:tc>
      </w:tr>
      <w:tr>
        <w:trPr>
          <w:trHeight w:val="234"/>
        </w:trPr>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39,405</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34,302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25,327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w:t>
            </w:r>
          </w:p>
        </w:tc>
      </w:tr>
      <w:tr>
        <w:trPr>
          <w:trHeight w:val="223"/>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35,939</w:t>
            </w:r>
          </w:p>
        </w:tc>
      </w:tr>
      <w:tr>
        <w:trPr>
          <w:trHeight w:val="473"/>
        </w:trPr>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184,150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 number of capital leases, primarily over furniture and equipment, which expire during 2011. Future commitments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040" w:type="dxa"/>
            <w:vAlign w:val="bottom"/>
            <w:gridSpan w:val="2"/>
          </w:tcPr>
          <w:p>
            <w:pPr>
              <w:jc w:val="right"/>
              <w:spacing w:after="0"/>
              <w:rPr>
                <w:sz w:val="20"/>
                <w:szCs w:val="20"/>
                <w:color w:val="auto"/>
              </w:rPr>
            </w:pPr>
            <w:r>
              <w:rPr>
                <w:rFonts w:ascii="Arial" w:cs="Arial" w:eastAsia="Arial" w:hAnsi="Arial"/>
                <w:sz w:val="18"/>
                <w:szCs w:val="18"/>
                <w:b w:val="1"/>
                <w:bCs w:val="1"/>
                <w:color w:val="auto"/>
              </w:rPr>
              <w:t>Lease payments</w:t>
            </w:r>
          </w:p>
        </w:tc>
        <w:tc>
          <w:tcPr>
            <w:tcW w:w="172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2012</w:t>
            </w:r>
          </w:p>
        </w:tc>
        <w:tc>
          <w:tcPr>
            <w:tcW w:w="3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2014</w:t>
            </w:r>
          </w:p>
        </w:tc>
        <w:tc>
          <w:tcPr>
            <w:tcW w:w="3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Thereafter</w:t>
            </w:r>
          </w:p>
        </w:tc>
        <w:tc>
          <w:tcPr>
            <w:tcW w:w="3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future finance charges</w:t>
            </w:r>
          </w:p>
        </w:tc>
        <w:tc>
          <w:tcPr>
            <w:tcW w:w="38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720" w:type="dxa"/>
            <w:vAlign w:val="bottom"/>
          </w:tcPr>
          <w:p>
            <w:pPr>
              <w:spacing w:after="0"/>
              <w:rPr>
                <w:sz w:val="18"/>
                <w:szCs w:val="18"/>
                <w:color w:val="auto"/>
              </w:rPr>
            </w:pPr>
          </w:p>
        </w:tc>
      </w:tr>
      <w:tr>
        <w:trPr>
          <w:trHeight w:val="21"/>
        </w:trPr>
        <w:tc>
          <w:tcPr>
            <w:tcW w:w="17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01"/>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840" w:type="dxa"/>
            <w:vAlign w:val="bottom"/>
          </w:tcPr>
          <w:p>
            <w:pPr>
              <w:jc w:val="right"/>
              <w:ind w:right="2610"/>
              <w:spacing w:after="0"/>
              <w:rPr>
                <w:sz w:val="20"/>
                <w:szCs w:val="20"/>
                <w:color w:val="auto"/>
              </w:rPr>
            </w:pPr>
            <w:r>
              <w:rPr>
                <w:rFonts w:ascii="Arial" w:cs="Arial" w:eastAsia="Arial" w:hAnsi="Arial"/>
                <w:sz w:val="18"/>
                <w:szCs w:val="18"/>
                <w:color w:val="auto"/>
              </w:rPr>
              <w:t>95</w:t>
            </w:r>
          </w:p>
        </w:tc>
        <w:tc>
          <w:tcPr>
            <w:tcW w:w="1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Enterprises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predominantly in the contract clinical research industry providing a broad range of clinical research and integrated product development services on a global basis for the pharmaceutical and biotechnology industries. Historically, the Group organized, operated and assessed its business in two segments, the clinical research segment and the central laboratory segment, which includes the Company’s central laboratories located in Dublin, New York, India, Singapore and China. During 2009 management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 In addition, the central laboratory division did not reach the thresholds of net revenue, income from operations and total assets as a requirement for being reported as a separate segment. Accordingly, in 2009 the Company consolidated and reclassified the results of the former central laboratory segment into the clinical research segment for the years ended December 31, 2009 and December 31, 2008.</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year ended December 31, 2010 the Company incurred losses in its central laboratory business, which in accordance with FASB ASC 280-10 </w:t>
      </w:r>
      <w:r>
        <w:rPr>
          <w:rFonts w:ascii="Arial" w:cs="Arial" w:eastAsia="Arial" w:hAnsi="Arial"/>
          <w:sz w:val="18"/>
          <w:szCs w:val="18"/>
          <w:i w:val="1"/>
          <w:iCs w:val="1"/>
          <w:color w:val="auto"/>
        </w:rPr>
        <w:t xml:space="preserve">Disclosures about Segments of an Enterprises and Related Information </w:t>
      </w:r>
      <w:r>
        <w:rPr>
          <w:rFonts w:ascii="Arial" w:cs="Arial" w:eastAsia="Arial" w:hAnsi="Arial"/>
          <w:sz w:val="18"/>
          <w:szCs w:val="18"/>
          <w:color w:val="auto"/>
        </w:rPr>
        <w:t>requires it to be reported as a separate segment. Accordingly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two reportable segments for the year ended December 31, 2010. The Company has reclassified the results of the central laboratory segment from the clinical research segment for the year ended December 31, 2008 and December 31, 2009.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areas of operation outside of Ireland principally include the United States, United Kingdom, France, Germany, Italy, Spain, The Netherlands, Sweden, Finland, Switzerland, Poland, Czech Republic, Lithuania, Latvia, Russia, Ukraine, Hungary, Israel, Romania, Canada, Mexico, Brazil, Colombia, Argentina, Chile, Peru, India, China, Hong Kong, South Korea, Japan, Thailand, Taiwan, Singapore, The Philippines, Australia, New Zealand, and South Africa. Segment information as at December 31, 2010 and December 31, 2009 and for the years ended December 31, 2008, December 31, 2009 and December 31, 2010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1"/>
        </w:trPr>
        <w:tc>
          <w:tcPr>
            <w:tcW w:w="6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Year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6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158,958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151,618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128,790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Rest of Europe</w:t>
            </w:r>
          </w:p>
        </w:tc>
        <w:tc>
          <w:tcPr>
            <w:tcW w:w="14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254,706</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251,104</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292,567</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379,140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408,561</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381,196</w:t>
            </w: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72,444</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76,329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97,491</w:t>
            </w:r>
          </w:p>
        </w:tc>
      </w:tr>
      <w:tr>
        <w:trPr>
          <w:trHeight w:val="473"/>
        </w:trPr>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865,248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887,612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900,044</w:t>
            </w:r>
          </w:p>
        </w:tc>
      </w:tr>
    </w:tbl>
    <w:p>
      <w:pPr>
        <w:spacing w:after="0" w:line="233"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distribution of net revenue by business segment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Year ended</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3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34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4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71,115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70,656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63,813</w:t>
            </w:r>
          </w:p>
        </w:tc>
      </w:tr>
      <w:tr>
        <w:trPr>
          <w:trHeight w:val="223"/>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4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794,133</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816,956</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836,231</w:t>
            </w:r>
          </w:p>
        </w:tc>
      </w:tr>
      <w:tr>
        <w:trPr>
          <w:trHeight w:val="473"/>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865,248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887,612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900,044</w:t>
            </w:r>
          </w:p>
        </w:tc>
      </w:tr>
      <w:tr>
        <w:trPr>
          <w:trHeight w:val="601"/>
        </w:trPr>
        <w:tc>
          <w:tcPr>
            <w:tcW w:w="3480" w:type="dxa"/>
            <w:vAlign w:val="bottom"/>
          </w:tcPr>
          <w:p>
            <w:pPr>
              <w:spacing w:after="0"/>
              <w:rPr>
                <w:sz w:val="24"/>
                <w:szCs w:val="24"/>
                <w:color w:val="auto"/>
              </w:rPr>
            </w:pPr>
          </w:p>
        </w:tc>
        <w:tc>
          <w:tcPr>
            <w:tcW w:w="4200" w:type="dxa"/>
            <w:vAlign w:val="bottom"/>
          </w:tcPr>
          <w:p>
            <w:pPr>
              <w:jc w:val="right"/>
              <w:ind w:right="1790"/>
              <w:spacing w:after="0"/>
              <w:rPr>
                <w:sz w:val="20"/>
                <w:szCs w:val="20"/>
                <w:color w:val="auto"/>
              </w:rPr>
            </w:pPr>
            <w:r>
              <w:rPr>
                <w:rFonts w:ascii="Arial" w:cs="Arial" w:eastAsia="Arial" w:hAnsi="Arial"/>
                <w:sz w:val="18"/>
                <w:szCs w:val="18"/>
                <w:color w:val="auto"/>
              </w:rPr>
              <w:t>96</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8"/>
        </w:trPr>
        <w:tc>
          <w:tcPr>
            <w:tcW w:w="348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 The distribution of income from operations by geographical area was as follows:</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Year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54,083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36,636</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Rest of Europe</w:t>
            </w: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7,960</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23,945</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24,212</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20,547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24,991</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25,017</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3,733</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473"/>
        </w:trPr>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99,504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107,452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92,095</w:t>
            </w:r>
          </w:p>
        </w:tc>
        <w:tc>
          <w:tcPr>
            <w:tcW w:w="0" w:type="dxa"/>
            <w:vAlign w:val="bottom"/>
          </w:tcPr>
          <w:p>
            <w:pPr>
              <w:spacing w:after="0"/>
              <w:rPr>
                <w:sz w:val="1"/>
                <w:szCs w:val="1"/>
                <w:color w:val="auto"/>
              </w:rPr>
            </w:pPr>
          </w:p>
        </w:tc>
      </w:tr>
      <w:tr>
        <w:trPr>
          <w:trHeight w:val="453"/>
        </w:trPr>
        <w:tc>
          <w:tcPr>
            <w:tcW w:w="7120" w:type="dxa"/>
            <w:vAlign w:val="bottom"/>
          </w:tcPr>
          <w:p>
            <w:pPr>
              <w:spacing w:after="0"/>
              <w:rPr>
                <w:sz w:val="20"/>
                <w:szCs w:val="20"/>
                <w:color w:val="auto"/>
              </w:rPr>
            </w:pPr>
            <w:r>
              <w:rPr>
                <w:rFonts w:ascii="Arial" w:cs="Arial" w:eastAsia="Arial" w:hAnsi="Arial"/>
                <w:sz w:val="18"/>
                <w:szCs w:val="18"/>
                <w:color w:val="auto"/>
              </w:rPr>
              <w:t>d) The distribution of income from operations by business segment was as follows: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Year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5,029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93,940</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102,423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104,854</w:t>
            </w:r>
          </w:p>
        </w:tc>
        <w:tc>
          <w:tcPr>
            <w:tcW w:w="0" w:type="dxa"/>
            <w:vAlign w:val="bottom"/>
          </w:tcPr>
          <w:p>
            <w:pPr>
              <w:spacing w:after="0"/>
              <w:rPr>
                <w:sz w:val="1"/>
                <w:szCs w:val="1"/>
                <w:color w:val="auto"/>
              </w:rPr>
            </w:pPr>
          </w:p>
        </w:tc>
      </w:tr>
      <w:tr>
        <w:trPr>
          <w:trHeight w:val="439"/>
        </w:trPr>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99,504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107,452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92,095</w:t>
            </w:r>
          </w:p>
        </w:tc>
        <w:tc>
          <w:tcPr>
            <w:tcW w:w="0" w:type="dxa"/>
            <w:vAlign w:val="bottom"/>
          </w:tcPr>
          <w:p>
            <w:pPr>
              <w:spacing w:after="0"/>
              <w:rPr>
                <w:sz w:val="1"/>
                <w:szCs w:val="1"/>
                <w:color w:val="auto"/>
              </w:rPr>
            </w:pPr>
          </w:p>
        </w:tc>
      </w:tr>
      <w:tr>
        <w:trPr>
          <w:trHeight w:val="459"/>
        </w:trPr>
        <w:tc>
          <w:tcPr>
            <w:tcW w:w="7120" w:type="dxa"/>
            <w:vAlign w:val="bottom"/>
          </w:tcPr>
          <w:p>
            <w:pPr>
              <w:spacing w:after="0"/>
              <w:rPr>
                <w:sz w:val="20"/>
                <w:szCs w:val="20"/>
                <w:color w:val="auto"/>
              </w:rPr>
            </w:pPr>
            <w:r>
              <w:rPr>
                <w:rFonts w:ascii="Arial" w:cs="Arial" w:eastAsia="Arial" w:hAnsi="Arial"/>
                <w:sz w:val="18"/>
                <w:szCs w:val="18"/>
                <w:color w:val="auto"/>
                <w:w w:val="94"/>
              </w:rPr>
              <w:t>e) The distribution of property, plant and equipment, net, by geographical area was as follows: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107,049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109,919</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Rest of Europe</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16,673</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16,675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45,194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33,855</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10,073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10,412</w:t>
            </w:r>
          </w:p>
        </w:tc>
        <w:tc>
          <w:tcPr>
            <w:tcW w:w="0" w:type="dxa"/>
            <w:vAlign w:val="bottom"/>
          </w:tcPr>
          <w:p>
            <w:pPr>
              <w:spacing w:after="0"/>
              <w:rPr>
                <w:sz w:val="1"/>
                <w:szCs w:val="1"/>
                <w:color w:val="auto"/>
              </w:rPr>
            </w:pPr>
          </w:p>
        </w:tc>
      </w:tr>
      <w:tr>
        <w:trPr>
          <w:trHeight w:val="473"/>
        </w:trPr>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178,989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170,861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 The distribution of property, plant and equipment, net, by business segment was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34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6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34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Pr>
          <w:p>
            <w:pPr>
              <w:spacing w:after="0"/>
              <w:rPr>
                <w:sz w:val="20"/>
                <w:szCs w:val="20"/>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5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20,525</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21,106</w:t>
            </w:r>
          </w:p>
        </w:tc>
      </w:tr>
      <w:tr>
        <w:trPr>
          <w:trHeight w:val="223"/>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5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158,464</w:t>
            </w: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149,755</w:t>
            </w:r>
          </w:p>
        </w:tc>
      </w:tr>
      <w:tr>
        <w:trPr>
          <w:trHeight w:val="473"/>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178,989</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170,861</w:t>
            </w:r>
          </w:p>
        </w:tc>
      </w:tr>
      <w:tr>
        <w:trPr>
          <w:trHeight w:val="601"/>
        </w:trPr>
        <w:tc>
          <w:tcPr>
            <w:tcW w:w="3480" w:type="dxa"/>
            <w:vAlign w:val="bottom"/>
          </w:tcPr>
          <w:p>
            <w:pPr>
              <w:spacing w:after="0"/>
              <w:rPr>
                <w:sz w:val="24"/>
                <w:szCs w:val="24"/>
                <w:color w:val="auto"/>
              </w:rPr>
            </w:pPr>
          </w:p>
        </w:tc>
        <w:tc>
          <w:tcPr>
            <w:tcW w:w="5420" w:type="dxa"/>
            <w:vAlign w:val="bottom"/>
          </w:tcPr>
          <w:p>
            <w:pPr>
              <w:jc w:val="right"/>
              <w:ind w:right="3010"/>
              <w:spacing w:after="0"/>
              <w:rPr>
                <w:sz w:val="20"/>
                <w:szCs w:val="20"/>
                <w:color w:val="auto"/>
              </w:rPr>
            </w:pPr>
            <w:r>
              <w:rPr>
                <w:rFonts w:ascii="Arial" w:cs="Arial" w:eastAsia="Arial" w:hAnsi="Arial"/>
                <w:sz w:val="18"/>
                <w:szCs w:val="18"/>
                <w:color w:val="auto"/>
              </w:rPr>
              <w:t>97</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8"/>
        </w:trPr>
        <w:tc>
          <w:tcPr>
            <w:tcW w:w="348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color w:val="auto"/>
                <w:w w:val="98"/>
              </w:rPr>
              <w:t>g) The distribution of depreciation and amortization by geographical area was as follows: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1"/>
        </w:trPr>
        <w:tc>
          <w:tcPr>
            <w:tcW w:w="6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Year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9,459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Rest of Europe</w:t>
            </w: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6,162</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5,960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5,543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13,945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12,422</w:t>
            </w: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2,489</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4,068</w:t>
            </w:r>
          </w:p>
        </w:tc>
      </w:tr>
      <w:tr>
        <w:trPr>
          <w:trHeight w:val="473"/>
        </w:trPr>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32,659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33,873</w:t>
            </w:r>
          </w:p>
        </w:tc>
      </w:tr>
      <w:tr>
        <w:trPr>
          <w:trHeight w:val="453"/>
        </w:trPr>
        <w:tc>
          <w:tcPr>
            <w:tcW w:w="6940" w:type="dxa"/>
            <w:vAlign w:val="bottom"/>
          </w:tcPr>
          <w:p>
            <w:pPr>
              <w:spacing w:after="0"/>
              <w:rPr>
                <w:sz w:val="20"/>
                <w:szCs w:val="20"/>
                <w:color w:val="auto"/>
              </w:rPr>
            </w:pPr>
            <w:r>
              <w:rPr>
                <w:rFonts w:ascii="Arial" w:cs="Arial" w:eastAsia="Arial" w:hAnsi="Arial"/>
                <w:sz w:val="18"/>
                <w:szCs w:val="18"/>
                <w:color w:val="auto"/>
                <w:w w:val="98"/>
              </w:rPr>
              <w:t>h) The distribution of depreciation and amortization by business segment was as follows: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1"/>
        </w:trPr>
        <w:tc>
          <w:tcPr>
            <w:tcW w:w="6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Year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4,888</w:t>
            </w: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25,481</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28,935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28,985</w:t>
            </w:r>
          </w:p>
        </w:tc>
      </w:tr>
      <w:tr>
        <w:trPr>
          <w:trHeight w:val="473"/>
        </w:trPr>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32,659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33,873</w:t>
            </w:r>
          </w:p>
        </w:tc>
      </w:tr>
      <w:tr>
        <w:trPr>
          <w:trHeight w:val="453"/>
        </w:trPr>
        <w:tc>
          <w:tcPr>
            <w:tcW w:w="6940" w:type="dxa"/>
            <w:vAlign w:val="bottom"/>
          </w:tcPr>
          <w:p>
            <w:pPr>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1"/>
        </w:trPr>
        <w:tc>
          <w:tcPr>
            <w:tcW w:w="6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319,528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418,098</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Rest of Europe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184,630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173,668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375,682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329,971</w:t>
            </w: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28,558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27,801</w:t>
            </w:r>
          </w:p>
        </w:tc>
      </w:tr>
      <w:tr>
        <w:trPr>
          <w:trHeight w:val="473"/>
        </w:trPr>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908,398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949,538</w:t>
            </w:r>
          </w:p>
        </w:tc>
      </w:tr>
      <w:tr>
        <w:trPr>
          <w:trHeight w:val="453"/>
        </w:trPr>
        <w:tc>
          <w:tcPr>
            <w:tcW w:w="6940" w:type="dxa"/>
            <w:vAlign w:val="bottom"/>
          </w:tcPr>
          <w:p>
            <w:pPr>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1"/>
        </w:trPr>
        <w:tc>
          <w:tcPr>
            <w:tcW w:w="6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6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61,809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60,004</w:t>
            </w: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846,589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889,534</w:t>
            </w:r>
          </w:p>
        </w:tc>
      </w:tr>
      <w:tr>
        <w:trPr>
          <w:trHeight w:val="473"/>
        </w:trPr>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908,398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949,538</w:t>
            </w:r>
          </w:p>
        </w:tc>
      </w:tr>
      <w:tr>
        <w:trPr>
          <w:trHeight w:val="601"/>
        </w:trPr>
        <w:tc>
          <w:tcPr>
            <w:tcW w:w="6940" w:type="dxa"/>
            <w:vAlign w:val="bottom"/>
          </w:tcPr>
          <w:p>
            <w:pPr>
              <w:ind w:left="5620"/>
              <w:spacing w:after="0"/>
              <w:rPr>
                <w:sz w:val="20"/>
                <w:szCs w:val="20"/>
                <w:color w:val="auto"/>
              </w:rPr>
            </w:pPr>
            <w:r>
              <w:rPr>
                <w:rFonts w:ascii="Arial" w:cs="Arial" w:eastAsia="Arial" w:hAnsi="Arial"/>
                <w:sz w:val="18"/>
                <w:szCs w:val="18"/>
                <w:color w:val="auto"/>
              </w:rPr>
              <w:t>98</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8"/>
        </w:trPr>
        <w:tc>
          <w:tcPr>
            <w:tcW w:w="69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k) The distribution of capital expenditures by geographical area was as follows:</w:t>
            </w: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1"/>
        </w:trPr>
        <w:tc>
          <w:tcPr>
            <w:tcW w:w="6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Year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6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Rest of Europe</w:t>
            </w:r>
          </w:p>
        </w:tc>
        <w:tc>
          <w:tcPr>
            <w:tcW w:w="1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10,736</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3,444</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5,869</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21,774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14,730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r>
      <w:tr>
        <w:trPr>
          <w:trHeight w:val="223"/>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5,185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3,777</w:t>
            </w:r>
          </w:p>
        </w:tc>
      </w:tr>
      <w:tr>
        <w:trPr>
          <w:trHeight w:val="473"/>
        </w:trPr>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72,124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34,814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31,593</w:t>
            </w:r>
          </w:p>
        </w:tc>
      </w:tr>
      <w:tr>
        <w:trPr>
          <w:trHeight w:val="453"/>
        </w:trPr>
        <w:tc>
          <w:tcPr>
            <w:tcW w:w="6580" w:type="dxa"/>
            <w:vAlign w:val="bottom"/>
          </w:tcPr>
          <w:p>
            <w:pPr>
              <w:spacing w:after="0"/>
              <w:rPr>
                <w:sz w:val="20"/>
                <w:szCs w:val="20"/>
                <w:color w:val="auto"/>
              </w:rPr>
            </w:pPr>
            <w:r>
              <w:rPr>
                <w:rFonts w:ascii="Arial" w:cs="Arial" w:eastAsia="Arial" w:hAnsi="Arial"/>
                <w:sz w:val="18"/>
                <w:szCs w:val="18"/>
                <w:color w:val="auto"/>
              </w:rPr>
              <w:t>l) The distribution of capital expenditures by business segment was as follows:</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1"/>
        </w:trPr>
        <w:tc>
          <w:tcPr>
            <w:tcW w:w="6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Year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6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10,774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3,991</w:t>
            </w:r>
          </w:p>
        </w:tc>
      </w:tr>
      <w:tr>
        <w:trPr>
          <w:trHeight w:val="223"/>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63,517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24,040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27,602</w:t>
            </w:r>
          </w:p>
        </w:tc>
      </w:tr>
      <w:tr>
        <w:trPr>
          <w:trHeight w:val="473"/>
        </w:trPr>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72,124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34,814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The following table sets forth the clients which represented 10% or more of the Company's net revenue in each of the periods set out below.</w:t>
      </w:r>
    </w:p>
    <w:p>
      <w:pPr>
        <w:spacing w:after="0" w:line="248"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ind w:left="7820"/>
        <w:spacing w:after="0"/>
        <w:tabs>
          <w:tab w:leader="none" w:pos="9160" w:val="left"/>
          <w:tab w:leader="none" w:pos="10520" w:val="left"/>
        </w:tabs>
        <w:rPr>
          <w:sz w:val="20"/>
          <w:szCs w:val="20"/>
          <w:color w:val="auto"/>
        </w:rPr>
      </w:pPr>
      <w:r>
        <w:rPr>
          <w:rFonts w:ascii="Arial" w:cs="Arial" w:eastAsia="Arial" w:hAnsi="Arial"/>
          <w:sz w:val="18"/>
          <w:szCs w:val="18"/>
          <w:b w:val="1"/>
          <w:bCs w:val="1"/>
          <w:color w:val="auto"/>
        </w:rPr>
        <w:t>December</w:t>
      </w:r>
      <w:r>
        <w:rPr>
          <w:sz w:val="20"/>
          <w:szCs w:val="20"/>
          <w:color w:val="auto"/>
        </w:rPr>
        <w:tab/>
      </w:r>
      <w:r>
        <w:rPr>
          <w:rFonts w:ascii="Arial" w:cs="Arial" w:eastAsia="Arial" w:hAnsi="Arial"/>
          <w:sz w:val="18"/>
          <w:szCs w:val="18"/>
          <w:b w:val="1"/>
          <w:bCs w:val="1"/>
          <w:color w:val="auto"/>
        </w:rPr>
        <w:t>December</w:t>
      </w:r>
      <w:r>
        <w:rPr>
          <w:sz w:val="20"/>
          <w:szCs w:val="20"/>
          <w:color w:val="auto"/>
        </w:rPr>
        <w:tab/>
      </w:r>
      <w:r>
        <w:rPr>
          <w:rFonts w:ascii="Arial" w:cs="Arial" w:eastAsia="Arial" w:hAnsi="Arial"/>
          <w:sz w:val="16"/>
          <w:szCs w:val="16"/>
          <w:b w:val="1"/>
          <w:bCs w:val="1"/>
          <w:color w:val="auto"/>
        </w:rPr>
        <w:t>December</w:t>
      </w:r>
    </w:p>
    <w:p>
      <w:pPr>
        <w:spacing w:after="0" w:line="9" w:lineRule="exact"/>
        <w:rPr>
          <w:sz w:val="20"/>
          <w:szCs w:val="20"/>
          <w:color w:val="auto"/>
        </w:rPr>
      </w:pPr>
    </w:p>
    <w:p>
      <w:pPr>
        <w:ind w:left="8240"/>
        <w:spacing w:after="0"/>
        <w:tabs>
          <w:tab w:leader="none" w:pos="9580" w:val="left"/>
          <w:tab w:leader="none" w:pos="10940" w:val="left"/>
        </w:tabs>
        <w:rPr>
          <w:sz w:val="20"/>
          <w:szCs w:val="20"/>
          <w:color w:val="auto"/>
        </w:rPr>
      </w:pPr>
      <w:r>
        <w:rPr>
          <w:rFonts w:ascii="Arial" w:cs="Arial" w:eastAsia="Arial" w:hAnsi="Arial"/>
          <w:sz w:val="18"/>
          <w:szCs w:val="18"/>
          <w:b w:val="1"/>
          <w:bCs w:val="1"/>
          <w:color w:val="auto"/>
        </w:rPr>
        <w:t>2008</w:t>
      </w:r>
      <w:r>
        <w:rPr>
          <w:sz w:val="20"/>
          <w:szCs w:val="20"/>
          <w:color w:val="auto"/>
        </w:rPr>
        <w:tab/>
      </w:r>
      <w:r>
        <w:rPr>
          <w:rFonts w:ascii="Arial" w:cs="Arial" w:eastAsia="Arial" w:hAnsi="Arial"/>
          <w:sz w:val="18"/>
          <w:szCs w:val="18"/>
          <w:b w:val="1"/>
          <w:bCs w:val="1"/>
          <w:color w:val="auto"/>
        </w:rPr>
        <w:t>2009</w:t>
      </w:r>
      <w:r>
        <w:rPr>
          <w:sz w:val="20"/>
          <w:szCs w:val="20"/>
          <w:color w:val="auto"/>
        </w:rPr>
        <w:tab/>
      </w:r>
      <w:r>
        <w:rPr>
          <w:rFonts w:ascii="Arial" w:cs="Arial" w:eastAsia="Arial" w:hAnsi="Arial"/>
          <w:sz w:val="16"/>
          <w:szCs w:val="16"/>
          <w:b w:val="1"/>
          <w:bCs w:val="1"/>
          <w:color w:val="auto"/>
        </w:rPr>
        <w:t>2010</w:t>
      </w:r>
    </w:p>
    <w:p>
      <w:pPr>
        <w:spacing w:after="0" w:line="211" w:lineRule="exact"/>
        <w:rPr>
          <w:sz w:val="20"/>
          <w:szCs w:val="20"/>
          <w:color w:val="auto"/>
        </w:rPr>
      </w:pPr>
    </w:p>
    <w:p>
      <w:pPr>
        <w:spacing w:after="0"/>
        <w:tabs>
          <w:tab w:leader="none" w:pos="8480" w:val="left"/>
          <w:tab w:leader="none" w:pos="9860" w:val="left"/>
          <w:tab w:leader="none" w:pos="11200" w:val="left"/>
        </w:tabs>
        <w:rPr>
          <w:sz w:val="20"/>
          <w:szCs w:val="20"/>
          <w:color w:val="auto"/>
        </w:rPr>
      </w:pPr>
      <w:r>
        <w:rPr>
          <w:rFonts w:ascii="Arial" w:cs="Arial" w:eastAsia="Arial" w:hAnsi="Arial"/>
          <w:sz w:val="18"/>
          <w:szCs w:val="18"/>
          <w:color w:val="auto"/>
        </w:rPr>
        <w:t>Client 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ind w:left="660" w:hanging="202"/>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Net revenue did not exceed 10%.</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distribution of interest income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Year ended</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3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33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43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r>
      <w:tr>
        <w:trPr>
          <w:trHeight w:val="601"/>
        </w:trPr>
        <w:tc>
          <w:tcPr>
            <w:tcW w:w="3360" w:type="dxa"/>
            <w:vAlign w:val="bottom"/>
          </w:tcPr>
          <w:p>
            <w:pPr>
              <w:spacing w:after="0"/>
              <w:rPr>
                <w:sz w:val="24"/>
                <w:szCs w:val="24"/>
                <w:color w:val="auto"/>
              </w:rPr>
            </w:pPr>
          </w:p>
        </w:tc>
        <w:tc>
          <w:tcPr>
            <w:tcW w:w="4320" w:type="dxa"/>
            <w:vAlign w:val="bottom"/>
          </w:tcPr>
          <w:p>
            <w:pPr>
              <w:jc w:val="right"/>
              <w:ind w:right="1790"/>
              <w:spacing w:after="0"/>
              <w:rPr>
                <w:sz w:val="20"/>
                <w:szCs w:val="20"/>
                <w:color w:val="auto"/>
              </w:rPr>
            </w:pPr>
            <w:r>
              <w:rPr>
                <w:rFonts w:ascii="Arial" w:cs="Arial" w:eastAsia="Arial" w:hAnsi="Arial"/>
                <w:sz w:val="18"/>
                <w:szCs w:val="18"/>
                <w:color w:val="auto"/>
              </w:rPr>
              <w:t>99</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8"/>
        </w:trPr>
        <w:tc>
          <w:tcPr>
            <w:tcW w:w="336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2"/>
              </w:rPr>
              <w:t>o) The distribution of interest income by business segment was as follows:</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2,773</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473"/>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453"/>
        </w:trPr>
        <w:tc>
          <w:tcPr>
            <w:tcW w:w="5480" w:type="dxa"/>
            <w:vAlign w:val="bottom"/>
          </w:tcPr>
          <w:p>
            <w:pPr>
              <w:spacing w:after="0"/>
              <w:rPr>
                <w:sz w:val="20"/>
                <w:szCs w:val="20"/>
                <w:color w:val="auto"/>
              </w:rPr>
            </w:pPr>
            <w:r>
              <w:rPr>
                <w:rFonts w:ascii="Arial" w:cs="Arial" w:eastAsia="Arial" w:hAnsi="Arial"/>
                <w:sz w:val="18"/>
                <w:szCs w:val="18"/>
                <w:color w:val="auto"/>
                <w:w w:val="93"/>
              </w:rPr>
              <w:t>p) The distribution of the tax charge by geographical area was as follows: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Rest of Europe</w:t>
            </w: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1,722</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4,202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9,224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7,820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1,943</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2,897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473"/>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19,967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10,375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453"/>
        </w:trPr>
        <w:tc>
          <w:tcPr>
            <w:tcW w:w="5480" w:type="dxa"/>
            <w:vAlign w:val="bottom"/>
          </w:tcPr>
          <w:p>
            <w:pPr>
              <w:spacing w:after="0"/>
              <w:rPr>
                <w:sz w:val="20"/>
                <w:szCs w:val="20"/>
                <w:color w:val="auto"/>
              </w:rPr>
            </w:pPr>
            <w:r>
              <w:rPr>
                <w:rFonts w:ascii="Arial" w:cs="Arial" w:eastAsia="Arial" w:hAnsi="Arial"/>
                <w:sz w:val="18"/>
                <w:szCs w:val="18"/>
                <w:color w:val="auto"/>
                <w:w w:val="93"/>
              </w:rPr>
              <w:t>q) The distribution of the tax charge by business segment was as follows: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20,364</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9,765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473"/>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19,967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10,375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453"/>
        </w:trPr>
        <w:tc>
          <w:tcPr>
            <w:tcW w:w="5480" w:type="dxa"/>
            <w:vAlign w:val="bottom"/>
          </w:tcPr>
          <w:p>
            <w:pPr>
              <w:spacing w:after="0"/>
              <w:rPr>
                <w:sz w:val="20"/>
                <w:szCs w:val="20"/>
                <w:color w:val="auto"/>
              </w:rPr>
            </w:pPr>
            <w:r>
              <w:rPr>
                <w:rFonts w:ascii="Arial" w:cs="Arial" w:eastAsia="Arial" w:hAnsi="Arial"/>
                <w:sz w:val="18"/>
                <w:szCs w:val="18"/>
                <w:b w:val="1"/>
                <w:bCs w:val="1"/>
                <w:color w:val="auto"/>
              </w:rPr>
              <w:t>17. Supplemental Disclosure of Cash Flow Information</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2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4,963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3,642</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57"/>
        </w:trPr>
        <w:tc>
          <w:tcPr>
            <w:tcW w:w="5480" w:type="dxa"/>
            <w:vAlign w:val="bottom"/>
            <w:tcBorders>
              <w:bottom w:val="single" w:sz="8" w:color="auto"/>
            </w:tcBorders>
            <w:shd w:val="clear" w:color="auto" w:fill="CCEEFF"/>
          </w:tcPr>
          <w:p>
            <w:pPr>
              <w:spacing w:after="0"/>
              <w:rPr>
                <w:sz w:val="22"/>
                <w:szCs w:val="22"/>
                <w:color w:val="auto"/>
              </w:rPr>
            </w:pPr>
          </w:p>
        </w:tc>
        <w:tc>
          <w:tcPr>
            <w:tcW w:w="220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54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2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19,543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12,977</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480" w:type="dxa"/>
            <w:vAlign w:val="bottom"/>
          </w:tcPr>
          <w:p>
            <w:pPr>
              <w:spacing w:after="0"/>
              <w:rPr>
                <w:sz w:val="24"/>
                <w:szCs w:val="24"/>
                <w:color w:val="auto"/>
              </w:rPr>
            </w:pPr>
          </w:p>
        </w:tc>
        <w:tc>
          <w:tcPr>
            <w:tcW w:w="2200" w:type="dxa"/>
            <w:vAlign w:val="bottom"/>
          </w:tcPr>
          <w:p>
            <w:pPr>
              <w:jc w:val="right"/>
              <w:ind w:right="1750"/>
              <w:spacing w:after="0"/>
              <w:rPr>
                <w:sz w:val="20"/>
                <w:szCs w:val="20"/>
                <w:color w:val="auto"/>
              </w:rPr>
            </w:pPr>
            <w:r>
              <w:rPr>
                <w:rFonts w:ascii="Arial" w:cs="Arial" w:eastAsia="Arial" w:hAnsi="Arial"/>
                <w:sz w:val="18"/>
                <w:szCs w:val="18"/>
                <w:color w:val="auto"/>
              </w:rPr>
              <w:t>100</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48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18. Accumulated Other Comprehensive Income</w:t>
            </w: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1"/>
        </w:trPr>
        <w:tc>
          <w:tcPr>
            <w:tcW w:w="6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62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6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34"/>
        </w:trPr>
        <w:tc>
          <w:tcPr>
            <w:tcW w:w="62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28,657</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18,956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Currency impact on long term funding</w:t>
            </w:r>
          </w:p>
        </w:tc>
        <w:tc>
          <w:tcPr>
            <w:tcW w:w="2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(19,031)</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(20,111)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Tax on currency impact on long term funding</w:t>
            </w: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1,444</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r>
      <w:tr>
        <w:trPr>
          <w:trHeight w:val="223"/>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Actuarial gain on defined benefit pension plan</w:t>
            </w:r>
          </w:p>
        </w:tc>
        <w:tc>
          <w:tcPr>
            <w:tcW w:w="2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1,514</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w:t>
            </w:r>
          </w:p>
        </w:tc>
      </w:tr>
      <w:tr>
        <w:trPr>
          <w:trHeight w:val="473"/>
        </w:trPr>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12,584</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Impact of New Accounting Pronouncements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December 2010 the FASB issued ASU No. 2010-29 Business Combinations (Topic 805): </w:t>
      </w:r>
      <w:r>
        <w:rPr>
          <w:rFonts w:ascii="Arial" w:cs="Arial" w:eastAsia="Arial" w:hAnsi="Arial"/>
          <w:sz w:val="16"/>
          <w:szCs w:val="16"/>
          <w:i w:val="1"/>
          <w:iCs w:val="1"/>
          <w:color w:val="auto"/>
        </w:rPr>
        <w:t>Disclosure of supplementary pro-forma information for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a consensus of the FASB Emerging Issues Task Force (“EITF”). ASU 2010-29 requires that the pro forma information be presented as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 occurred at the beginning of the prior annual reporting period for purposes of calculating both the current reporting period and the prior reporting period pro-forma financial information. The ASU also requires that this disclosure be accompanied by a narrative description of the amount and nature of material nonrecurring pro forma adjustments. The amendments in the ASU are effective for fiscal years beginning on or after December 15, 2010. The Company does not expect the adoption of ASU 2010-09 to have a material impact on the financial statements.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December 2010 the FASB issued ASU No. 2010-28 Intangibles – Goodwill and Other (Topic 350): </w:t>
      </w:r>
      <w:r>
        <w:rPr>
          <w:rFonts w:ascii="Arial" w:cs="Arial" w:eastAsia="Arial" w:hAnsi="Arial"/>
          <w:sz w:val="16"/>
          <w:szCs w:val="16"/>
          <w:i w:val="1"/>
          <w:iCs w:val="1"/>
          <w:color w:val="auto"/>
        </w:rPr>
        <w:t>When to perform Step 2 of the Goodwill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test for reporting units with zero or negative carrying amounts</w:t>
      </w:r>
      <w:r>
        <w:rPr>
          <w:rFonts w:ascii="Arial" w:cs="Arial" w:eastAsia="Arial" w:hAnsi="Arial"/>
          <w:sz w:val="16"/>
          <w:szCs w:val="16"/>
          <w:color w:val="auto"/>
        </w:rPr>
        <w:t>, a consensus of the FASB Emerging Issues Task Force (“EITF”). ASU 2010-28 modifies Step</w:t>
      </w:r>
      <w:r>
        <w:rPr>
          <w:rFonts w:ascii="Arial" w:cs="Arial" w:eastAsia="Arial" w:hAnsi="Arial"/>
          <w:sz w:val="16"/>
          <w:szCs w:val="16"/>
          <w:i w:val="1"/>
          <w:iCs w:val="1"/>
          <w:color w:val="auto"/>
        </w:rPr>
        <w:t xml:space="preserve"> </w:t>
      </w:r>
      <w:r>
        <w:rPr>
          <w:rFonts w:ascii="Arial" w:cs="Arial" w:eastAsia="Arial" w:hAnsi="Arial"/>
          <w:sz w:val="16"/>
          <w:szCs w:val="16"/>
          <w:color w:val="auto"/>
        </w:rPr>
        <w:t>1 of the goodwill impairment test for reporting units with zero or negative carrying amounts. For those reporting units, an entity is required to perform Step 2 of the goodwill impairment test if it is more likely than not that a goodwill impairment exists. ASU 2010-28 is effective for fiscal years beginning after December 15, 2010. The Company does not expect the adoption of ASU 2010-28 to have a material impact on the financial statements.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2010 the FASB issued ASU No. 2010-13 Compensation-Stock Compensation (Topic 718): </w:t>
      </w:r>
      <w:r>
        <w:rPr>
          <w:rFonts w:ascii="Arial" w:cs="Arial" w:eastAsia="Arial" w:hAnsi="Arial"/>
          <w:sz w:val="17"/>
          <w:szCs w:val="17"/>
          <w:i w:val="1"/>
          <w:iCs w:val="1"/>
          <w:color w:val="auto"/>
        </w:rPr>
        <w:t>Effect of denominating exercise price of a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award in the currency of the market in which the underlying equity security trades</w:t>
      </w:r>
      <w:r>
        <w:rPr>
          <w:rFonts w:ascii="Arial" w:cs="Arial" w:eastAsia="Arial" w:hAnsi="Arial"/>
          <w:sz w:val="17"/>
          <w:szCs w:val="17"/>
          <w:color w:val="auto"/>
        </w:rPr>
        <w:t>, a consensus of the FASB Emerging Issues Task Force</w:t>
      </w:r>
      <w:r>
        <w:rPr>
          <w:rFonts w:ascii="Arial" w:cs="Arial" w:eastAsia="Arial" w:hAnsi="Arial"/>
          <w:sz w:val="17"/>
          <w:szCs w:val="17"/>
          <w:i w:val="1"/>
          <w:iCs w:val="1"/>
          <w:color w:val="auto"/>
        </w:rPr>
        <w:t xml:space="preserve"> </w:t>
      </w:r>
      <w:r>
        <w:rPr>
          <w:rFonts w:ascii="Arial" w:cs="Arial" w:eastAsia="Arial" w:hAnsi="Arial"/>
          <w:sz w:val="17"/>
          <w:szCs w:val="17"/>
          <w:color w:val="auto"/>
        </w:rPr>
        <w:t>(“EITF”). ASU 2010-13 amends FASB ASC Topic 718, Compensation-Stock Compensation , to clarify that an employee share-based payment award with an exercise price denominated in the currency of a market in which a substantial portion of the equity securities trades should not be considered to contain a condition that is not a market, performance, or service condition. Therefore, an entity would not classify an award with such a feature as a liability if it otherwise qualifies as equity. The amendments should be applied by recording a cumulative effect adjustment to the opening balance of retained earnings. The amendments in the ASU are effective for fiscal years beginning on or after December 15, 2010. The Company does not expect the adoption of ASU 2010-13 to have a material impact on the financial statements.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2010 the FASB issued ASU No. 2010-06 Fair Value Measurements and Disclosures (Topic 820): </w:t>
      </w:r>
      <w:r>
        <w:rPr>
          <w:rFonts w:ascii="Arial" w:cs="Arial" w:eastAsia="Arial" w:hAnsi="Arial"/>
          <w:sz w:val="17"/>
          <w:szCs w:val="17"/>
          <w:i w:val="1"/>
          <w:iCs w:val="1"/>
          <w:color w:val="auto"/>
        </w:rPr>
        <w:t>Improving disclosures about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 consensus of the FASB Emerging Issues Task Force (“EITF”). ASU 2010-06 amends FASB ASC Topic 820 to require new disclosures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to clarify certain existing disclosures relating to fair value measurements. The new disclosures about purchases, sales, issuances, and settlements in the roll forward activity for Level 3 fair-value measurements are effective for fiscal years beginning after December 15, 2010.</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2009, the FASB issued ASU No. 2009-13 Revenue Recognition (Topic 605):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xml:space="preserve"> – a consensus of the FASB Emerging Issues Task Force, which amends the revenue recognition guidance for arrangements with multiple deliverables. The amendments to FASB ASC 605-25 allow vendors to account for products and services separately rather than as a combined unit. ASU 2009-13 is effective prospectively for revenue arrangements entered into or materially modified in fiscal years beginning on or after June 15, 2010. The Company does not expect the adoption of ASU 2009-13 to have a material impact on the financial statements.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20.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31, 2009 Dr. John Climax retired as Chairman of the Board of the Company. From January 2010 he has held the position as an outside director of the Company. The Company has entered into a three year agreement with Rotrua Limited, a company controlled by Dr. Climax, for the provision of consultancy services at an agreed fee of €262,500 ($348,968) per annum. The consultancy agreement provides that the Company will provide during the term of the agreement permanent disability and life insurance cover for Dr. Climax and medical insurance cover for himself and his dependants.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Edward Roberts, who resigned as a Director of the Company in April 2010, previously served as Chairman of Merz GmbH. Merz is an independent German pharmaceutical company focused on the development of drugs for the treatment of illnesses in the fields of neurology and psychiatry. ICON Clinical Research Limited, a wholly owned subsidiary of the Company, has entered into a number of contracts with Merz for the provision of consulting and clinical trial related activities. The total potential value of these contracts is $43.5 million. During the year ended December 31, 2009 the Company recognized a total of $9.8 million of revenue in relation to these activities. At December 31, 2009 $1.2 million was outstanding to be received from Merz GmbH.</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Dr. Bruce Given previously served as Acting Chief Medical Officer of Sembiosys Genetics Inc. (“Sembiosys”). Sembiosys is a plant biotechnology company specializing in the production of high-value pharmaceutical and non-pharmaceutical products. During the year ending December 31, 2008 Sembiosys engaged ICON Development Solutions, a wholly owned subsidiary of ICON, in consulting and clinical trial related activities. The total potential value of this study was $0.8 million. During the year ending December 31, 2009 ICON recognized a total of $0.3 million of revenue in relation to these activities. There were no amounts outstanding as at December 31,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14, 2011 the Company acquired approximately 80% of the common stock of Oxford Outcomes Limited, a leading international health outcomes consultancy business, headquartered in Oxford, United Kingdom, and with offices in the USA and Canada, for an initial cash consideration of £17.8 million ($28.4 million). Oxford Outcomes provides specialist services in the areas of patient reported outcomes (PRO), health economics, epidemiology and translation and linguistic validation. The Company holds an option to acquire the remaining 20% of the common stock of Oxford Outcomes Limited during the year ended December 31, 2011 for cash consideration of £3.8 million ($6.1 million). Further consideration of up to £8.0 million ($12.8 million), including £1.5 million ($2.4 million) relating to the remaining 20% of the common stock of Oxford Outcomes, may become payable during the period to March 31, 2012 if certain performance milestones are achieved.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560" w:type="dxa"/>
            <w:vAlign w:val="bottom"/>
          </w:tcPr>
          <w:p>
            <w:pPr>
              <w:spacing w:after="0"/>
              <w:rPr>
                <w:sz w:val="20"/>
                <w:szCs w:val="20"/>
                <w:color w:val="auto"/>
              </w:rPr>
            </w:pPr>
          </w:p>
        </w:tc>
      </w:tr>
      <w:tr>
        <w:trPr>
          <w:trHeight w:val="655"/>
        </w:trPr>
        <w:tc>
          <w:tcPr>
            <w:tcW w:w="3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Ciaran Murray</w:t>
            </w:r>
          </w:p>
        </w:tc>
        <w:tc>
          <w:tcPr>
            <w:tcW w:w="560" w:type="dxa"/>
            <w:vAlign w:val="bottom"/>
          </w:tcPr>
          <w:p>
            <w:pPr>
              <w:spacing w:after="0"/>
              <w:rPr>
                <w:sz w:val="24"/>
                <w:szCs w:val="24"/>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Date March 22, 2011</w:t>
            </w:r>
          </w:p>
        </w:tc>
        <w:tc>
          <w:tcPr>
            <w:tcW w:w="444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Ciaran Murray</w:t>
            </w:r>
          </w:p>
        </w:tc>
        <w:tc>
          <w:tcPr>
            <w:tcW w:w="56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20"/>
                <w:szCs w:val="20"/>
                <w:color w:val="auto"/>
              </w:rPr>
            </w:pPr>
          </w:p>
        </w:tc>
      </w:tr>
      <w:tr>
        <w:trPr>
          <w:trHeight w:val="824"/>
        </w:trPr>
        <w:tc>
          <w:tcPr>
            <w:tcW w:w="3560" w:type="dxa"/>
            <w:vAlign w:val="bottom"/>
          </w:tcPr>
          <w:p>
            <w:pPr>
              <w:spacing w:after="0"/>
              <w:rPr>
                <w:sz w:val="24"/>
                <w:szCs w:val="24"/>
                <w:color w:val="auto"/>
              </w:rPr>
            </w:pPr>
          </w:p>
        </w:tc>
        <w:tc>
          <w:tcPr>
            <w:tcW w:w="4440" w:type="dxa"/>
            <w:vAlign w:val="bottom"/>
          </w:tcPr>
          <w:p>
            <w:pPr>
              <w:jc w:val="right"/>
              <w:ind w:right="2070"/>
              <w:spacing w:after="0"/>
              <w:rPr>
                <w:sz w:val="20"/>
                <w:szCs w:val="20"/>
                <w:color w:val="auto"/>
              </w:rPr>
            </w:pPr>
            <w:r>
              <w:rPr>
                <w:rFonts w:ascii="Arial" w:cs="Arial" w:eastAsia="Arial" w:hAnsi="Arial"/>
                <w:sz w:val="18"/>
                <w:szCs w:val="18"/>
                <w:color w:val="auto"/>
              </w:rPr>
              <w:t>103</w:t>
            </w: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3560" w:type="dxa"/>
            <w:vAlign w:val="bottom"/>
            <w:tcBorders>
              <w:bottom w:val="single" w:sz="8" w:color="808080"/>
            </w:tcBorders>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5" w:name="page106"/>
    <w:bookmarkEnd w:id="105"/>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7"/>
          <w:szCs w:val="17"/>
          <w:color w:val="auto"/>
        </w:rPr>
        <w:t>Number</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10.1(d)</w:t>
      </w:r>
    </w:p>
    <w:p>
      <w:pPr>
        <w:spacing w:after="0" w:line="20" w:lineRule="exact"/>
        <w:rPr>
          <w:sz w:val="20"/>
          <w:szCs w:val="20"/>
          <w:color w:val="auto"/>
        </w:rPr>
      </w:pPr>
      <w:r>
        <w:rPr>
          <w:sz w:val="20"/>
          <w:szCs w:val="20"/>
          <w:color w:val="auto"/>
        </w:rPr>
        <w:br w:type="column"/>
      </w:r>
    </w:p>
    <w:p>
      <w:pPr>
        <w:ind w:left="352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Memorandum and Articles of Association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Amendment Number 2 to the Amended and Restated Office Space Lease, dated January 11, 2005, between ICON Clinical Research,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212 C Associates, L.P. (incorporated by reference to Exhibit 10.1(d) to the Form 20-F (File No. 333-08704) filed on March 31, 2009).</w:t>
      </w:r>
    </w:p>
    <w:p>
      <w:pPr>
        <w:spacing w:after="0" w:line="200" w:lineRule="exact"/>
        <w:rPr>
          <w:sz w:val="20"/>
          <w:szCs w:val="20"/>
          <w:color w:val="auto"/>
        </w:rPr>
      </w:pPr>
    </w:p>
    <w:p>
      <w:pPr>
        <w:sectPr>
          <w:pgSz w:w="11900" w:h="16838" w:orient="portrait"/>
          <w:cols w:equalWidth="0" w:num="2">
            <w:col w:w="700" w:space="600"/>
            <w:col w:w="10120"/>
          </w:cols>
          <w:pgMar w:left="240" w:top="486" w:right="239" w:bottom="1440" w:gutter="0" w:footer="0" w:header="0"/>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860" w:type="dxa"/>
            <w:vAlign w:val="bottom"/>
            <w:vMerge w:val="restart"/>
          </w:tcPr>
          <w:p>
            <w:pPr>
              <w:jc w:val="right"/>
              <w:ind w:right="350"/>
              <w:spacing w:after="0"/>
              <w:rPr>
                <w:sz w:val="20"/>
                <w:szCs w:val="20"/>
                <w:color w:val="auto"/>
              </w:rPr>
            </w:pPr>
            <w:r>
              <w:rPr>
                <w:rFonts w:ascii="Arial" w:cs="Arial" w:eastAsia="Arial" w:hAnsi="Arial"/>
                <w:sz w:val="18"/>
                <w:szCs w:val="18"/>
                <w:color w:val="auto"/>
              </w:rPr>
              <w:t>10.2</w:t>
            </w:r>
          </w:p>
        </w:tc>
        <w:tc>
          <w:tcPr>
            <w:tcW w:w="10480" w:type="dxa"/>
            <w:vAlign w:val="bottom"/>
          </w:tcPr>
          <w:p>
            <w:pPr>
              <w:ind w:left="360"/>
              <w:spacing w:after="0"/>
              <w:rPr>
                <w:sz w:val="20"/>
                <w:szCs w:val="20"/>
                <w:color w:val="auto"/>
              </w:rPr>
            </w:pPr>
            <w:r>
              <w:rPr>
                <w:rFonts w:ascii="Arial" w:cs="Arial" w:eastAsia="Arial" w:hAnsi="Arial"/>
                <w:sz w:val="18"/>
                <w:szCs w:val="18"/>
                <w:color w:val="auto"/>
                <w:w w:val="97"/>
              </w:rPr>
              <w:t>Agreement of Lease, dated August 13, 2001, between ICON Clinical Research (UK) Limited, ICON plc and Capital Business Parks</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0480" w:type="dxa"/>
            <w:vAlign w:val="bottom"/>
            <w:vMerge w:val="restart"/>
          </w:tcPr>
          <w:p>
            <w:pPr>
              <w:ind w:left="360"/>
              <w:spacing w:after="0"/>
              <w:rPr>
                <w:sz w:val="20"/>
                <w:szCs w:val="20"/>
                <w:color w:val="auto"/>
              </w:rPr>
            </w:pPr>
            <w:r>
              <w:rPr>
                <w:rFonts w:ascii="Arial" w:cs="Arial" w:eastAsia="Arial" w:hAnsi="Arial"/>
                <w:sz w:val="18"/>
                <w:szCs w:val="18"/>
                <w:color w:val="auto"/>
              </w:rPr>
              <w:t>Globeside Limited (incorporated by reference to Exhibit 10.2 to the Form 20-F (File No. 333-08704) filed on March 31, 2009).</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w w:val="93"/>
              </w:rPr>
              <w:t>Agreement of Lease, dated November 29, 2002, between ICON Laboratories, Inc. and MSM Reality Co. LLC, Davrick, LLC and Sholom</w:t>
            </w:r>
          </w:p>
        </w:tc>
        <w:tc>
          <w:tcPr>
            <w:tcW w:w="0" w:type="dxa"/>
            <w:vAlign w:val="bottom"/>
          </w:tcPr>
          <w:p>
            <w:pPr>
              <w:spacing w:after="0"/>
              <w:rPr>
                <w:sz w:val="1"/>
                <w:szCs w:val="1"/>
                <w:color w:val="auto"/>
              </w:rPr>
            </w:pPr>
          </w:p>
        </w:tc>
      </w:tr>
      <w:tr>
        <w:trPr>
          <w:trHeight w:val="216"/>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10480" w:type="dxa"/>
            <w:vAlign w:val="bottom"/>
          </w:tcPr>
          <w:p>
            <w:pPr>
              <w:ind w:left="360"/>
              <w:spacing w:after="0"/>
              <w:rPr>
                <w:sz w:val="20"/>
                <w:szCs w:val="20"/>
                <w:color w:val="auto"/>
              </w:rPr>
            </w:pPr>
            <w:r>
              <w:rPr>
                <w:rFonts w:ascii="Arial" w:cs="Arial" w:eastAsia="Arial" w:hAnsi="Arial"/>
                <w:sz w:val="18"/>
                <w:szCs w:val="18"/>
                <w:color w:val="auto"/>
                <w:w w:val="93"/>
              </w:rPr>
              <w:t>Blau Co. LLC (together, the “Landlord”). (incorporated by reference to Exhibit 10.3 to the Form 20-F (File No. 333-08704) filed on March</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80" w:type="dxa"/>
            <w:vAlign w:val="bottom"/>
          </w:tcPr>
          <w:p>
            <w:pPr>
              <w:ind w:left="360"/>
              <w:spacing w:after="0"/>
              <w:rPr>
                <w:sz w:val="20"/>
                <w:szCs w:val="20"/>
                <w:color w:val="auto"/>
              </w:rPr>
            </w:pPr>
            <w:r>
              <w:rPr>
                <w:rFonts w:ascii="Arial" w:cs="Arial" w:eastAsia="Arial" w:hAnsi="Arial"/>
                <w:sz w:val="18"/>
                <w:szCs w:val="18"/>
                <w:color w:val="auto"/>
              </w:rPr>
              <w:t>31, 2009).</w:t>
            </w:r>
          </w:p>
        </w:tc>
        <w:tc>
          <w:tcPr>
            <w:tcW w:w="0" w:type="dxa"/>
            <w:vAlign w:val="bottom"/>
          </w:tcPr>
          <w:p>
            <w:pPr>
              <w:spacing w:after="0"/>
              <w:rPr>
                <w:sz w:val="1"/>
                <w:szCs w:val="1"/>
                <w:color w:val="auto"/>
              </w:rPr>
            </w:pPr>
          </w:p>
        </w:tc>
      </w:tr>
      <w:tr>
        <w:trPr>
          <w:trHeight w:val="418"/>
        </w:trPr>
        <w:tc>
          <w:tcPr>
            <w:tcW w:w="860" w:type="dxa"/>
            <w:vAlign w:val="bottom"/>
            <w:vMerge w:val="restart"/>
          </w:tcPr>
          <w:p>
            <w:pPr>
              <w:jc w:val="right"/>
              <w:ind w:right="350"/>
              <w:spacing w:after="0"/>
              <w:rPr>
                <w:sz w:val="20"/>
                <w:szCs w:val="20"/>
                <w:color w:val="auto"/>
              </w:rPr>
            </w:pPr>
            <w:r>
              <w:rPr>
                <w:rFonts w:ascii="Arial" w:cs="Arial" w:eastAsia="Arial" w:hAnsi="Arial"/>
                <w:sz w:val="18"/>
                <w:szCs w:val="18"/>
                <w:color w:val="auto"/>
              </w:rPr>
              <w:t>10.4</w:t>
            </w:r>
          </w:p>
        </w:tc>
        <w:tc>
          <w:tcPr>
            <w:tcW w:w="10480" w:type="dxa"/>
            <w:vAlign w:val="bottom"/>
          </w:tcPr>
          <w:p>
            <w:pPr>
              <w:ind w:left="360"/>
              <w:spacing w:after="0"/>
              <w:rPr>
                <w:sz w:val="20"/>
                <w:szCs w:val="20"/>
                <w:color w:val="auto"/>
              </w:rPr>
            </w:pPr>
            <w:r>
              <w:rPr>
                <w:rFonts w:ascii="Arial" w:cs="Arial" w:eastAsia="Arial" w:hAnsi="Arial"/>
                <w:sz w:val="18"/>
                <w:szCs w:val="18"/>
                <w:color w:val="auto"/>
                <w:w w:val="96"/>
              </w:rPr>
              <w:t>Highwoods Properties Office Lease, dated February 17, 2003, between ICON Clinical Research, Inc. and Highwoods Realty Limited</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0480" w:type="dxa"/>
            <w:vAlign w:val="bottom"/>
            <w:vMerge w:val="restart"/>
          </w:tcPr>
          <w:p>
            <w:pPr>
              <w:ind w:left="360"/>
              <w:spacing w:after="0"/>
              <w:rPr>
                <w:sz w:val="20"/>
                <w:szCs w:val="20"/>
                <w:color w:val="auto"/>
              </w:rPr>
            </w:pPr>
            <w:r>
              <w:rPr>
                <w:rFonts w:ascii="Arial" w:cs="Arial" w:eastAsia="Arial" w:hAnsi="Arial"/>
                <w:sz w:val="18"/>
                <w:szCs w:val="18"/>
                <w:color w:val="auto"/>
              </w:rPr>
              <w:t>Partnership (incorporated by reference to Exhibit 10.4 to the Form 20-F (File No. 333-08704) filed on March 31, 2009).</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860" w:type="dxa"/>
            <w:vAlign w:val="bottom"/>
            <w:vMerge w:val="restart"/>
          </w:tcPr>
          <w:p>
            <w:pPr>
              <w:jc w:val="right"/>
              <w:ind w:right="350"/>
              <w:spacing w:after="0"/>
              <w:rPr>
                <w:sz w:val="20"/>
                <w:szCs w:val="20"/>
                <w:color w:val="auto"/>
              </w:rPr>
            </w:pPr>
            <w:r>
              <w:rPr>
                <w:rFonts w:ascii="Arial" w:cs="Arial" w:eastAsia="Arial" w:hAnsi="Arial"/>
                <w:sz w:val="18"/>
                <w:szCs w:val="18"/>
                <w:color w:val="auto"/>
              </w:rPr>
              <w:t>10.5</w:t>
            </w:r>
          </w:p>
        </w:tc>
        <w:tc>
          <w:tcPr>
            <w:tcW w:w="10480" w:type="dxa"/>
            <w:vAlign w:val="bottom"/>
          </w:tcPr>
          <w:p>
            <w:pPr>
              <w:ind w:left="360"/>
              <w:spacing w:after="0"/>
              <w:rPr>
                <w:sz w:val="20"/>
                <w:szCs w:val="20"/>
                <w:color w:val="auto"/>
              </w:rPr>
            </w:pPr>
            <w:r>
              <w:rPr>
                <w:rFonts w:ascii="Arial" w:cs="Arial" w:eastAsia="Arial" w:hAnsi="Arial"/>
                <w:sz w:val="18"/>
                <w:szCs w:val="18"/>
                <w:color w:val="auto"/>
                <w:w w:val="95"/>
              </w:rPr>
              <w:t>Amendment Number 4 to the Amended Office Space Lease, dated April 20, 2010 between Beacon Bioscience, Inc. and Stone Manor</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0480" w:type="dxa"/>
            <w:vAlign w:val="bottom"/>
            <w:vMerge w:val="restart"/>
          </w:tcPr>
          <w:p>
            <w:pPr>
              <w:ind w:left="360"/>
              <w:spacing w:after="0"/>
              <w:rPr>
                <w:sz w:val="20"/>
                <w:szCs w:val="20"/>
                <w:color w:val="auto"/>
              </w:rPr>
            </w:pPr>
            <w:r>
              <w:rPr>
                <w:rFonts w:ascii="Arial" w:cs="Arial" w:eastAsia="Arial" w:hAnsi="Arial"/>
                <w:sz w:val="18"/>
                <w:szCs w:val="18"/>
                <w:color w:val="auto"/>
              </w:rPr>
              <w:t>Partners, L.P.</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0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right"/>
              <w:ind w:right="270"/>
              <w:spacing w:after="0"/>
              <w:rPr>
                <w:sz w:val="20"/>
                <w:szCs w:val="20"/>
                <w:color w:val="auto"/>
              </w:rPr>
            </w:pPr>
            <w:r>
              <w:rPr>
                <w:rFonts w:ascii="Arial" w:cs="Arial" w:eastAsia="Arial" w:hAnsi="Arial"/>
                <w:sz w:val="18"/>
                <w:szCs w:val="18"/>
                <w:color w:val="auto"/>
              </w:rPr>
              <w:t>12.1*</w:t>
            </w:r>
          </w:p>
        </w:tc>
        <w:tc>
          <w:tcPr>
            <w:tcW w:w="10480" w:type="dxa"/>
            <w:vAlign w:val="bottom"/>
          </w:tcPr>
          <w:p>
            <w:pPr>
              <w:ind w:left="360"/>
              <w:spacing w:after="0"/>
              <w:rPr>
                <w:sz w:val="20"/>
                <w:szCs w:val="20"/>
                <w:color w:val="auto"/>
              </w:rPr>
            </w:pPr>
            <w:r>
              <w:rPr>
                <w:rFonts w:ascii="Arial" w:cs="Arial" w:eastAsia="Arial" w:hAnsi="Arial"/>
                <w:sz w:val="18"/>
                <w:szCs w:val="18"/>
                <w:color w:val="auto"/>
              </w:rPr>
              <w:t>Section 302 certifications.</w:t>
            </w:r>
          </w:p>
        </w:tc>
        <w:tc>
          <w:tcPr>
            <w:tcW w:w="0" w:type="dxa"/>
            <w:vAlign w:val="bottom"/>
          </w:tcPr>
          <w:p>
            <w:pPr>
              <w:spacing w:after="0"/>
              <w:rPr>
                <w:sz w:val="1"/>
                <w:szCs w:val="1"/>
                <w:color w:val="auto"/>
              </w:rPr>
            </w:pPr>
          </w:p>
        </w:tc>
      </w:tr>
      <w:tr>
        <w:trPr>
          <w:trHeight w:val="432"/>
        </w:trPr>
        <w:tc>
          <w:tcPr>
            <w:tcW w:w="860" w:type="dxa"/>
            <w:vAlign w:val="bottom"/>
          </w:tcPr>
          <w:p>
            <w:pPr>
              <w:jc w:val="right"/>
              <w:ind w:right="270"/>
              <w:spacing w:after="0"/>
              <w:rPr>
                <w:sz w:val="20"/>
                <w:szCs w:val="20"/>
                <w:color w:val="auto"/>
              </w:rPr>
            </w:pPr>
            <w:r>
              <w:rPr>
                <w:rFonts w:ascii="Arial" w:cs="Arial" w:eastAsia="Arial" w:hAnsi="Arial"/>
                <w:sz w:val="18"/>
                <w:szCs w:val="18"/>
                <w:color w:val="auto"/>
              </w:rPr>
              <w:t>12.2*</w:t>
            </w:r>
          </w:p>
        </w:tc>
        <w:tc>
          <w:tcPr>
            <w:tcW w:w="10480" w:type="dxa"/>
            <w:vAlign w:val="bottom"/>
          </w:tcPr>
          <w:p>
            <w:pPr>
              <w:ind w:left="360"/>
              <w:spacing w:after="0"/>
              <w:rPr>
                <w:sz w:val="20"/>
                <w:szCs w:val="20"/>
                <w:color w:val="auto"/>
              </w:rPr>
            </w:pPr>
            <w:r>
              <w:rPr>
                <w:rFonts w:ascii="Arial" w:cs="Arial" w:eastAsia="Arial" w:hAnsi="Arial"/>
                <w:sz w:val="18"/>
                <w:szCs w:val="18"/>
                <w:color w:val="auto"/>
              </w:rPr>
              <w:t>Section 906 certifications.</w:t>
            </w:r>
          </w:p>
        </w:tc>
        <w:tc>
          <w:tcPr>
            <w:tcW w:w="0" w:type="dxa"/>
            <w:vAlign w:val="bottom"/>
          </w:tcPr>
          <w:p>
            <w:pPr>
              <w:spacing w:after="0"/>
              <w:rPr>
                <w:sz w:val="1"/>
                <w:szCs w:val="1"/>
                <w:color w:val="auto"/>
              </w:rPr>
            </w:pPr>
          </w:p>
        </w:tc>
      </w:tr>
      <w:tr>
        <w:trPr>
          <w:trHeight w:val="432"/>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21.1</w:t>
            </w:r>
          </w:p>
        </w:tc>
        <w:tc>
          <w:tcPr>
            <w:tcW w:w="10480" w:type="dxa"/>
            <w:vAlign w:val="bottom"/>
          </w:tcPr>
          <w:p>
            <w:pPr>
              <w:ind w:left="36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c>
          <w:tcPr>
            <w:tcW w:w="0" w:type="dxa"/>
            <w:vAlign w:val="bottom"/>
          </w:tcPr>
          <w:p>
            <w:pPr>
              <w:spacing w:after="0"/>
              <w:rPr>
                <w:sz w:val="1"/>
                <w:szCs w:val="1"/>
                <w:color w:val="auto"/>
              </w:rPr>
            </w:pPr>
          </w:p>
        </w:tc>
      </w:tr>
      <w:tr>
        <w:trPr>
          <w:trHeight w:val="432"/>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23.1</w:t>
            </w:r>
          </w:p>
        </w:tc>
        <w:tc>
          <w:tcPr>
            <w:tcW w:w="10480" w:type="dxa"/>
            <w:vAlign w:val="bottom"/>
          </w:tcPr>
          <w:p>
            <w:pPr>
              <w:ind w:left="360"/>
              <w:spacing w:after="0"/>
              <w:rPr>
                <w:sz w:val="20"/>
                <w:szCs w:val="20"/>
                <w:color w:val="auto"/>
              </w:rPr>
            </w:pPr>
            <w:r>
              <w:rPr>
                <w:rFonts w:ascii="Arial" w:cs="Arial" w:eastAsia="Arial" w:hAnsi="Arial"/>
                <w:sz w:val="18"/>
                <w:szCs w:val="18"/>
                <w:color w:val="auto"/>
              </w:rPr>
              <w:t>Consent of KPMG, Independent Registered Public Accounting Firm</w:t>
            </w:r>
          </w:p>
        </w:tc>
        <w:tc>
          <w:tcPr>
            <w:tcW w:w="0" w:type="dxa"/>
            <w:vAlign w:val="bottom"/>
          </w:tcPr>
          <w:p>
            <w:pPr>
              <w:spacing w:after="0"/>
              <w:rPr>
                <w:sz w:val="1"/>
                <w:szCs w:val="1"/>
                <w:color w:val="auto"/>
              </w:rPr>
            </w:pPr>
          </w:p>
        </w:tc>
      </w:tr>
      <w:tr>
        <w:trPr>
          <w:trHeight w:val="432"/>
        </w:trPr>
        <w:tc>
          <w:tcPr>
            <w:tcW w:w="860" w:type="dxa"/>
            <w:vAlign w:val="bottom"/>
          </w:tcPr>
          <w:p>
            <w:pPr>
              <w:jc w:val="right"/>
              <w:ind w:right="350"/>
              <w:spacing w:after="0"/>
              <w:rPr>
                <w:sz w:val="20"/>
                <w:szCs w:val="20"/>
                <w:color w:val="auto"/>
              </w:rPr>
            </w:pPr>
            <w:r>
              <w:rPr>
                <w:rFonts w:ascii="Arial" w:cs="Arial" w:eastAsia="Arial" w:hAnsi="Arial"/>
                <w:sz w:val="18"/>
                <w:szCs w:val="18"/>
                <w:color w:val="auto"/>
                <w:w w:val="88"/>
              </w:rPr>
              <w:t>101.1</w:t>
            </w:r>
          </w:p>
        </w:tc>
        <w:tc>
          <w:tcPr>
            <w:tcW w:w="10480" w:type="dxa"/>
            <w:vAlign w:val="bottom"/>
          </w:tcPr>
          <w:p>
            <w:pPr>
              <w:ind w:left="360"/>
              <w:spacing w:after="0"/>
              <w:rPr>
                <w:sz w:val="20"/>
                <w:szCs w:val="20"/>
                <w:color w:val="auto"/>
              </w:rPr>
            </w:pPr>
            <w:r>
              <w:rPr>
                <w:rFonts w:ascii="Arial" w:cs="Arial" w:eastAsia="Arial" w:hAnsi="Arial"/>
                <w:sz w:val="18"/>
                <w:szCs w:val="18"/>
                <w:color w:val="auto"/>
              </w:rPr>
              <w:t>Interactive Data Files (XBRL - Related Documents)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COMPANIES ACTS, 1963 to 2009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PUBLIC LIMITED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MEMORANDUM</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xml:space="preserve">- AND </w:t>
      </w:r>
      <w:r>
        <w:rPr>
          <w:rFonts w:ascii="Arial" w:cs="Arial" w:eastAsia="Arial" w:hAnsi="Arial"/>
          <w:sz w:val="18"/>
          <w:szCs w:val="18"/>
          <w:color w:val="auto"/>
        </w:rPr>
        <w: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ARTICLES OF ASSOCIATION</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r>
        <w:rPr>
          <w:rFonts w:ascii="Arial" w:cs="Arial" w:eastAsia="Arial" w:hAnsi="Arial"/>
          <w:sz w:val="18"/>
          <w:szCs w:val="18"/>
          <w:color w:val="auto"/>
        </w:rPr>
        <w:t>-</w:t>
      </w:r>
    </w:p>
    <w:p>
      <w:pPr>
        <w:spacing w:after="0" w:line="25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ICON PUBLIC LIMITED COMPANY</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amended by Special Resolutions up to</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including 19 July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1941830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07" w:name="page108"/>
    <w:bookmarkEnd w:id="107"/>
    <w:p>
      <w:pPr>
        <w:jc w:val="center"/>
        <w:ind w:right="-11"/>
        <w:spacing w:after="0"/>
        <w:rPr>
          <w:sz w:val="20"/>
          <w:szCs w:val="20"/>
          <w:color w:val="auto"/>
        </w:rPr>
      </w:pPr>
      <w:r>
        <w:rPr>
          <w:rFonts w:ascii="Arial" w:cs="Arial" w:eastAsia="Arial" w:hAnsi="Arial"/>
          <w:sz w:val="18"/>
          <w:szCs w:val="18"/>
          <w:color w:val="auto"/>
        </w:rPr>
        <w:t>COMPANIES ACTS, 1963 to 2009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PUBLIC LIMITED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MEMORANDUM OF ASSOCIATION</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OF -</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ICON PUBLIC LIMITED COMPANY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(as amended by Special Resolutions up to</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and including 19 July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72"/>
        <w:spacing w:after="0"/>
        <w:rPr>
          <w:sz w:val="20"/>
          <w:szCs w:val="20"/>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92" w:hanging="692"/>
        <w:spacing w:after="0"/>
        <w:tabs>
          <w:tab w:leader="none" w:pos="692"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name of the Company is Icon Public Limited Company.</w:t>
      </w:r>
    </w:p>
    <w:p>
      <w:pPr>
        <w:spacing w:after="0" w:line="252" w:lineRule="exact"/>
        <w:rPr>
          <w:rFonts w:ascii="Arial" w:cs="Arial" w:eastAsia="Arial" w:hAnsi="Arial"/>
          <w:sz w:val="18"/>
          <w:szCs w:val="18"/>
          <w:b w:val="1"/>
          <w:bCs w:val="1"/>
          <w:color w:val="auto"/>
        </w:rPr>
      </w:pPr>
    </w:p>
    <w:p>
      <w:pPr>
        <w:ind w:left="692" w:hanging="692"/>
        <w:spacing w:after="0"/>
        <w:tabs>
          <w:tab w:leader="none" w:pos="692"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Company is to be a public limited company.</w:t>
      </w:r>
    </w:p>
    <w:p>
      <w:pPr>
        <w:spacing w:after="0" w:line="252" w:lineRule="exact"/>
        <w:rPr>
          <w:rFonts w:ascii="Arial" w:cs="Arial" w:eastAsia="Arial" w:hAnsi="Arial"/>
          <w:sz w:val="18"/>
          <w:szCs w:val="18"/>
          <w:b w:val="1"/>
          <w:bCs w:val="1"/>
          <w:color w:val="auto"/>
        </w:rPr>
      </w:pPr>
    </w:p>
    <w:p>
      <w:pPr>
        <w:ind w:left="692" w:hanging="692"/>
        <w:spacing w:after="0"/>
        <w:tabs>
          <w:tab w:leader="none" w:pos="692"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objects for which the Company is established are:-</w:t>
      </w:r>
    </w:p>
    <w:p>
      <w:pPr>
        <w:spacing w:after="0" w:line="200" w:lineRule="exact"/>
        <w:rPr>
          <w:sz w:val="20"/>
          <w:szCs w:val="20"/>
          <w:color w:val="auto"/>
        </w:rPr>
      </w:pPr>
    </w:p>
    <w:p>
      <w:pPr>
        <w:spacing w:after="0" w:line="295" w:lineRule="exact"/>
        <w:rPr>
          <w:sz w:val="20"/>
          <w:szCs w:val="20"/>
          <w:color w:val="auto"/>
        </w:rPr>
      </w:pPr>
    </w:p>
    <w:p>
      <w:pPr>
        <w:ind w:left="692" w:hanging="692"/>
        <w:spacing w:after="0" w:line="276" w:lineRule="auto"/>
        <w:tabs>
          <w:tab w:leader="none" w:pos="69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carry on the business of an investment holding company and for that purpose to subscribe for, take, purchase or otherwise acquire and hold either in the name of the Company or in that of any nominee shares, stocks, debentures, debenture stock, bonds, notes, obligations and securities issued or guaranteed by any company wherever incorporated or carrying on business and debentures, debenture stock, bonds, notes, obligations and securities issued or guaranteed by any government, sovereign ruler, commissioners, public body or authority, supreme, dependent, municipal, local or otherwise in any part of the world generally to carry on business as an investment or holding company; and</w:t>
      </w:r>
    </w:p>
    <w:p>
      <w:pPr>
        <w:spacing w:after="0" w:line="199" w:lineRule="exact"/>
        <w:rPr>
          <w:rFonts w:ascii="Arial" w:cs="Arial" w:eastAsia="Arial" w:hAnsi="Arial"/>
          <w:sz w:val="17"/>
          <w:szCs w:val="17"/>
          <w:color w:val="auto"/>
        </w:rPr>
      </w:pPr>
    </w:p>
    <w:p>
      <w:pPr>
        <w:ind w:left="1372" w:hanging="683"/>
        <w:spacing w:after="0" w:line="293" w:lineRule="auto"/>
        <w:tabs>
          <w:tab w:leader="none" w:pos="1372" w:val="left"/>
        </w:tabs>
        <w:numPr>
          <w:ilvl w:val="2"/>
          <w:numId w:val="48"/>
        </w:numPr>
        <w:rPr>
          <w:rFonts w:ascii="Arial" w:cs="Arial" w:eastAsia="Arial" w:hAnsi="Arial"/>
          <w:sz w:val="16"/>
          <w:szCs w:val="16"/>
          <w:color w:val="auto"/>
        </w:rPr>
      </w:pPr>
      <w:r>
        <w:rPr>
          <w:rFonts w:ascii="Arial" w:cs="Arial" w:eastAsia="Arial" w:hAnsi="Arial"/>
          <w:sz w:val="16"/>
          <w:szCs w:val="16"/>
          <w:color w:val="auto"/>
        </w:rPr>
        <w:t>to acquire any such shares, stock, debentures, debenture stock, bonds, notes, obligations, or securities by public offer, original subscription, contract, tender, purchase, exchange, underwriting, participation in syndicates or otherwise, and whether or not fully paid up, and to subscribe for the same subject to such terms and conditions (if any) as may be thought fit and to hold, sell or otherwise and generally to sell exchange or otherwise dispose of deal with or turn to account any of the assets of the Company or any securities or investments of the Company acquired or agreed so to be and to invest in or to acquire by repurchase or otherwise any securities or investments of the kind before enumerated and to vary the securities and investments of the Company from time to time;</w:t>
      </w:r>
    </w:p>
    <w:p>
      <w:pPr>
        <w:spacing w:after="0" w:line="191" w:lineRule="exact"/>
        <w:rPr>
          <w:rFonts w:ascii="Arial" w:cs="Arial" w:eastAsia="Arial" w:hAnsi="Arial"/>
          <w:sz w:val="16"/>
          <w:szCs w:val="16"/>
          <w:color w:val="auto"/>
        </w:rPr>
      </w:pPr>
    </w:p>
    <w:p>
      <w:pPr>
        <w:ind w:left="1372" w:right="40" w:hanging="724"/>
        <w:spacing w:after="0" w:line="257" w:lineRule="auto"/>
        <w:tabs>
          <w:tab w:leader="none" w:pos="137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exercise and enforce all rights and powers conferred by or incidental to the ownership of any such shares, stock, obligations, or other securities including without prejudice to the generality of the foregoing all such powers of veto or control as may be conferred by virtue of the holding by the Company of some special proportion of the issued or nominal amount thereof and to provide managerial and other executive supervisory or consultant services for, or in relation to, any company in which the Company is interested upon such terms as may be thought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274" w:right="259" w:bottom="1440" w:gutter="0" w:footer="0" w:header="0"/>
        </w:sectPr>
      </w:pPr>
    </w:p>
    <w:bookmarkStart w:id="108" w:name="page109"/>
    <w:bookmarkEnd w:id="108"/>
    <w:p>
      <w:pPr>
        <w:ind w:left="1372" w:right="20" w:hanging="724"/>
        <w:spacing w:after="0" w:line="254" w:lineRule="auto"/>
        <w:tabs>
          <w:tab w:leader="none" w:pos="13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apply for, purchase or otherwise acquire and protect, prolong and renew in any part of the world, any patents, patent rights, brevets d'invention, licences, trade marks, technology and know-how, protections, concessions and the like, conferring any exclusive or non-exclusive or limited right to use, or any secret or other information as to any invention, process or privilege which may seem capable of being used for any of the purposes of the Company, or the acquisition of which may seem calculated directly or indirectly to benefit the Company, and to use, exercise, develop, manufacture under or grant licences or privileges in respect thereof or otherwise turn to account the property, rights and information so acquired, and to carry on any business in any way connected therewith, and to expend money in experimenting upon and testing and in improving, or seeking to improve any patents, inventions or rights which the Company may acquire or propose to acquire; and</w:t>
      </w:r>
    </w:p>
    <w:p>
      <w:pPr>
        <w:spacing w:after="0" w:line="219" w:lineRule="exact"/>
        <w:rPr>
          <w:rFonts w:ascii="Arial" w:cs="Arial" w:eastAsia="Arial" w:hAnsi="Arial"/>
          <w:sz w:val="18"/>
          <w:szCs w:val="18"/>
          <w:color w:val="auto"/>
        </w:rPr>
      </w:pPr>
    </w:p>
    <w:p>
      <w:pPr>
        <w:ind w:left="1372" w:hanging="724"/>
        <w:spacing w:after="0" w:line="312" w:lineRule="auto"/>
        <w:tabs>
          <w:tab w:leader="none" w:pos="1372" w:val="left"/>
        </w:tabs>
        <w:numPr>
          <w:ilvl w:val="1"/>
          <w:numId w:val="49"/>
        </w:numPr>
        <w:rPr>
          <w:rFonts w:ascii="Arial" w:cs="Arial" w:eastAsia="Arial" w:hAnsi="Arial"/>
          <w:sz w:val="16"/>
          <w:szCs w:val="16"/>
          <w:color w:val="auto"/>
        </w:rPr>
      </w:pPr>
      <w:r>
        <w:rPr>
          <w:rFonts w:ascii="Arial" w:cs="Arial" w:eastAsia="Arial" w:hAnsi="Arial"/>
          <w:sz w:val="16"/>
          <w:szCs w:val="16"/>
          <w:color w:val="auto"/>
        </w:rPr>
        <w:t>to do all or any of the above things in any part of the world and either as principals, agents, contractors, trustees or otherwise, and either by or through trustees, agents, sub-contractors or otherwise and either alone or in partnership or in conjunction with any person or company, and to contract for the carrying on of any operation connected with the Company's business by any person or company.</w:t>
      </w:r>
    </w:p>
    <w:p>
      <w:pPr>
        <w:spacing w:after="0" w:line="173" w:lineRule="exact"/>
        <w:rPr>
          <w:rFonts w:ascii="Arial" w:cs="Arial" w:eastAsia="Arial" w:hAnsi="Arial"/>
          <w:sz w:val="16"/>
          <w:szCs w:val="16"/>
          <w:color w:val="auto"/>
        </w:rPr>
      </w:pPr>
    </w:p>
    <w:p>
      <w:pPr>
        <w:ind w:left="692" w:right="140" w:hanging="692"/>
        <w:spacing w:after="0" w:line="302" w:lineRule="auto"/>
        <w:tabs>
          <w:tab w:leader="none" w:pos="69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carrying out of research in the fields of nutrition and metabolism and health with particular reference to the facts and problems appertaining to and effects of drugs, antibiotics, acids, alkalis, pharmaceutical, medicinal and chemical preparations, articles and compounds (whether of animal, vegetable or mineral origin), odours, liquids, foods, cosmetics, perfumes, pigments, oleaginous and vaporaceous substances and the effects of nutritional or metabolic status on pharmaconkinetics, pharmacodynamics, bioavailability, bioequivalence and metabolism of drugs.</w:t>
      </w:r>
    </w:p>
    <w:p>
      <w:pPr>
        <w:spacing w:after="0" w:line="181" w:lineRule="exact"/>
        <w:rPr>
          <w:rFonts w:ascii="Arial" w:cs="Arial" w:eastAsia="Arial" w:hAnsi="Arial"/>
          <w:sz w:val="16"/>
          <w:szCs w:val="16"/>
          <w:color w:val="auto"/>
        </w:rPr>
      </w:pPr>
    </w:p>
    <w:p>
      <w:pPr>
        <w:ind w:left="692" w:right="20" w:hanging="692"/>
        <w:spacing w:after="0" w:line="277" w:lineRule="auto"/>
        <w:tabs>
          <w:tab w:leader="none" w:pos="6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advancement in the knowledge of matters relating to the electromagnetics, radiation, ecology and environment and the pharmacologic effects of drugs, cosmetics, food substances, food additives and beverages.</w:t>
      </w:r>
    </w:p>
    <w:p>
      <w:pPr>
        <w:spacing w:after="0" w:line="197" w:lineRule="exact"/>
        <w:rPr>
          <w:rFonts w:ascii="Arial" w:cs="Arial" w:eastAsia="Arial" w:hAnsi="Arial"/>
          <w:sz w:val="18"/>
          <w:szCs w:val="18"/>
          <w:color w:val="auto"/>
        </w:rPr>
      </w:pPr>
    </w:p>
    <w:p>
      <w:pPr>
        <w:ind w:left="692" w:right="180" w:hanging="692"/>
        <w:spacing w:after="0" w:line="257" w:lineRule="auto"/>
        <w:tabs>
          <w:tab w:leader="none" w:pos="6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make provision and afford facilities for the training of approved persons with a view to preparing them as research workers in pharmacology, nutrition and metabolism, to encourage original research and to promote and grant scholarships and to conduct examinations and grant certificates and diplomas to such persons as satisfy the conditions prescribed by the Company (but so that no such certificate or diploma shall convey any statement expressing or implying that it is granted by or under the authority of the Departments of Health, Education, or any Government Department or Authority).</w:t>
      </w:r>
    </w:p>
    <w:p>
      <w:pPr>
        <w:spacing w:after="0" w:line="215" w:lineRule="exact"/>
        <w:rPr>
          <w:rFonts w:ascii="Arial" w:cs="Arial" w:eastAsia="Arial" w:hAnsi="Arial"/>
          <w:sz w:val="18"/>
          <w:szCs w:val="18"/>
          <w:color w:val="auto"/>
        </w:rPr>
      </w:pPr>
    </w:p>
    <w:p>
      <w:pPr>
        <w:ind w:left="692" w:right="40" w:hanging="692"/>
        <w:spacing w:after="0" w:line="277" w:lineRule="auto"/>
        <w:tabs>
          <w:tab w:leader="none" w:pos="6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carry on the business of data management and processing operations whether by automatic processing or otherwise and including but not limited to the collection, processing, keeping, use and disclosure of information in accordance with any applicable laws.</w:t>
      </w:r>
    </w:p>
    <w:p>
      <w:pPr>
        <w:spacing w:after="0" w:line="197" w:lineRule="exact"/>
        <w:rPr>
          <w:rFonts w:ascii="Arial" w:cs="Arial" w:eastAsia="Arial" w:hAnsi="Arial"/>
          <w:sz w:val="18"/>
          <w:szCs w:val="18"/>
          <w:color w:val="auto"/>
        </w:rPr>
      </w:pPr>
    </w:p>
    <w:p>
      <w:pPr>
        <w:jc w:val="both"/>
        <w:ind w:left="692" w:hanging="692"/>
        <w:spacing w:after="0" w:line="342" w:lineRule="auto"/>
        <w:tabs>
          <w:tab w:leader="none" w:pos="69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carry on any other business except the issuing of policies of insurance which may seem to the Company capable of being conveniently carried on in connection with the above or calculated directly or indirectly to enhance the value of or render profitable any of the Company's property or rights.</w:t>
      </w:r>
    </w:p>
    <w:p>
      <w:pPr>
        <w:spacing w:after="0" w:line="150" w:lineRule="exact"/>
        <w:rPr>
          <w:rFonts w:ascii="Arial" w:cs="Arial" w:eastAsia="Arial" w:hAnsi="Arial"/>
          <w:sz w:val="16"/>
          <w:szCs w:val="16"/>
          <w:color w:val="auto"/>
        </w:rPr>
      </w:pPr>
    </w:p>
    <w:p>
      <w:pPr>
        <w:ind w:left="692" w:hanging="692"/>
        <w:spacing w:after="0" w:line="270" w:lineRule="auto"/>
        <w:tabs>
          <w:tab w:leader="none" w:pos="692"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an object of the Company and as a pursuit in itself or otherwise and whether for the purpose of making a profit or avoiding a loss or for any other purpose whatsoever (whether or not the Company derives any benefit therefrom), to engage in currency exchange and interest rate transactions and any other financial or other transactions of whatever nature, including (without limiting the foregoing) any transaction for the purposes of, or capable of being for the purposes of, avoiding, reducing, minimising, hedging against or otherwise managing the risk of any loss, cost, expense or liability existing, or which may arise, directly or indirectly, from a change or changes in any interest rate or currency exchange rate or in the price or value of any property, asset, commodity, index or liability or from any other risk or factor, including but not limited to dealings, whether involving purchases, sales or otherwise, in foreign and Irish currency, spot and forward exchange rate contracts, forward rate agreements, caps, floors and collars, futures, options, swaps, and any other currency interest rate and other hedging arrangements and such other instruments as are similar to, or derivatives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09" w:name="page110"/>
    <w:bookmarkEnd w:id="109"/>
    <w:p>
      <w:pPr>
        <w:ind w:left="692" w:hanging="692"/>
        <w:spacing w:after="0" w:line="264"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invest any monies of the Company in such investments (including shares in the Company) and in such manner as may from time to time be determined and to hold, sell or deal with such investments and generally to purchase, take on lease or in exchange or otherwise acquire any real and personal property and rights or privileges.</w:t>
      </w:r>
    </w:p>
    <w:p>
      <w:pPr>
        <w:spacing w:after="0" w:line="208" w:lineRule="exact"/>
        <w:rPr>
          <w:rFonts w:ascii="Arial" w:cs="Arial" w:eastAsia="Arial" w:hAnsi="Arial"/>
          <w:sz w:val="18"/>
          <w:szCs w:val="18"/>
          <w:color w:val="auto"/>
        </w:rPr>
      </w:pPr>
    </w:p>
    <w:p>
      <w:pPr>
        <w:ind w:left="692" w:right="20" w:hanging="692"/>
        <w:spacing w:after="0" w:line="255"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acquire by purchase, exchange, lease, fee farm grant or otherwise either for an estate in fee simple or for any lesser estate or other estate or interest whether immediate or reversionary, and whether vested or contingent, any lands, tenements or hereditaments of any tenure, whether subject or not to any charges or encumbrances, and to hold, farm, work, manage, sell, let, alienate, mortgage or charge any lands, tenements or hereditaments, or any estates or interests therein, and any reversions, interests, annuities, life policies, and any other property, real or personal, movable or immovable either absolutely or conditionally and either subject or not to any mortgage, charge, annuity, ground rent or other rent or encumbrance and generally to purchase, take on, lease or in exchange or otherwise acquire any real or personal property of any nature, including choses in action and any rights or privileges of any nature.</w:t>
      </w:r>
    </w:p>
    <w:p>
      <w:pPr>
        <w:spacing w:after="0" w:line="216" w:lineRule="exact"/>
        <w:rPr>
          <w:rFonts w:ascii="Arial" w:cs="Arial" w:eastAsia="Arial" w:hAnsi="Arial"/>
          <w:sz w:val="18"/>
          <w:szCs w:val="18"/>
          <w:color w:val="auto"/>
        </w:rPr>
      </w:pPr>
    </w:p>
    <w:p>
      <w:pPr>
        <w:ind w:left="692" w:hanging="692"/>
        <w:spacing w:after="0" w:line="259"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develop and turn to account any land acquired by the Company or in which it is interested and in particular by laying out and preparing the same for building purposes, constructing, altering, pulling down, decorating, maintaining, fitting up and improving buildings and conveniences and by planting, paving, draining, farming, cultivating, letting on building lease or building agreement and by advancing money to and entering into contracts and arrangements of all kinds with builders, tenants and others.</w:t>
      </w:r>
    </w:p>
    <w:p>
      <w:pPr>
        <w:spacing w:after="0" w:line="213" w:lineRule="exact"/>
        <w:rPr>
          <w:rFonts w:ascii="Arial" w:cs="Arial" w:eastAsia="Arial" w:hAnsi="Arial"/>
          <w:sz w:val="18"/>
          <w:szCs w:val="18"/>
          <w:color w:val="auto"/>
        </w:rPr>
      </w:pPr>
    </w:p>
    <w:p>
      <w:pPr>
        <w:ind w:left="692" w:right="200" w:hanging="692"/>
        <w:spacing w:after="0" w:line="264"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establish and carry on and to promote the establishment and carrying on upon any property in which the Company has any interest of any business which may be conveniently carried on upon or in connection with such property and the establishment of which may seem calculated to enhance the value of the Company's interest in such property and to facilitate the disposal thereof.</w:t>
      </w:r>
    </w:p>
    <w:p>
      <w:pPr>
        <w:spacing w:after="0" w:line="208" w:lineRule="exact"/>
        <w:rPr>
          <w:rFonts w:ascii="Arial" w:cs="Arial" w:eastAsia="Arial" w:hAnsi="Arial"/>
          <w:sz w:val="18"/>
          <w:szCs w:val="18"/>
          <w:color w:val="auto"/>
        </w:rPr>
      </w:pPr>
    </w:p>
    <w:p>
      <w:pPr>
        <w:ind w:left="692" w:right="40" w:hanging="692"/>
        <w:spacing w:after="0" w:line="264"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acquire and undertake the whole or any part of the undertaking, business, property and liabilities of any person or company carrying on any business which the Company is authorised to carry on or which is capable of being conducted so as to benefit the Company directly or indirectly or which is possessed of assets suitable for the purposes of the Company.</w:t>
      </w:r>
    </w:p>
    <w:p>
      <w:pPr>
        <w:spacing w:after="0" w:line="208" w:lineRule="exact"/>
        <w:rPr>
          <w:rFonts w:ascii="Arial" w:cs="Arial" w:eastAsia="Arial" w:hAnsi="Arial"/>
          <w:sz w:val="18"/>
          <w:szCs w:val="18"/>
          <w:color w:val="auto"/>
        </w:rPr>
      </w:pPr>
    </w:p>
    <w:p>
      <w:pPr>
        <w:ind w:left="692" w:hanging="692"/>
        <w:spacing w:after="0" w:line="312" w:lineRule="auto"/>
        <w:tabs>
          <w:tab w:leader="none" w:pos="6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lend money to such persons or companies either with or without security and upon such terms as may seem expedient and to guarantee the terms and provisions of any contracts or other obligations by any persons or companies and generally to give guarantees and indemnities for the obligations of any parties including the Company and whether or not the Company shall receive any consideration or other benefit for the same.</w:t>
      </w:r>
    </w:p>
    <w:p>
      <w:pPr>
        <w:spacing w:after="0" w:line="173" w:lineRule="exact"/>
        <w:rPr>
          <w:rFonts w:ascii="Arial" w:cs="Arial" w:eastAsia="Arial" w:hAnsi="Arial"/>
          <w:sz w:val="16"/>
          <w:szCs w:val="16"/>
          <w:color w:val="auto"/>
        </w:rPr>
      </w:pPr>
    </w:p>
    <w:p>
      <w:pPr>
        <w:ind w:left="692" w:right="100" w:hanging="692"/>
        <w:spacing w:after="0" w:line="257"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borrow or raise or secure the payment of money in such manner as the Company shall think fit and in particular by the issue of debentures or debenture stock, perpetual or otherwise or by mortgage charge or lien charged upon all or any of the Company's property, both present and future, including its uncalled capital, and to purchase, redeem or pay off any such securities and by a similar mortgage charge or lien to secure the obligations of the Company under any guarantee, indemnity, counter indemnity, negotiable instrument or other security instrument issued or given by the Company.</w:t>
      </w:r>
    </w:p>
    <w:p>
      <w:pPr>
        <w:spacing w:after="0" w:line="215" w:lineRule="exact"/>
        <w:rPr>
          <w:rFonts w:ascii="Arial" w:cs="Arial" w:eastAsia="Arial" w:hAnsi="Arial"/>
          <w:sz w:val="18"/>
          <w:szCs w:val="18"/>
          <w:color w:val="auto"/>
        </w:rPr>
      </w:pPr>
    </w:p>
    <w:p>
      <w:pPr>
        <w:ind w:left="692" w:hanging="692"/>
        <w:spacing w:after="0"/>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adopt such means of making known the Company and its products and services as may seem expedient.</w:t>
      </w:r>
    </w:p>
    <w:p>
      <w:pPr>
        <w:spacing w:after="0" w:line="252" w:lineRule="exact"/>
        <w:rPr>
          <w:rFonts w:ascii="Arial" w:cs="Arial" w:eastAsia="Arial" w:hAnsi="Arial"/>
          <w:sz w:val="18"/>
          <w:szCs w:val="18"/>
          <w:color w:val="auto"/>
        </w:rPr>
      </w:pPr>
    </w:p>
    <w:p>
      <w:pPr>
        <w:jc w:val="both"/>
        <w:ind w:left="692" w:right="100" w:hanging="692"/>
        <w:spacing w:after="0" w:line="264" w:lineRule="auto"/>
        <w:tabs>
          <w:tab w:leader="none" w:pos="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sell, improve, manage, develop, exchange, lease, mortgage, enfranchise, dispose of, turn to account or otherwise deal with all or any part of the property, undertaking, rights or assets of the Company and for such consideration as the Company might think fit. Generally to purchase, take on, lease or in exchange or otherwise acquire any real and personal property and rights or privileges.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517" w:right="319" w:bottom="1440" w:gutter="0" w:footer="0" w:header="0"/>
        </w:sectPr>
      </w:pPr>
    </w:p>
    <w:bookmarkStart w:id="110" w:name="page111"/>
    <w:bookmarkEnd w:id="110"/>
    <w:p>
      <w:pPr>
        <w:ind w:left="692" w:right="60" w:hanging="692"/>
        <w:spacing w:after="0" w:line="293" w:lineRule="auto"/>
        <w:tabs>
          <w:tab w:leader="none" w:pos="69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guarantee, support or secure, whether by personal covenant or by mortgaging or charging all or any part of the undertaking, property and assets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Section 155 of the Companies Act, 1963, or another subsidiary as defined by the said Section of the Company's holding company or otherwise associated with the Company in business and to grant indemnities of all kind whether with or without any such security as above mentioned.</w:t>
      </w:r>
    </w:p>
    <w:p>
      <w:pPr>
        <w:spacing w:after="0" w:line="191" w:lineRule="exact"/>
        <w:rPr>
          <w:rFonts w:ascii="Arial" w:cs="Arial" w:eastAsia="Arial" w:hAnsi="Arial"/>
          <w:sz w:val="16"/>
          <w:szCs w:val="16"/>
          <w:color w:val="auto"/>
        </w:rPr>
      </w:pPr>
    </w:p>
    <w:p>
      <w:pPr>
        <w:ind w:left="692" w:hanging="692"/>
        <w:spacing w:after="0"/>
        <w:tabs>
          <w:tab w:leader="none" w:pos="69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amalgamate with, merge with or otherwise become part of or associated with any other company or association in any manner permitted by law.</w:t>
      </w:r>
    </w:p>
    <w:p>
      <w:pPr>
        <w:spacing w:after="0" w:line="275" w:lineRule="exact"/>
        <w:rPr>
          <w:rFonts w:ascii="Arial" w:cs="Arial" w:eastAsia="Arial" w:hAnsi="Arial"/>
          <w:sz w:val="16"/>
          <w:szCs w:val="16"/>
          <w:color w:val="auto"/>
        </w:rPr>
      </w:pPr>
    </w:p>
    <w:p>
      <w:pPr>
        <w:ind w:left="692" w:right="40" w:hanging="692"/>
        <w:spacing w:after="0" w:line="264" w:lineRule="auto"/>
        <w:tabs>
          <w:tab w:leader="none" w:pos="6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enter into partnership or into any arrangement for sharing profits, union of interest, co-operation, joint venture, reciprocal concession or otherwise with any person or company or engage in any business or transaction capable of being conducted so as directly or indirectly to benefit the Company.</w:t>
      </w:r>
    </w:p>
    <w:p>
      <w:pPr>
        <w:spacing w:after="0" w:line="208" w:lineRule="exact"/>
        <w:rPr>
          <w:rFonts w:ascii="Arial" w:cs="Arial" w:eastAsia="Arial" w:hAnsi="Arial"/>
          <w:sz w:val="18"/>
          <w:szCs w:val="18"/>
          <w:color w:val="auto"/>
        </w:rPr>
      </w:pPr>
    </w:p>
    <w:p>
      <w:pPr>
        <w:jc w:val="both"/>
        <w:ind w:left="692" w:right="20" w:hanging="692"/>
        <w:spacing w:after="0" w:line="312" w:lineRule="auto"/>
        <w:tabs>
          <w:tab w:leader="none" w:pos="69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enter into any arrangement with any Government or authority supreme, municipal, local or otherwise that may seem conducive to the Company's objects or any of them and to obtain from any such government or authority, any rights, privileges and concessions which the Company may think it desirable to obtain, and to carry out exercise and comply with any such arrangements, rights, privileges and concessions.</w:t>
      </w:r>
    </w:p>
    <w:p>
      <w:pPr>
        <w:spacing w:after="0" w:line="173" w:lineRule="exact"/>
        <w:rPr>
          <w:rFonts w:ascii="Arial" w:cs="Arial" w:eastAsia="Arial" w:hAnsi="Arial"/>
          <w:sz w:val="16"/>
          <w:szCs w:val="16"/>
          <w:color w:val="auto"/>
        </w:rPr>
      </w:pPr>
    </w:p>
    <w:p>
      <w:pPr>
        <w:ind w:left="692" w:hanging="692"/>
        <w:spacing w:after="0" w:line="287" w:lineRule="auto"/>
        <w:tabs>
          <w:tab w:leader="none" w:pos="69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establish and maintain or procure the establishment and maintenance of any non-contributory or contributory pension or superannuation funds for the benefit of, and to give or procure the giving of donations, gratuities, pensions, allowances or emoluments to any persons who are or were at any time in the employment or service of the Company or any company which is a subsidiary of the Company or is allied to or associated with the Company or with any such subsidiary of the Company or is allied to or associated with the Company or with any such subsidiary, or who are or were at any time Directors or Officers of the Company or of any such other company, as aforesaid, or any person in whose welfare the Company or any such other company as aforesaid is or has been at any time interested and the wives, widows, families and dependants of any such persons, and also to establish and subsidise or subscribe to any institutions, associations, clubs or funds calculated to be for the benefit of or to advance the interest and well being of the Company or of any other such company as aforesaid or of any such persons as aforesaid and to make payments for or towards the insurance of any such persons as aforesaid, and to subscribe or guarantee money for charitable, benevolent or political objects including the promotion of the arts and cultural artistic and literary matters generally or for any exhibition or for any public, general or useful object, and to do any of the matters aforesaid either alone or in conjunction with any such other company or other person as aforesaid.</w:t>
      </w:r>
    </w:p>
    <w:p>
      <w:pPr>
        <w:spacing w:after="0" w:line="199" w:lineRule="exact"/>
        <w:rPr>
          <w:rFonts w:ascii="Arial" w:cs="Arial" w:eastAsia="Arial" w:hAnsi="Arial"/>
          <w:sz w:val="16"/>
          <w:szCs w:val="16"/>
          <w:color w:val="auto"/>
        </w:rPr>
      </w:pPr>
    </w:p>
    <w:p>
      <w:pPr>
        <w:ind w:left="692" w:right="40" w:hanging="692"/>
        <w:spacing w:after="0" w:line="302" w:lineRule="auto"/>
        <w:tabs>
          <w:tab w:leader="none" w:pos="69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establish and maintain a share option scheme or share option schemes as the Company may from time to time determine for any persons who are in the employment or service of the company or any subsidiary of the Company or any company which is allied to or associated with the company or with any such subsidiary or any person who are directors or officers of the Company or of any such other company as aforesaid or any person acting as a consultant to the Company or any subsidiary of the Company or such other persons as the Company may from time to time determine.</w:t>
      </w:r>
    </w:p>
    <w:p>
      <w:pPr>
        <w:spacing w:after="0" w:line="181" w:lineRule="exact"/>
        <w:rPr>
          <w:rFonts w:ascii="Arial" w:cs="Arial" w:eastAsia="Arial" w:hAnsi="Arial"/>
          <w:sz w:val="16"/>
          <w:szCs w:val="16"/>
          <w:color w:val="auto"/>
        </w:rPr>
      </w:pPr>
    </w:p>
    <w:p>
      <w:pPr>
        <w:ind w:left="692" w:right="320" w:hanging="692"/>
        <w:spacing w:after="0" w:line="277" w:lineRule="auto"/>
        <w:tabs>
          <w:tab w:leader="none" w:pos="6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insure the life of any individual who may, in the opinion of the Company, be of value to the Company, as having or holding for the Company interest, goodwill, or influence or otherwise and to pay the premiums on such insurance.</w:t>
      </w:r>
    </w:p>
    <w:p>
      <w:pPr>
        <w:spacing w:after="0" w:line="197" w:lineRule="exact"/>
        <w:rPr>
          <w:rFonts w:ascii="Arial" w:cs="Arial" w:eastAsia="Arial" w:hAnsi="Arial"/>
          <w:sz w:val="18"/>
          <w:szCs w:val="18"/>
          <w:color w:val="auto"/>
        </w:rPr>
      </w:pPr>
    </w:p>
    <w:p>
      <w:pPr>
        <w:ind w:left="692" w:right="280" w:hanging="692"/>
        <w:spacing w:after="0" w:line="277" w:lineRule="auto"/>
        <w:tabs>
          <w:tab w:leader="none" w:pos="6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promote any company or companies for the purpose of acquiring all or any of the property, assets and/or liabilities of the Company or for any other purpose which may seem directly or indirectly calculated to benefit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11" w:name="page112"/>
    <w:bookmarkEnd w:id="111"/>
    <w:p>
      <w:pPr>
        <w:ind w:left="692" w:right="40" w:hanging="692"/>
        <w:spacing w:after="0" w:line="264" w:lineRule="auto"/>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remunerate any person or company for services rendered or to be rendered in placing or assisting to place or guaranteeing the placing of any of the shares in the Company's capital or any debentures, debenture stock or other securities of the Company, or in or about the formation or promotion of the Company or the conduct of its business.</w:t>
      </w:r>
    </w:p>
    <w:p>
      <w:pPr>
        <w:spacing w:after="0" w:line="208" w:lineRule="exact"/>
        <w:rPr>
          <w:rFonts w:ascii="Arial" w:cs="Arial" w:eastAsia="Arial" w:hAnsi="Arial"/>
          <w:sz w:val="18"/>
          <w:szCs w:val="18"/>
          <w:color w:val="auto"/>
        </w:rPr>
      </w:pPr>
    </w:p>
    <w:p>
      <w:pPr>
        <w:ind w:left="692" w:right="420" w:hanging="692"/>
        <w:spacing w:after="0" w:line="277" w:lineRule="auto"/>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draw, make, accept, endorse, discount, execute and issue promissory notes, bills of exchange, bills of lading, warrants, debentures, letters of credit and other negotiable or transferable instruments.</w:t>
      </w:r>
    </w:p>
    <w:p>
      <w:pPr>
        <w:spacing w:after="0" w:line="197" w:lineRule="exact"/>
        <w:rPr>
          <w:rFonts w:ascii="Arial" w:cs="Arial" w:eastAsia="Arial" w:hAnsi="Arial"/>
          <w:sz w:val="18"/>
          <w:szCs w:val="18"/>
          <w:color w:val="auto"/>
        </w:rPr>
      </w:pPr>
    </w:p>
    <w:p>
      <w:pPr>
        <w:ind w:left="692" w:hanging="692"/>
        <w:spacing w:after="0"/>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undertake and execute any trusts the undertaking whereof may seem desirable, whether gratuitously or otherwise.</w:t>
      </w:r>
    </w:p>
    <w:p>
      <w:pPr>
        <w:spacing w:after="0" w:line="252" w:lineRule="exact"/>
        <w:rPr>
          <w:rFonts w:ascii="Arial" w:cs="Arial" w:eastAsia="Arial" w:hAnsi="Arial"/>
          <w:sz w:val="18"/>
          <w:szCs w:val="18"/>
          <w:color w:val="auto"/>
        </w:rPr>
      </w:pPr>
    </w:p>
    <w:p>
      <w:pPr>
        <w:ind w:left="692" w:right="200" w:hanging="692"/>
        <w:spacing w:after="0" w:line="308" w:lineRule="auto"/>
        <w:tabs>
          <w:tab w:leader="none" w:pos="69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sell or dispose of the undertaking of the Company or any part thereof for such consideration as the Company may think fit and in particular for shares, debentures, or securities or any other company having objects in whole or in part similar to those of this Company.</w:t>
      </w:r>
    </w:p>
    <w:p>
      <w:pPr>
        <w:spacing w:after="0" w:line="173" w:lineRule="exact"/>
        <w:rPr>
          <w:rFonts w:ascii="Arial" w:cs="Arial" w:eastAsia="Arial" w:hAnsi="Arial"/>
          <w:sz w:val="17"/>
          <w:szCs w:val="17"/>
          <w:color w:val="auto"/>
        </w:rPr>
      </w:pPr>
    </w:p>
    <w:p>
      <w:pPr>
        <w:ind w:left="692" w:right="180" w:hanging="692"/>
        <w:spacing w:after="0" w:line="264" w:lineRule="auto"/>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adopt such means of making known the products and business of the Company as may seem expedient and in particular by advertising in the press, by circulars, by purchase and exhibition of works of art or interest, by publication of books and periodicals, and by granting prizes, rewards, donations and other forms of sponsorship.</w:t>
      </w:r>
    </w:p>
    <w:p>
      <w:pPr>
        <w:spacing w:after="0" w:line="208" w:lineRule="exact"/>
        <w:rPr>
          <w:rFonts w:ascii="Arial" w:cs="Arial" w:eastAsia="Arial" w:hAnsi="Arial"/>
          <w:sz w:val="18"/>
          <w:szCs w:val="18"/>
          <w:color w:val="auto"/>
        </w:rPr>
      </w:pPr>
    </w:p>
    <w:p>
      <w:pPr>
        <w:ind w:left="692" w:hanging="692"/>
        <w:spacing w:after="0" w:line="259" w:lineRule="auto"/>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obtain any provisional Order or Act of the Oireachtas or any licence certificate or other authority for enabling the Company to carry any of its objects into effect or for effecting any modification of the Company's constitution or for any other purpose which may seem expedient and to oppose any proceedings applications or intended legislation or regulation which may seem calculated directly or indirectly to prejudice the Company's interests.</w:t>
      </w:r>
    </w:p>
    <w:p>
      <w:pPr>
        <w:spacing w:after="0" w:line="213" w:lineRule="exact"/>
        <w:rPr>
          <w:rFonts w:ascii="Arial" w:cs="Arial" w:eastAsia="Arial" w:hAnsi="Arial"/>
          <w:sz w:val="18"/>
          <w:szCs w:val="18"/>
          <w:color w:val="auto"/>
        </w:rPr>
      </w:pPr>
    </w:p>
    <w:p>
      <w:pPr>
        <w:ind w:left="692" w:hanging="692"/>
        <w:spacing w:after="0"/>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procure the Company to be registered or recognised in any country or place.</w:t>
      </w:r>
    </w:p>
    <w:p>
      <w:pPr>
        <w:spacing w:after="0" w:line="252" w:lineRule="exact"/>
        <w:rPr>
          <w:rFonts w:ascii="Arial" w:cs="Arial" w:eastAsia="Arial" w:hAnsi="Arial"/>
          <w:sz w:val="18"/>
          <w:szCs w:val="18"/>
          <w:color w:val="auto"/>
        </w:rPr>
      </w:pPr>
    </w:p>
    <w:p>
      <w:pPr>
        <w:ind w:left="692" w:right="20" w:hanging="692"/>
        <w:spacing w:after="0" w:line="257" w:lineRule="auto"/>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or opposing any strike movement or organisation which may be thought detrimental to the interests of the Company or its employees and to subscribe to any association or fund for any such purposes.</w:t>
      </w:r>
    </w:p>
    <w:p>
      <w:pPr>
        <w:spacing w:after="0" w:line="215" w:lineRule="exact"/>
        <w:rPr>
          <w:rFonts w:ascii="Arial" w:cs="Arial" w:eastAsia="Arial" w:hAnsi="Arial"/>
          <w:sz w:val="18"/>
          <w:szCs w:val="18"/>
          <w:color w:val="auto"/>
        </w:rPr>
      </w:pPr>
    </w:p>
    <w:p>
      <w:pPr>
        <w:ind w:left="692" w:right="60" w:hanging="692"/>
        <w:spacing w:after="0" w:line="264" w:lineRule="auto"/>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do all or any of the above things in any part of the world and either as principal, agent, contractor, trustee or otherwise, and either by or through trustees, agents, sub-contractors or otherwise and either alone or in partnership or in conjunction with any person or company and to contract for the carrying on of any operation connected with the Company's business by any person or company.</w:t>
      </w:r>
    </w:p>
    <w:p>
      <w:pPr>
        <w:spacing w:after="0" w:line="208" w:lineRule="exact"/>
        <w:rPr>
          <w:rFonts w:ascii="Arial" w:cs="Arial" w:eastAsia="Arial" w:hAnsi="Arial"/>
          <w:sz w:val="18"/>
          <w:szCs w:val="18"/>
          <w:color w:val="auto"/>
        </w:rPr>
      </w:pPr>
    </w:p>
    <w:p>
      <w:pPr>
        <w:ind w:left="692" w:hanging="692"/>
        <w:spacing w:after="0"/>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distribute any of the property of the Company in specie among the members.</w:t>
      </w:r>
    </w:p>
    <w:p>
      <w:pPr>
        <w:spacing w:after="0" w:line="252" w:lineRule="exact"/>
        <w:rPr>
          <w:rFonts w:ascii="Arial" w:cs="Arial" w:eastAsia="Arial" w:hAnsi="Arial"/>
          <w:sz w:val="18"/>
          <w:szCs w:val="18"/>
          <w:color w:val="auto"/>
        </w:rPr>
      </w:pPr>
    </w:p>
    <w:p>
      <w:pPr>
        <w:ind w:left="692" w:hanging="692"/>
        <w:spacing w:after="0"/>
        <w:tabs>
          <w:tab w:leader="none" w:pos="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do all such other things as the Company may think incidental or conducive to the attainment of the above objects or any of them.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72" w:right="160" w:hanging="1377"/>
        <w:spacing w:after="0" w:line="277" w:lineRule="auto"/>
        <w:tabs>
          <w:tab w:leader="none" w:pos="1352" w:val="left"/>
        </w:tabs>
        <w:rPr>
          <w:sz w:val="20"/>
          <w:szCs w:val="20"/>
          <w:color w:val="auto"/>
        </w:rPr>
      </w:pPr>
      <w:r>
        <w:rPr>
          <w:rFonts w:ascii="Arial" w:cs="Arial" w:eastAsia="Arial" w:hAnsi="Arial"/>
          <w:sz w:val="18"/>
          <w:szCs w:val="18"/>
          <w:color w:val="auto"/>
        </w:rPr>
        <w:t>NOTE A:</w:t>
      </w:r>
      <w:r>
        <w:rPr>
          <w:sz w:val="20"/>
          <w:szCs w:val="20"/>
          <w:color w:val="auto"/>
        </w:rPr>
        <w:tab/>
      </w:r>
      <w:r>
        <w:rPr>
          <w:rFonts w:ascii="Arial" w:cs="Arial" w:eastAsia="Arial" w:hAnsi="Arial"/>
          <w:sz w:val="18"/>
          <w:szCs w:val="18"/>
          <w:color w:val="auto"/>
        </w:rPr>
        <w:t>The objects specified in each paragraph of this clause shall, except where otherwise expressed in such paragraph, be in no way limited or restricted by reference to, or interference from, the terms of any other paragraph.</w:t>
      </w:r>
    </w:p>
    <w:p>
      <w:pPr>
        <w:spacing w:after="0" w:line="197" w:lineRule="exact"/>
        <w:rPr>
          <w:sz w:val="20"/>
          <w:szCs w:val="20"/>
          <w:color w:val="auto"/>
        </w:rPr>
      </w:pPr>
    </w:p>
    <w:p>
      <w:pPr>
        <w:ind w:left="1372" w:right="520" w:hanging="1377"/>
        <w:spacing w:after="0" w:line="308" w:lineRule="auto"/>
        <w:tabs>
          <w:tab w:leader="none" w:pos="1352" w:val="left"/>
        </w:tabs>
        <w:rPr>
          <w:sz w:val="20"/>
          <w:szCs w:val="20"/>
          <w:color w:val="auto"/>
        </w:rPr>
      </w:pPr>
      <w:r>
        <w:rPr>
          <w:rFonts w:ascii="Arial" w:cs="Arial" w:eastAsia="Arial" w:hAnsi="Arial"/>
          <w:sz w:val="18"/>
          <w:szCs w:val="18"/>
          <w:color w:val="auto"/>
        </w:rPr>
        <w:t>NOTE B:</w:t>
      </w:r>
      <w:r>
        <w:rPr>
          <w:sz w:val="20"/>
          <w:szCs w:val="20"/>
          <w:color w:val="auto"/>
        </w:rPr>
        <w:tab/>
      </w:r>
      <w:r>
        <w:rPr>
          <w:rFonts w:ascii="Arial" w:cs="Arial" w:eastAsia="Arial" w:hAnsi="Arial"/>
          <w:sz w:val="17"/>
          <w:szCs w:val="17"/>
          <w:color w:val="auto"/>
        </w:rPr>
        <w:t>It is hereby declared that the word "company" in this clause (except where it refers to this Company) shall be deemed to include any partnership or other body of persons, whether or not incorporated and whether formed in Ireland or elsewhere.</w:t>
      </w:r>
    </w:p>
    <w:p>
      <w:pPr>
        <w:spacing w:after="0" w:line="174" w:lineRule="exact"/>
        <w:rPr>
          <w:sz w:val="20"/>
          <w:szCs w:val="20"/>
          <w:color w:val="auto"/>
        </w:rPr>
      </w:pPr>
    </w:p>
    <w:p>
      <w:pPr>
        <w:ind w:left="692" w:hanging="692"/>
        <w:spacing w:after="0"/>
        <w:tabs>
          <w:tab w:leader="none" w:pos="6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liability of the members is limited.</w:t>
      </w:r>
    </w:p>
    <w:p>
      <w:pPr>
        <w:spacing w:after="0" w:line="252" w:lineRule="exact"/>
        <w:rPr>
          <w:rFonts w:ascii="Arial" w:cs="Arial" w:eastAsia="Arial" w:hAnsi="Arial"/>
          <w:sz w:val="18"/>
          <w:szCs w:val="18"/>
          <w:color w:val="auto"/>
        </w:rPr>
      </w:pPr>
    </w:p>
    <w:p>
      <w:pPr>
        <w:ind w:left="692" w:hanging="692"/>
        <w:spacing w:after="0"/>
        <w:tabs>
          <w:tab w:leader="none" w:pos="6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share capital of the Company is €6,000,000 divided into 100,000,000 Ordinary Shares of €0.06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424180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980" w:type="dxa"/>
            <w:vAlign w:val="bottom"/>
          </w:tcPr>
          <w:p>
            <w:pPr>
              <w:jc w:val="center"/>
              <w:ind w:right="4350"/>
              <w:spacing w:after="0"/>
              <w:rPr>
                <w:sz w:val="20"/>
                <w:szCs w:val="20"/>
                <w:color w:val="auto"/>
              </w:rPr>
            </w:pPr>
            <w:r>
              <w:rPr>
                <w:rFonts w:ascii="Arial" w:cs="Arial" w:eastAsia="Arial" w:hAnsi="Arial"/>
                <w:sz w:val="18"/>
                <w:szCs w:val="18"/>
                <w:b w:val="1"/>
                <w:bCs w:val="1"/>
                <w:color w:val="auto"/>
                <w:w w:val="89"/>
              </w:rPr>
              <w:t>Companies Acts, 1963 to 2009</w:t>
            </w:r>
          </w:p>
        </w:tc>
      </w:tr>
      <w:tr>
        <w:trPr>
          <w:trHeight w:val="945"/>
        </w:trPr>
        <w:tc>
          <w:tcPr>
            <w:tcW w:w="3440" w:type="dxa"/>
            <w:vAlign w:val="bottom"/>
          </w:tcPr>
          <w:p>
            <w:pPr>
              <w:spacing w:after="0"/>
              <w:rPr>
                <w:sz w:val="24"/>
                <w:szCs w:val="24"/>
                <w:color w:val="auto"/>
              </w:rPr>
            </w:pPr>
          </w:p>
        </w:tc>
        <w:tc>
          <w:tcPr>
            <w:tcW w:w="7980" w:type="dxa"/>
            <w:vAlign w:val="bottom"/>
            <w:gridSpan w:val="2"/>
          </w:tcPr>
          <w:p>
            <w:pPr>
              <w:jc w:val="center"/>
              <w:ind w:right="3330"/>
              <w:spacing w:after="0"/>
              <w:rPr>
                <w:sz w:val="20"/>
                <w:szCs w:val="20"/>
                <w:color w:val="auto"/>
              </w:rPr>
            </w:pPr>
            <w:r>
              <w:rPr>
                <w:rFonts w:ascii="Arial" w:cs="Arial" w:eastAsia="Arial" w:hAnsi="Arial"/>
                <w:sz w:val="18"/>
                <w:szCs w:val="18"/>
                <w:b w:val="1"/>
                <w:bCs w:val="1"/>
                <w:color w:val="auto"/>
              </w:rPr>
              <w:t>COMPANY LIMITED BY SHARES</w:t>
            </w:r>
          </w:p>
        </w:tc>
      </w:tr>
      <w:tr>
        <w:trPr>
          <w:trHeight w:val="945"/>
        </w:trPr>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980" w:type="dxa"/>
            <w:vAlign w:val="bottom"/>
          </w:tcPr>
          <w:p>
            <w:pPr>
              <w:jc w:val="center"/>
              <w:ind w:right="4350"/>
              <w:spacing w:after="0"/>
              <w:rPr>
                <w:sz w:val="20"/>
                <w:szCs w:val="20"/>
                <w:color w:val="auto"/>
              </w:rPr>
            </w:pPr>
            <w:r>
              <w:rPr>
                <w:rFonts w:ascii="Arial" w:cs="Arial" w:eastAsia="Arial" w:hAnsi="Arial"/>
                <w:sz w:val="18"/>
                <w:szCs w:val="18"/>
                <w:b w:val="1"/>
                <w:bCs w:val="1"/>
                <w:color w:val="auto"/>
                <w:w w:val="99"/>
              </w:rPr>
              <w:t>ARTICLES OF ASSOCIATION</w:t>
            </w:r>
          </w:p>
        </w:tc>
      </w:tr>
      <w:tr>
        <w:trPr>
          <w:trHeight w:val="459"/>
        </w:trPr>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980" w:type="dxa"/>
            <w:vAlign w:val="bottom"/>
          </w:tcPr>
          <w:p>
            <w:pPr>
              <w:jc w:val="center"/>
              <w:ind w:right="4350"/>
              <w:spacing w:after="0"/>
              <w:rPr>
                <w:sz w:val="20"/>
                <w:szCs w:val="20"/>
                <w:color w:val="auto"/>
              </w:rPr>
            </w:pPr>
            <w:r>
              <w:rPr>
                <w:rFonts w:ascii="Arial" w:cs="Arial" w:eastAsia="Arial" w:hAnsi="Arial"/>
                <w:sz w:val="18"/>
                <w:szCs w:val="18"/>
                <w:b w:val="1"/>
                <w:bCs w:val="1"/>
                <w:color w:val="auto"/>
              </w:rPr>
              <w:t>OF</w:t>
            </w:r>
          </w:p>
        </w:tc>
      </w:tr>
      <w:tr>
        <w:trPr>
          <w:trHeight w:val="445"/>
        </w:trPr>
        <w:tc>
          <w:tcPr>
            <w:tcW w:w="3440" w:type="dxa"/>
            <w:vAlign w:val="bottom"/>
          </w:tcPr>
          <w:p>
            <w:pPr>
              <w:spacing w:after="0"/>
              <w:rPr>
                <w:sz w:val="24"/>
                <w:szCs w:val="24"/>
                <w:color w:val="auto"/>
              </w:rPr>
            </w:pPr>
          </w:p>
        </w:tc>
        <w:tc>
          <w:tcPr>
            <w:tcW w:w="7980" w:type="dxa"/>
            <w:vAlign w:val="bottom"/>
            <w:gridSpan w:val="2"/>
          </w:tcPr>
          <w:p>
            <w:pPr>
              <w:jc w:val="center"/>
              <w:ind w:right="3350"/>
              <w:spacing w:after="0"/>
              <w:rPr>
                <w:sz w:val="20"/>
                <w:szCs w:val="20"/>
                <w:color w:val="auto"/>
              </w:rPr>
            </w:pPr>
            <w:r>
              <w:rPr>
                <w:rFonts w:ascii="Arial" w:cs="Arial" w:eastAsia="Arial" w:hAnsi="Arial"/>
                <w:sz w:val="18"/>
                <w:szCs w:val="18"/>
                <w:b w:val="1"/>
                <w:bCs w:val="1"/>
                <w:color w:val="auto"/>
              </w:rPr>
              <w:t>ICON PUBLIC LIMITED COMPANY</w:t>
            </w:r>
          </w:p>
        </w:tc>
      </w:tr>
      <w:tr>
        <w:trPr>
          <w:trHeight w:val="216"/>
        </w:trPr>
        <w:tc>
          <w:tcPr>
            <w:tcW w:w="3440" w:type="dxa"/>
            <w:vAlign w:val="bottom"/>
          </w:tcPr>
          <w:p>
            <w:pPr>
              <w:spacing w:after="0"/>
              <w:rPr>
                <w:sz w:val="18"/>
                <w:szCs w:val="18"/>
                <w:color w:val="auto"/>
              </w:rPr>
            </w:pPr>
          </w:p>
        </w:tc>
        <w:tc>
          <w:tcPr>
            <w:tcW w:w="7980" w:type="dxa"/>
            <w:vAlign w:val="bottom"/>
            <w:gridSpan w:val="2"/>
          </w:tcPr>
          <w:p>
            <w:pPr>
              <w:jc w:val="center"/>
              <w:ind w:right="3350"/>
              <w:spacing w:after="0"/>
              <w:rPr>
                <w:sz w:val="20"/>
                <w:szCs w:val="20"/>
                <w:color w:val="auto"/>
              </w:rPr>
            </w:pPr>
            <w:r>
              <w:rPr>
                <w:rFonts w:ascii="Arial" w:cs="Arial" w:eastAsia="Arial" w:hAnsi="Arial"/>
                <w:sz w:val="18"/>
                <w:szCs w:val="18"/>
                <w:color w:val="auto"/>
                <w:w w:val="91"/>
              </w:rPr>
              <w:t>(As amended by Special Resolutions up to and including</w:t>
            </w:r>
          </w:p>
        </w:tc>
      </w:tr>
      <w:tr>
        <w:trPr>
          <w:trHeight w:val="230"/>
        </w:trPr>
        <w:tc>
          <w:tcPr>
            <w:tcW w:w="3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980" w:type="dxa"/>
            <w:vAlign w:val="bottom"/>
          </w:tcPr>
          <w:p>
            <w:pPr>
              <w:jc w:val="center"/>
              <w:ind w:right="4350"/>
              <w:spacing w:after="0"/>
              <w:rPr>
                <w:sz w:val="20"/>
                <w:szCs w:val="20"/>
                <w:color w:val="auto"/>
              </w:rPr>
            </w:pPr>
            <w:r>
              <w:rPr>
                <w:rFonts w:ascii="Arial" w:cs="Arial" w:eastAsia="Arial" w:hAnsi="Arial"/>
                <w:sz w:val="18"/>
                <w:szCs w:val="18"/>
                <w:color w:val="auto"/>
                <w:w w:val="90"/>
              </w:rPr>
              <w:t>19 July 2010)</w:t>
            </w:r>
          </w:p>
        </w:tc>
      </w:tr>
      <w:tr>
        <w:trPr>
          <w:trHeight w:val="945"/>
        </w:trPr>
        <w:tc>
          <w:tcPr>
            <w:tcW w:w="3440" w:type="dxa"/>
            <w:vAlign w:val="bottom"/>
          </w:tcPr>
          <w:p>
            <w:pPr>
              <w:ind w:left="180"/>
              <w:spacing w:after="0"/>
              <w:rPr>
                <w:sz w:val="20"/>
                <w:szCs w:val="20"/>
                <w:color w:val="auto"/>
              </w:rPr>
            </w:pPr>
            <w:r>
              <w:rPr>
                <w:rFonts w:ascii="Arial" w:cs="Arial" w:eastAsia="Arial" w:hAnsi="Arial"/>
                <w:sz w:val="18"/>
                <w:szCs w:val="18"/>
                <w:b w:val="1"/>
                <w:bCs w:val="1"/>
                <w:color w:val="auto"/>
              </w:rPr>
              <w:t>Part I - Preliminary</w:t>
            </w:r>
          </w:p>
        </w:tc>
        <w:tc>
          <w:tcPr>
            <w:tcW w:w="1000" w:type="dxa"/>
            <w:vAlign w:val="bottom"/>
          </w:tcPr>
          <w:p>
            <w:pPr>
              <w:ind w:left="740"/>
              <w:spacing w:after="0"/>
              <w:rPr>
                <w:sz w:val="20"/>
                <w:szCs w:val="20"/>
                <w:color w:val="auto"/>
              </w:rPr>
            </w:pPr>
            <w:r>
              <w:rPr>
                <w:rFonts w:ascii="Arial" w:cs="Arial" w:eastAsia="Arial" w:hAnsi="Arial"/>
                <w:sz w:val="18"/>
                <w:szCs w:val="18"/>
                <w:color w:val="auto"/>
              </w:rPr>
              <w:t>1.</w:t>
            </w:r>
          </w:p>
        </w:tc>
        <w:tc>
          <w:tcPr>
            <w:tcW w:w="6980" w:type="dxa"/>
            <w:vAlign w:val="bottom"/>
          </w:tcPr>
          <w:p>
            <w:pPr>
              <w:ind w:left="900"/>
              <w:spacing w:after="0"/>
              <w:rPr>
                <w:sz w:val="20"/>
                <w:szCs w:val="20"/>
                <w:color w:val="auto"/>
              </w:rPr>
            </w:pPr>
            <w:r>
              <w:rPr>
                <w:rFonts w:ascii="Arial" w:cs="Arial" w:eastAsia="Arial" w:hAnsi="Arial"/>
                <w:sz w:val="18"/>
                <w:szCs w:val="18"/>
                <w:color w:val="auto"/>
              </w:rPr>
              <w:t>Interpretation</w:t>
            </w:r>
          </w:p>
        </w:tc>
      </w:tr>
      <w:tr>
        <w:trPr>
          <w:trHeight w:val="432"/>
        </w:trPr>
        <w:tc>
          <w:tcPr>
            <w:tcW w:w="3440" w:type="dxa"/>
            <w:vAlign w:val="bottom"/>
          </w:tcPr>
          <w:p>
            <w:pPr>
              <w:ind w:left="180"/>
              <w:spacing w:after="0"/>
              <w:rPr>
                <w:sz w:val="20"/>
                <w:szCs w:val="20"/>
                <w:color w:val="auto"/>
              </w:rPr>
            </w:pPr>
            <w:r>
              <w:rPr>
                <w:rFonts w:ascii="Arial" w:cs="Arial" w:eastAsia="Arial" w:hAnsi="Arial"/>
                <w:sz w:val="18"/>
                <w:szCs w:val="18"/>
                <w:b w:val="1"/>
                <w:bCs w:val="1"/>
                <w:color w:val="auto"/>
              </w:rPr>
              <w:t>Part II - Share Capital and Rights</w:t>
            </w:r>
          </w:p>
        </w:tc>
        <w:tc>
          <w:tcPr>
            <w:tcW w:w="1000" w:type="dxa"/>
            <w:vAlign w:val="bottom"/>
          </w:tcPr>
          <w:p>
            <w:pPr>
              <w:ind w:left="740"/>
              <w:spacing w:after="0"/>
              <w:rPr>
                <w:sz w:val="20"/>
                <w:szCs w:val="20"/>
                <w:color w:val="auto"/>
              </w:rPr>
            </w:pPr>
            <w:r>
              <w:rPr>
                <w:rFonts w:ascii="Arial" w:cs="Arial" w:eastAsia="Arial" w:hAnsi="Arial"/>
                <w:sz w:val="18"/>
                <w:szCs w:val="18"/>
                <w:color w:val="auto"/>
              </w:rPr>
              <w:t>2.</w:t>
            </w:r>
          </w:p>
        </w:tc>
        <w:tc>
          <w:tcPr>
            <w:tcW w:w="6980" w:type="dxa"/>
            <w:vAlign w:val="bottom"/>
          </w:tcPr>
          <w:p>
            <w:pPr>
              <w:ind w:left="900"/>
              <w:spacing w:after="0"/>
              <w:rPr>
                <w:sz w:val="20"/>
                <w:szCs w:val="20"/>
                <w:color w:val="auto"/>
              </w:rPr>
            </w:pPr>
            <w:r>
              <w:rPr>
                <w:rFonts w:ascii="Arial" w:cs="Arial" w:eastAsia="Arial" w:hAnsi="Arial"/>
                <w:sz w:val="18"/>
                <w:szCs w:val="18"/>
                <w:color w:val="auto"/>
              </w:rPr>
              <w:t>Share Capital</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3.</w:t>
            </w:r>
          </w:p>
        </w:tc>
        <w:tc>
          <w:tcPr>
            <w:tcW w:w="6980" w:type="dxa"/>
            <w:vAlign w:val="bottom"/>
          </w:tcPr>
          <w:p>
            <w:pPr>
              <w:ind w:left="900"/>
              <w:spacing w:after="0"/>
              <w:rPr>
                <w:sz w:val="20"/>
                <w:szCs w:val="20"/>
                <w:color w:val="auto"/>
              </w:rPr>
            </w:pPr>
            <w:r>
              <w:rPr>
                <w:rFonts w:ascii="Arial" w:cs="Arial" w:eastAsia="Arial" w:hAnsi="Arial"/>
                <w:sz w:val="18"/>
                <w:szCs w:val="18"/>
                <w:color w:val="auto"/>
              </w:rPr>
              <w:t>Rights of Shares on issue</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4.</w:t>
            </w:r>
          </w:p>
        </w:tc>
        <w:tc>
          <w:tcPr>
            <w:tcW w:w="6980" w:type="dxa"/>
            <w:vAlign w:val="bottom"/>
          </w:tcPr>
          <w:p>
            <w:pPr>
              <w:ind w:left="900"/>
              <w:spacing w:after="0"/>
              <w:rPr>
                <w:sz w:val="20"/>
                <w:szCs w:val="20"/>
                <w:color w:val="auto"/>
              </w:rPr>
            </w:pPr>
            <w:r>
              <w:rPr>
                <w:rFonts w:ascii="Arial" w:cs="Arial" w:eastAsia="Arial" w:hAnsi="Arial"/>
                <w:sz w:val="18"/>
                <w:szCs w:val="18"/>
                <w:color w:val="auto"/>
              </w:rPr>
              <w:t>Redeemable Shares</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5.</w:t>
            </w:r>
          </w:p>
        </w:tc>
        <w:tc>
          <w:tcPr>
            <w:tcW w:w="6980" w:type="dxa"/>
            <w:vAlign w:val="bottom"/>
          </w:tcPr>
          <w:p>
            <w:pPr>
              <w:ind w:left="900"/>
              <w:spacing w:after="0"/>
              <w:rPr>
                <w:sz w:val="20"/>
                <w:szCs w:val="20"/>
                <w:color w:val="auto"/>
              </w:rPr>
            </w:pPr>
            <w:r>
              <w:rPr>
                <w:rFonts w:ascii="Arial" w:cs="Arial" w:eastAsia="Arial" w:hAnsi="Arial"/>
                <w:sz w:val="18"/>
                <w:szCs w:val="18"/>
                <w:color w:val="auto"/>
              </w:rPr>
              <w:t>Variation of rights</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6.</w:t>
            </w:r>
          </w:p>
        </w:tc>
        <w:tc>
          <w:tcPr>
            <w:tcW w:w="6980" w:type="dxa"/>
            <w:vAlign w:val="bottom"/>
          </w:tcPr>
          <w:p>
            <w:pPr>
              <w:ind w:left="900"/>
              <w:spacing w:after="0"/>
              <w:rPr>
                <w:sz w:val="20"/>
                <w:szCs w:val="20"/>
                <w:color w:val="auto"/>
              </w:rPr>
            </w:pPr>
            <w:r>
              <w:rPr>
                <w:rFonts w:ascii="Arial" w:cs="Arial" w:eastAsia="Arial" w:hAnsi="Arial"/>
                <w:sz w:val="18"/>
                <w:szCs w:val="18"/>
                <w:color w:val="auto"/>
              </w:rPr>
              <w:t>Trusts not recognised</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7.</w:t>
            </w:r>
          </w:p>
        </w:tc>
        <w:tc>
          <w:tcPr>
            <w:tcW w:w="6980" w:type="dxa"/>
            <w:vAlign w:val="bottom"/>
          </w:tcPr>
          <w:p>
            <w:pPr>
              <w:ind w:left="900"/>
              <w:spacing w:after="0"/>
              <w:rPr>
                <w:sz w:val="20"/>
                <w:szCs w:val="20"/>
                <w:color w:val="auto"/>
              </w:rPr>
            </w:pPr>
            <w:r>
              <w:rPr>
                <w:rFonts w:ascii="Arial" w:cs="Arial" w:eastAsia="Arial" w:hAnsi="Arial"/>
                <w:sz w:val="18"/>
                <w:szCs w:val="18"/>
                <w:color w:val="auto"/>
              </w:rPr>
              <w:t>Disclosure of interests</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8.</w:t>
            </w:r>
          </w:p>
        </w:tc>
        <w:tc>
          <w:tcPr>
            <w:tcW w:w="6980" w:type="dxa"/>
            <w:vAlign w:val="bottom"/>
          </w:tcPr>
          <w:p>
            <w:pPr>
              <w:ind w:left="900"/>
              <w:spacing w:after="0"/>
              <w:rPr>
                <w:sz w:val="20"/>
                <w:szCs w:val="20"/>
                <w:color w:val="auto"/>
              </w:rPr>
            </w:pPr>
            <w:r>
              <w:rPr>
                <w:rFonts w:ascii="Arial" w:cs="Arial" w:eastAsia="Arial" w:hAnsi="Arial"/>
                <w:sz w:val="18"/>
                <w:szCs w:val="18"/>
                <w:color w:val="auto"/>
              </w:rPr>
              <w:t>Allotment of Shares</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9.</w:t>
            </w:r>
          </w:p>
        </w:tc>
        <w:tc>
          <w:tcPr>
            <w:tcW w:w="6980" w:type="dxa"/>
            <w:vAlign w:val="bottom"/>
          </w:tcPr>
          <w:p>
            <w:pPr>
              <w:ind w:left="900"/>
              <w:spacing w:after="0"/>
              <w:rPr>
                <w:sz w:val="20"/>
                <w:szCs w:val="20"/>
                <w:color w:val="auto"/>
              </w:rPr>
            </w:pPr>
            <w:r>
              <w:rPr>
                <w:rFonts w:ascii="Arial" w:cs="Arial" w:eastAsia="Arial" w:hAnsi="Arial"/>
                <w:sz w:val="18"/>
                <w:szCs w:val="18"/>
                <w:color w:val="auto"/>
              </w:rPr>
              <w:t>Payment of commission</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10.</w:t>
            </w:r>
          </w:p>
        </w:tc>
        <w:tc>
          <w:tcPr>
            <w:tcW w:w="6980" w:type="dxa"/>
            <w:vAlign w:val="bottom"/>
          </w:tcPr>
          <w:p>
            <w:pPr>
              <w:ind w:left="900"/>
              <w:spacing w:after="0"/>
              <w:rPr>
                <w:sz w:val="20"/>
                <w:szCs w:val="20"/>
                <w:color w:val="auto"/>
              </w:rPr>
            </w:pPr>
            <w:r>
              <w:rPr>
                <w:rFonts w:ascii="Arial" w:cs="Arial" w:eastAsia="Arial" w:hAnsi="Arial"/>
                <w:sz w:val="18"/>
                <w:szCs w:val="18"/>
                <w:color w:val="auto"/>
              </w:rPr>
              <w:t>Payment by instalments</w:t>
            </w:r>
          </w:p>
        </w:tc>
      </w:tr>
      <w:tr>
        <w:trPr>
          <w:trHeight w:val="432"/>
        </w:trPr>
        <w:tc>
          <w:tcPr>
            <w:tcW w:w="3440" w:type="dxa"/>
            <w:vAlign w:val="bottom"/>
          </w:tcPr>
          <w:p>
            <w:pPr>
              <w:ind w:left="180"/>
              <w:spacing w:after="0"/>
              <w:rPr>
                <w:sz w:val="20"/>
                <w:szCs w:val="20"/>
                <w:color w:val="auto"/>
              </w:rPr>
            </w:pPr>
            <w:r>
              <w:rPr>
                <w:rFonts w:ascii="Arial" w:cs="Arial" w:eastAsia="Arial" w:hAnsi="Arial"/>
                <w:sz w:val="18"/>
                <w:szCs w:val="18"/>
                <w:b w:val="1"/>
                <w:bCs w:val="1"/>
                <w:color w:val="auto"/>
              </w:rPr>
              <w:t>Part III - Share Certificates</w:t>
            </w: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11.</w:t>
            </w:r>
          </w:p>
        </w:tc>
        <w:tc>
          <w:tcPr>
            <w:tcW w:w="6980" w:type="dxa"/>
            <w:vAlign w:val="bottom"/>
          </w:tcPr>
          <w:p>
            <w:pPr>
              <w:ind w:left="900"/>
              <w:spacing w:after="0"/>
              <w:rPr>
                <w:sz w:val="20"/>
                <w:szCs w:val="20"/>
                <w:color w:val="auto"/>
              </w:rPr>
            </w:pPr>
            <w:r>
              <w:rPr>
                <w:rFonts w:ascii="Arial" w:cs="Arial" w:eastAsia="Arial" w:hAnsi="Arial"/>
                <w:sz w:val="18"/>
                <w:szCs w:val="18"/>
                <w:color w:val="auto"/>
              </w:rPr>
              <w:t>Issue of certificates</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12.</w:t>
            </w:r>
          </w:p>
        </w:tc>
        <w:tc>
          <w:tcPr>
            <w:tcW w:w="6980" w:type="dxa"/>
            <w:vAlign w:val="bottom"/>
          </w:tcPr>
          <w:p>
            <w:pPr>
              <w:ind w:left="900"/>
              <w:spacing w:after="0"/>
              <w:rPr>
                <w:sz w:val="20"/>
                <w:szCs w:val="20"/>
                <w:color w:val="auto"/>
              </w:rPr>
            </w:pPr>
            <w:r>
              <w:rPr>
                <w:rFonts w:ascii="Arial" w:cs="Arial" w:eastAsia="Arial" w:hAnsi="Arial"/>
                <w:sz w:val="18"/>
                <w:szCs w:val="18"/>
                <w:color w:val="auto"/>
              </w:rPr>
              <w:t>Balance and exchange certificates</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13.</w:t>
            </w:r>
          </w:p>
        </w:tc>
        <w:tc>
          <w:tcPr>
            <w:tcW w:w="6980" w:type="dxa"/>
            <w:vAlign w:val="bottom"/>
          </w:tcPr>
          <w:p>
            <w:pPr>
              <w:ind w:left="900"/>
              <w:spacing w:after="0"/>
              <w:rPr>
                <w:sz w:val="20"/>
                <w:szCs w:val="20"/>
                <w:color w:val="auto"/>
              </w:rPr>
            </w:pPr>
            <w:r>
              <w:rPr>
                <w:rFonts w:ascii="Arial" w:cs="Arial" w:eastAsia="Arial" w:hAnsi="Arial"/>
                <w:sz w:val="18"/>
                <w:szCs w:val="18"/>
                <w:color w:val="auto"/>
              </w:rPr>
              <w:t>Replacement of certificates</w:t>
            </w:r>
          </w:p>
        </w:tc>
      </w:tr>
      <w:tr>
        <w:trPr>
          <w:trHeight w:val="432"/>
        </w:trPr>
        <w:tc>
          <w:tcPr>
            <w:tcW w:w="3440" w:type="dxa"/>
            <w:vAlign w:val="bottom"/>
          </w:tcPr>
          <w:p>
            <w:pPr>
              <w:ind w:left="180"/>
              <w:spacing w:after="0"/>
              <w:rPr>
                <w:sz w:val="20"/>
                <w:szCs w:val="20"/>
                <w:color w:val="auto"/>
              </w:rPr>
            </w:pPr>
            <w:r>
              <w:rPr>
                <w:rFonts w:ascii="Arial" w:cs="Arial" w:eastAsia="Arial" w:hAnsi="Arial"/>
                <w:sz w:val="18"/>
                <w:szCs w:val="18"/>
                <w:b w:val="1"/>
                <w:bCs w:val="1"/>
                <w:color w:val="auto"/>
              </w:rPr>
              <w:t>Part IV - Lien on Shares</w:t>
            </w: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14.</w:t>
            </w:r>
          </w:p>
        </w:tc>
        <w:tc>
          <w:tcPr>
            <w:tcW w:w="6980" w:type="dxa"/>
            <w:vAlign w:val="bottom"/>
          </w:tcPr>
          <w:p>
            <w:pPr>
              <w:ind w:left="900"/>
              <w:spacing w:after="0"/>
              <w:rPr>
                <w:sz w:val="20"/>
                <w:szCs w:val="20"/>
                <w:color w:val="auto"/>
              </w:rPr>
            </w:pPr>
            <w:r>
              <w:rPr>
                <w:rFonts w:ascii="Arial" w:cs="Arial" w:eastAsia="Arial" w:hAnsi="Arial"/>
                <w:sz w:val="18"/>
                <w:szCs w:val="18"/>
                <w:color w:val="auto"/>
              </w:rPr>
              <w:t>Extent of lien</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15.</w:t>
            </w:r>
          </w:p>
        </w:tc>
        <w:tc>
          <w:tcPr>
            <w:tcW w:w="6980" w:type="dxa"/>
            <w:vAlign w:val="bottom"/>
          </w:tcPr>
          <w:p>
            <w:pPr>
              <w:ind w:left="900"/>
              <w:spacing w:after="0"/>
              <w:rPr>
                <w:sz w:val="20"/>
                <w:szCs w:val="20"/>
                <w:color w:val="auto"/>
              </w:rPr>
            </w:pPr>
            <w:r>
              <w:rPr>
                <w:rFonts w:ascii="Arial" w:cs="Arial" w:eastAsia="Arial" w:hAnsi="Arial"/>
                <w:sz w:val="18"/>
                <w:szCs w:val="18"/>
                <w:color w:val="auto"/>
              </w:rPr>
              <w:t>Power of sale</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16.</w:t>
            </w:r>
          </w:p>
        </w:tc>
        <w:tc>
          <w:tcPr>
            <w:tcW w:w="6980" w:type="dxa"/>
            <w:vAlign w:val="bottom"/>
          </w:tcPr>
          <w:p>
            <w:pPr>
              <w:ind w:left="900"/>
              <w:spacing w:after="0"/>
              <w:rPr>
                <w:sz w:val="20"/>
                <w:szCs w:val="20"/>
                <w:color w:val="auto"/>
              </w:rPr>
            </w:pPr>
            <w:r>
              <w:rPr>
                <w:rFonts w:ascii="Arial" w:cs="Arial" w:eastAsia="Arial" w:hAnsi="Arial"/>
                <w:sz w:val="18"/>
                <w:szCs w:val="18"/>
                <w:color w:val="auto"/>
              </w:rPr>
              <w:t>Power to effect transfer</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17.</w:t>
            </w:r>
          </w:p>
        </w:tc>
        <w:tc>
          <w:tcPr>
            <w:tcW w:w="6980" w:type="dxa"/>
            <w:vAlign w:val="bottom"/>
          </w:tcPr>
          <w:p>
            <w:pPr>
              <w:ind w:left="900"/>
              <w:spacing w:after="0"/>
              <w:rPr>
                <w:sz w:val="20"/>
                <w:szCs w:val="20"/>
                <w:color w:val="auto"/>
              </w:rPr>
            </w:pPr>
            <w:r>
              <w:rPr>
                <w:rFonts w:ascii="Arial" w:cs="Arial" w:eastAsia="Arial" w:hAnsi="Arial"/>
                <w:sz w:val="18"/>
                <w:szCs w:val="18"/>
                <w:color w:val="auto"/>
              </w:rPr>
              <w:t>Proceeds of sale</w:t>
            </w:r>
          </w:p>
        </w:tc>
      </w:tr>
      <w:tr>
        <w:trPr>
          <w:trHeight w:val="432"/>
        </w:trPr>
        <w:tc>
          <w:tcPr>
            <w:tcW w:w="3440" w:type="dxa"/>
            <w:vAlign w:val="bottom"/>
          </w:tcPr>
          <w:p>
            <w:pPr>
              <w:ind w:left="180"/>
              <w:spacing w:after="0"/>
              <w:rPr>
                <w:sz w:val="20"/>
                <w:szCs w:val="20"/>
                <w:color w:val="auto"/>
              </w:rPr>
            </w:pPr>
            <w:r>
              <w:rPr>
                <w:rFonts w:ascii="Arial" w:cs="Arial" w:eastAsia="Arial" w:hAnsi="Arial"/>
                <w:sz w:val="18"/>
                <w:szCs w:val="18"/>
                <w:b w:val="1"/>
                <w:bCs w:val="1"/>
                <w:color w:val="auto"/>
                <w:w w:val="98"/>
              </w:rPr>
              <w:t>Part V - Calls on Shares and Forfeiture</w:t>
            </w: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18.</w:t>
            </w:r>
          </w:p>
        </w:tc>
        <w:tc>
          <w:tcPr>
            <w:tcW w:w="6980" w:type="dxa"/>
            <w:vAlign w:val="bottom"/>
          </w:tcPr>
          <w:p>
            <w:pPr>
              <w:ind w:left="900"/>
              <w:spacing w:after="0"/>
              <w:rPr>
                <w:sz w:val="20"/>
                <w:szCs w:val="20"/>
                <w:color w:val="auto"/>
              </w:rPr>
            </w:pPr>
            <w:r>
              <w:rPr>
                <w:rFonts w:ascii="Arial" w:cs="Arial" w:eastAsia="Arial" w:hAnsi="Arial"/>
                <w:sz w:val="18"/>
                <w:szCs w:val="18"/>
                <w:color w:val="auto"/>
              </w:rPr>
              <w:t>Making of calls</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19.</w:t>
            </w:r>
          </w:p>
        </w:tc>
        <w:tc>
          <w:tcPr>
            <w:tcW w:w="6980" w:type="dxa"/>
            <w:vAlign w:val="bottom"/>
          </w:tcPr>
          <w:p>
            <w:pPr>
              <w:ind w:left="900"/>
              <w:spacing w:after="0"/>
              <w:rPr>
                <w:sz w:val="20"/>
                <w:szCs w:val="20"/>
                <w:color w:val="auto"/>
              </w:rPr>
            </w:pPr>
            <w:r>
              <w:rPr>
                <w:rFonts w:ascii="Arial" w:cs="Arial" w:eastAsia="Arial" w:hAnsi="Arial"/>
                <w:sz w:val="18"/>
                <w:szCs w:val="18"/>
                <w:color w:val="auto"/>
              </w:rPr>
              <w:t>Time of call</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20.</w:t>
            </w:r>
          </w:p>
        </w:tc>
        <w:tc>
          <w:tcPr>
            <w:tcW w:w="6980" w:type="dxa"/>
            <w:vAlign w:val="bottom"/>
          </w:tcPr>
          <w:p>
            <w:pPr>
              <w:ind w:left="900"/>
              <w:spacing w:after="0"/>
              <w:rPr>
                <w:sz w:val="20"/>
                <w:szCs w:val="20"/>
                <w:color w:val="auto"/>
              </w:rPr>
            </w:pPr>
            <w:r>
              <w:rPr>
                <w:rFonts w:ascii="Arial" w:cs="Arial" w:eastAsia="Arial" w:hAnsi="Arial"/>
                <w:sz w:val="18"/>
                <w:szCs w:val="18"/>
                <w:color w:val="auto"/>
              </w:rPr>
              <w:t>Liability of joint Holders</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21.</w:t>
            </w:r>
          </w:p>
        </w:tc>
        <w:tc>
          <w:tcPr>
            <w:tcW w:w="6980" w:type="dxa"/>
            <w:vAlign w:val="bottom"/>
          </w:tcPr>
          <w:p>
            <w:pPr>
              <w:ind w:left="900"/>
              <w:spacing w:after="0"/>
              <w:rPr>
                <w:sz w:val="20"/>
                <w:szCs w:val="20"/>
                <w:color w:val="auto"/>
              </w:rPr>
            </w:pPr>
            <w:r>
              <w:rPr>
                <w:rFonts w:ascii="Arial" w:cs="Arial" w:eastAsia="Arial" w:hAnsi="Arial"/>
                <w:sz w:val="18"/>
                <w:szCs w:val="18"/>
                <w:color w:val="auto"/>
              </w:rPr>
              <w:t>Interest on calls</w:t>
            </w:r>
          </w:p>
        </w:tc>
      </w:tr>
      <w:tr>
        <w:trPr>
          <w:trHeight w:val="432"/>
        </w:trPr>
        <w:tc>
          <w:tcPr>
            <w:tcW w:w="34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w w:val="95"/>
              </w:rPr>
              <w:t>22.</w:t>
            </w:r>
          </w:p>
        </w:tc>
        <w:tc>
          <w:tcPr>
            <w:tcW w:w="6980" w:type="dxa"/>
            <w:vAlign w:val="bottom"/>
          </w:tcPr>
          <w:p>
            <w:pPr>
              <w:ind w:left="900"/>
              <w:spacing w:after="0"/>
              <w:rPr>
                <w:sz w:val="20"/>
                <w:szCs w:val="20"/>
                <w:color w:val="auto"/>
              </w:rPr>
            </w:pPr>
            <w:r>
              <w:rPr>
                <w:rFonts w:ascii="Arial" w:cs="Arial" w:eastAsia="Arial" w:hAnsi="Arial"/>
                <w:sz w:val="18"/>
                <w:szCs w:val="18"/>
                <w:color w:val="auto"/>
              </w:rPr>
              <w:t>Amounts treated as calls</w:t>
            </w:r>
          </w:p>
        </w:tc>
      </w:tr>
      <w:tr>
        <w:trPr>
          <w:trHeight w:val="659"/>
        </w:trPr>
        <w:tc>
          <w:tcPr>
            <w:tcW w:w="34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6540" w:type="dxa"/>
            <w:vAlign w:val="bottom"/>
          </w:tcPr>
          <w:p>
            <w:pPr>
              <w:ind w:left="460"/>
              <w:spacing w:after="0"/>
              <w:rPr>
                <w:sz w:val="20"/>
                <w:szCs w:val="20"/>
                <w:color w:val="auto"/>
              </w:rPr>
            </w:pPr>
            <w:r>
              <w:rPr>
                <w:rFonts w:ascii="Arial" w:cs="Arial" w:eastAsia="Arial" w:hAnsi="Arial"/>
                <w:sz w:val="18"/>
                <w:szCs w:val="18"/>
                <w:color w:val="auto"/>
              </w:rPr>
              <w:t>Power to differentiate</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6540" w:type="dxa"/>
            <w:vAlign w:val="bottom"/>
          </w:tcPr>
          <w:p>
            <w:pPr>
              <w:ind w:left="460"/>
              <w:spacing w:after="0"/>
              <w:rPr>
                <w:sz w:val="20"/>
                <w:szCs w:val="20"/>
                <w:color w:val="auto"/>
              </w:rPr>
            </w:pPr>
            <w:r>
              <w:rPr>
                <w:rFonts w:ascii="Arial" w:cs="Arial" w:eastAsia="Arial" w:hAnsi="Arial"/>
                <w:sz w:val="18"/>
                <w:szCs w:val="18"/>
                <w:color w:val="auto"/>
              </w:rPr>
              <w:t>Interest on moneys advanced</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25.</w:t>
            </w:r>
          </w:p>
        </w:tc>
        <w:tc>
          <w:tcPr>
            <w:tcW w:w="6540" w:type="dxa"/>
            <w:vAlign w:val="bottom"/>
          </w:tcPr>
          <w:p>
            <w:pPr>
              <w:ind w:left="460"/>
              <w:spacing w:after="0"/>
              <w:rPr>
                <w:sz w:val="20"/>
                <w:szCs w:val="20"/>
                <w:color w:val="auto"/>
              </w:rPr>
            </w:pPr>
            <w:r>
              <w:rPr>
                <w:rFonts w:ascii="Arial" w:cs="Arial" w:eastAsia="Arial" w:hAnsi="Arial"/>
                <w:sz w:val="18"/>
                <w:szCs w:val="18"/>
                <w:color w:val="auto"/>
              </w:rPr>
              <w:t>Notice requiring payment</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26.</w:t>
            </w:r>
          </w:p>
        </w:tc>
        <w:tc>
          <w:tcPr>
            <w:tcW w:w="6540" w:type="dxa"/>
            <w:vAlign w:val="bottom"/>
          </w:tcPr>
          <w:p>
            <w:pPr>
              <w:ind w:left="460"/>
              <w:spacing w:after="0"/>
              <w:rPr>
                <w:sz w:val="20"/>
                <w:szCs w:val="20"/>
                <w:color w:val="auto"/>
              </w:rPr>
            </w:pPr>
            <w:r>
              <w:rPr>
                <w:rFonts w:ascii="Arial" w:cs="Arial" w:eastAsia="Arial" w:hAnsi="Arial"/>
                <w:sz w:val="18"/>
                <w:szCs w:val="18"/>
                <w:color w:val="auto"/>
              </w:rPr>
              <w:t>Power of disposal</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27.</w:t>
            </w:r>
          </w:p>
        </w:tc>
        <w:tc>
          <w:tcPr>
            <w:tcW w:w="6540" w:type="dxa"/>
            <w:vAlign w:val="bottom"/>
          </w:tcPr>
          <w:p>
            <w:pPr>
              <w:ind w:left="460"/>
              <w:spacing w:after="0"/>
              <w:rPr>
                <w:sz w:val="20"/>
                <w:szCs w:val="20"/>
                <w:color w:val="auto"/>
              </w:rPr>
            </w:pPr>
            <w:r>
              <w:rPr>
                <w:rFonts w:ascii="Arial" w:cs="Arial" w:eastAsia="Arial" w:hAnsi="Arial"/>
                <w:sz w:val="18"/>
                <w:szCs w:val="18"/>
                <w:color w:val="auto"/>
              </w:rPr>
              <w:t>Effect of forfeiture</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28.</w:t>
            </w:r>
          </w:p>
        </w:tc>
        <w:tc>
          <w:tcPr>
            <w:tcW w:w="6540" w:type="dxa"/>
            <w:vAlign w:val="bottom"/>
          </w:tcPr>
          <w:p>
            <w:pPr>
              <w:ind w:left="460"/>
              <w:spacing w:after="0"/>
              <w:rPr>
                <w:sz w:val="20"/>
                <w:szCs w:val="20"/>
                <w:color w:val="auto"/>
              </w:rPr>
            </w:pPr>
            <w:r>
              <w:rPr>
                <w:rFonts w:ascii="Arial" w:cs="Arial" w:eastAsia="Arial" w:hAnsi="Arial"/>
                <w:sz w:val="18"/>
                <w:szCs w:val="18"/>
                <w:color w:val="auto"/>
              </w:rPr>
              <w:t>Statutory declaration</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29.</w:t>
            </w:r>
          </w:p>
        </w:tc>
        <w:tc>
          <w:tcPr>
            <w:tcW w:w="6540" w:type="dxa"/>
            <w:vAlign w:val="bottom"/>
          </w:tcPr>
          <w:p>
            <w:pPr>
              <w:ind w:left="460"/>
              <w:spacing w:after="0"/>
              <w:rPr>
                <w:sz w:val="20"/>
                <w:szCs w:val="20"/>
                <w:color w:val="auto"/>
              </w:rPr>
            </w:pPr>
            <w:r>
              <w:rPr>
                <w:rFonts w:ascii="Arial" w:cs="Arial" w:eastAsia="Arial" w:hAnsi="Arial"/>
                <w:sz w:val="18"/>
                <w:szCs w:val="18"/>
                <w:color w:val="auto"/>
              </w:rPr>
              <w:t>Non-Payment of sums due on Share issues</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VI - Conversion of Shares into Stock</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30.</w:t>
            </w:r>
          </w:p>
        </w:tc>
        <w:tc>
          <w:tcPr>
            <w:tcW w:w="6540" w:type="dxa"/>
            <w:vAlign w:val="bottom"/>
          </w:tcPr>
          <w:p>
            <w:pPr>
              <w:ind w:left="460"/>
              <w:spacing w:after="0"/>
              <w:rPr>
                <w:sz w:val="20"/>
                <w:szCs w:val="20"/>
                <w:color w:val="auto"/>
              </w:rPr>
            </w:pPr>
            <w:r>
              <w:rPr>
                <w:rFonts w:ascii="Arial" w:cs="Arial" w:eastAsia="Arial" w:hAnsi="Arial"/>
                <w:sz w:val="18"/>
                <w:szCs w:val="18"/>
                <w:color w:val="auto"/>
              </w:rPr>
              <w:t>Conversion of Shares into stock</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6540" w:type="dxa"/>
            <w:vAlign w:val="bottom"/>
          </w:tcPr>
          <w:p>
            <w:pPr>
              <w:ind w:left="460"/>
              <w:spacing w:after="0"/>
              <w:rPr>
                <w:sz w:val="20"/>
                <w:szCs w:val="20"/>
                <w:color w:val="auto"/>
              </w:rPr>
            </w:pPr>
            <w:r>
              <w:rPr>
                <w:rFonts w:ascii="Arial" w:cs="Arial" w:eastAsia="Arial" w:hAnsi="Arial"/>
                <w:sz w:val="18"/>
                <w:szCs w:val="18"/>
                <w:color w:val="auto"/>
              </w:rPr>
              <w:t>Transfer of stock</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6540" w:type="dxa"/>
            <w:vAlign w:val="bottom"/>
          </w:tcPr>
          <w:p>
            <w:pPr>
              <w:ind w:left="460"/>
              <w:spacing w:after="0"/>
              <w:rPr>
                <w:sz w:val="20"/>
                <w:szCs w:val="20"/>
                <w:color w:val="auto"/>
              </w:rPr>
            </w:pPr>
            <w:r>
              <w:rPr>
                <w:rFonts w:ascii="Arial" w:cs="Arial" w:eastAsia="Arial" w:hAnsi="Arial"/>
                <w:sz w:val="18"/>
                <w:szCs w:val="18"/>
                <w:color w:val="auto"/>
              </w:rPr>
              <w:t>Rights of stockholders</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VII - Transfer of Shares</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6540" w:type="dxa"/>
            <w:vAlign w:val="bottom"/>
          </w:tcPr>
          <w:p>
            <w:pPr>
              <w:ind w:left="460"/>
              <w:spacing w:after="0"/>
              <w:rPr>
                <w:sz w:val="20"/>
                <w:szCs w:val="20"/>
                <w:color w:val="auto"/>
              </w:rPr>
            </w:pPr>
            <w:r>
              <w:rPr>
                <w:rFonts w:ascii="Arial" w:cs="Arial" w:eastAsia="Arial" w:hAnsi="Arial"/>
                <w:sz w:val="18"/>
                <w:szCs w:val="18"/>
                <w:color w:val="auto"/>
              </w:rPr>
              <w:t>Form of instrument of transfer</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34.</w:t>
            </w:r>
          </w:p>
        </w:tc>
        <w:tc>
          <w:tcPr>
            <w:tcW w:w="6540" w:type="dxa"/>
            <w:vAlign w:val="bottom"/>
          </w:tcPr>
          <w:p>
            <w:pPr>
              <w:ind w:left="460"/>
              <w:spacing w:after="0"/>
              <w:rPr>
                <w:sz w:val="20"/>
                <w:szCs w:val="20"/>
                <w:color w:val="auto"/>
              </w:rPr>
            </w:pPr>
            <w:r>
              <w:rPr>
                <w:rFonts w:ascii="Arial" w:cs="Arial" w:eastAsia="Arial" w:hAnsi="Arial"/>
                <w:sz w:val="18"/>
                <w:szCs w:val="18"/>
                <w:color w:val="auto"/>
              </w:rPr>
              <w:t>Execution of instrument of transfer</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6540" w:type="dxa"/>
            <w:vAlign w:val="bottom"/>
          </w:tcPr>
          <w:p>
            <w:pPr>
              <w:ind w:left="460"/>
              <w:spacing w:after="0"/>
              <w:rPr>
                <w:sz w:val="20"/>
                <w:szCs w:val="20"/>
                <w:color w:val="auto"/>
              </w:rPr>
            </w:pPr>
            <w:r>
              <w:rPr>
                <w:rFonts w:ascii="Arial" w:cs="Arial" w:eastAsia="Arial" w:hAnsi="Arial"/>
                <w:sz w:val="18"/>
                <w:szCs w:val="18"/>
                <w:color w:val="auto"/>
              </w:rPr>
              <w:t>Refusal to register transfers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36.</w:t>
            </w:r>
          </w:p>
        </w:tc>
        <w:tc>
          <w:tcPr>
            <w:tcW w:w="6540" w:type="dxa"/>
            <w:vAlign w:val="bottom"/>
          </w:tcPr>
          <w:p>
            <w:pPr>
              <w:ind w:left="460"/>
              <w:spacing w:after="0"/>
              <w:rPr>
                <w:sz w:val="20"/>
                <w:szCs w:val="20"/>
                <w:color w:val="auto"/>
              </w:rPr>
            </w:pPr>
            <w:r>
              <w:rPr>
                <w:rFonts w:ascii="Arial" w:cs="Arial" w:eastAsia="Arial" w:hAnsi="Arial"/>
                <w:sz w:val="18"/>
                <w:szCs w:val="18"/>
                <w:color w:val="auto"/>
              </w:rPr>
              <w:t>Procedure on refusal</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37.</w:t>
            </w:r>
          </w:p>
        </w:tc>
        <w:tc>
          <w:tcPr>
            <w:tcW w:w="6540" w:type="dxa"/>
            <w:vAlign w:val="bottom"/>
          </w:tcPr>
          <w:p>
            <w:pPr>
              <w:ind w:left="460"/>
              <w:spacing w:after="0"/>
              <w:rPr>
                <w:sz w:val="20"/>
                <w:szCs w:val="20"/>
                <w:color w:val="auto"/>
              </w:rPr>
            </w:pPr>
            <w:r>
              <w:rPr>
                <w:rFonts w:ascii="Arial" w:cs="Arial" w:eastAsia="Arial" w:hAnsi="Arial"/>
                <w:sz w:val="18"/>
                <w:szCs w:val="18"/>
                <w:color w:val="auto"/>
              </w:rPr>
              <w:t>Closing of transfer books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38.</w:t>
            </w:r>
          </w:p>
        </w:tc>
        <w:tc>
          <w:tcPr>
            <w:tcW w:w="6540" w:type="dxa"/>
            <w:vAlign w:val="bottom"/>
          </w:tcPr>
          <w:p>
            <w:pPr>
              <w:ind w:left="460"/>
              <w:spacing w:after="0"/>
              <w:rPr>
                <w:sz w:val="20"/>
                <w:szCs w:val="20"/>
                <w:color w:val="auto"/>
              </w:rPr>
            </w:pPr>
            <w:r>
              <w:rPr>
                <w:rFonts w:ascii="Arial" w:cs="Arial" w:eastAsia="Arial" w:hAnsi="Arial"/>
                <w:sz w:val="18"/>
                <w:szCs w:val="18"/>
                <w:color w:val="auto"/>
              </w:rPr>
              <w:t>Absence of registration fees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39.</w:t>
            </w:r>
          </w:p>
        </w:tc>
        <w:tc>
          <w:tcPr>
            <w:tcW w:w="6540" w:type="dxa"/>
            <w:vAlign w:val="bottom"/>
          </w:tcPr>
          <w:p>
            <w:pPr>
              <w:ind w:left="460"/>
              <w:spacing w:after="0"/>
              <w:rPr>
                <w:sz w:val="20"/>
                <w:szCs w:val="20"/>
                <w:color w:val="auto"/>
              </w:rPr>
            </w:pPr>
            <w:r>
              <w:rPr>
                <w:rFonts w:ascii="Arial" w:cs="Arial" w:eastAsia="Arial" w:hAnsi="Arial"/>
                <w:sz w:val="18"/>
                <w:szCs w:val="18"/>
                <w:color w:val="auto"/>
              </w:rPr>
              <w:t>Retention of transfer instruments</w:t>
            </w:r>
          </w:p>
        </w:tc>
        <w:tc>
          <w:tcPr>
            <w:tcW w:w="0" w:type="dxa"/>
            <w:vAlign w:val="bottom"/>
          </w:tcPr>
          <w:p>
            <w:pPr>
              <w:spacing w:after="0"/>
              <w:rPr>
                <w:sz w:val="1"/>
                <w:szCs w:val="1"/>
                <w:color w:val="auto"/>
              </w:rPr>
            </w:pPr>
          </w:p>
        </w:tc>
      </w:tr>
      <w:tr>
        <w:trPr>
          <w:trHeight w:val="432"/>
        </w:trPr>
        <w:tc>
          <w:tcPr>
            <w:tcW w:w="38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Part VIII - Bearer Warrants</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40.</w:t>
            </w:r>
          </w:p>
        </w:tc>
        <w:tc>
          <w:tcPr>
            <w:tcW w:w="6540" w:type="dxa"/>
            <w:vAlign w:val="bottom"/>
          </w:tcPr>
          <w:p>
            <w:pPr>
              <w:ind w:left="460"/>
              <w:spacing w:after="0"/>
              <w:rPr>
                <w:sz w:val="20"/>
                <w:szCs w:val="20"/>
                <w:color w:val="auto"/>
              </w:rPr>
            </w:pPr>
            <w:r>
              <w:rPr>
                <w:rFonts w:ascii="Arial" w:cs="Arial" w:eastAsia="Arial" w:hAnsi="Arial"/>
                <w:sz w:val="18"/>
                <w:szCs w:val="18"/>
                <w:color w:val="auto"/>
              </w:rPr>
              <w:t>Renunciation of allotment</w:t>
            </w:r>
          </w:p>
        </w:tc>
        <w:tc>
          <w:tcPr>
            <w:tcW w:w="0" w:type="dxa"/>
            <w:vAlign w:val="bottom"/>
          </w:tcPr>
          <w:p>
            <w:pPr>
              <w:spacing w:after="0"/>
              <w:rPr>
                <w:sz w:val="1"/>
                <w:szCs w:val="1"/>
                <w:color w:val="auto"/>
              </w:rPr>
            </w:pPr>
          </w:p>
        </w:tc>
      </w:tr>
      <w:tr>
        <w:trPr>
          <w:trHeight w:val="216"/>
        </w:trPr>
        <w:tc>
          <w:tcPr>
            <w:tcW w:w="3860" w:type="dxa"/>
            <w:vAlign w:val="bottom"/>
            <w:vMerge w:val="continue"/>
          </w:tcPr>
          <w:p>
            <w:pPr>
              <w:spacing w:after="0"/>
              <w:rPr>
                <w:sz w:val="18"/>
                <w:szCs w:val="18"/>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color w:val="auto"/>
              </w:rPr>
              <w:t>41.</w:t>
            </w:r>
          </w:p>
        </w:tc>
        <w:tc>
          <w:tcPr>
            <w:tcW w:w="6540" w:type="dxa"/>
            <w:vAlign w:val="bottom"/>
            <w:vMerge w:val="restart"/>
          </w:tcPr>
          <w:p>
            <w:pPr>
              <w:ind w:left="460"/>
              <w:spacing w:after="0"/>
              <w:rPr>
                <w:sz w:val="20"/>
                <w:szCs w:val="20"/>
                <w:color w:val="auto"/>
              </w:rPr>
            </w:pPr>
            <w:r>
              <w:rPr>
                <w:rFonts w:ascii="Arial" w:cs="Arial" w:eastAsia="Arial" w:hAnsi="Arial"/>
                <w:sz w:val="18"/>
                <w:szCs w:val="18"/>
                <w:color w:val="auto"/>
              </w:rPr>
              <w:t>Bearer Warrants</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IX - Transmission of Shares</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42.</w:t>
            </w:r>
          </w:p>
        </w:tc>
        <w:tc>
          <w:tcPr>
            <w:tcW w:w="6540" w:type="dxa"/>
            <w:vAlign w:val="bottom"/>
          </w:tcPr>
          <w:p>
            <w:pPr>
              <w:ind w:left="460"/>
              <w:spacing w:after="0"/>
              <w:rPr>
                <w:sz w:val="20"/>
                <w:szCs w:val="20"/>
                <w:color w:val="auto"/>
              </w:rPr>
            </w:pPr>
            <w:r>
              <w:rPr>
                <w:rFonts w:ascii="Arial" w:cs="Arial" w:eastAsia="Arial" w:hAnsi="Arial"/>
                <w:sz w:val="18"/>
                <w:szCs w:val="18"/>
                <w:color w:val="auto"/>
              </w:rPr>
              <w:t>Death of member</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43.</w:t>
            </w:r>
          </w:p>
        </w:tc>
        <w:tc>
          <w:tcPr>
            <w:tcW w:w="6540" w:type="dxa"/>
            <w:vAlign w:val="bottom"/>
          </w:tcPr>
          <w:p>
            <w:pPr>
              <w:ind w:left="460"/>
              <w:spacing w:after="0"/>
              <w:rPr>
                <w:sz w:val="20"/>
                <w:szCs w:val="20"/>
                <w:color w:val="auto"/>
              </w:rPr>
            </w:pPr>
            <w:r>
              <w:rPr>
                <w:rFonts w:ascii="Arial" w:cs="Arial" w:eastAsia="Arial" w:hAnsi="Arial"/>
                <w:sz w:val="18"/>
                <w:szCs w:val="18"/>
                <w:color w:val="auto"/>
              </w:rPr>
              <w:t>Transmission on death or bankruptcy</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44.</w:t>
            </w:r>
          </w:p>
        </w:tc>
        <w:tc>
          <w:tcPr>
            <w:tcW w:w="6540" w:type="dxa"/>
            <w:vAlign w:val="bottom"/>
          </w:tcPr>
          <w:p>
            <w:pPr>
              <w:ind w:left="460"/>
              <w:spacing w:after="0"/>
              <w:rPr>
                <w:sz w:val="20"/>
                <w:szCs w:val="20"/>
                <w:color w:val="auto"/>
              </w:rPr>
            </w:pPr>
            <w:r>
              <w:rPr>
                <w:rFonts w:ascii="Arial" w:cs="Arial" w:eastAsia="Arial" w:hAnsi="Arial"/>
                <w:sz w:val="18"/>
                <w:szCs w:val="18"/>
                <w:color w:val="auto"/>
              </w:rPr>
              <w:t>Rights before registration</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 - Alteration of Share Capital</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45.</w:t>
            </w:r>
          </w:p>
        </w:tc>
        <w:tc>
          <w:tcPr>
            <w:tcW w:w="6540" w:type="dxa"/>
            <w:vAlign w:val="bottom"/>
          </w:tcPr>
          <w:p>
            <w:pPr>
              <w:ind w:left="460"/>
              <w:spacing w:after="0"/>
              <w:rPr>
                <w:sz w:val="20"/>
                <w:szCs w:val="20"/>
                <w:color w:val="auto"/>
              </w:rPr>
            </w:pPr>
            <w:r>
              <w:rPr>
                <w:rFonts w:ascii="Arial" w:cs="Arial" w:eastAsia="Arial" w:hAnsi="Arial"/>
                <w:sz w:val="18"/>
                <w:szCs w:val="18"/>
                <w:color w:val="auto"/>
              </w:rPr>
              <w:t>Increase of capital</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46.</w:t>
            </w:r>
          </w:p>
        </w:tc>
        <w:tc>
          <w:tcPr>
            <w:tcW w:w="6540" w:type="dxa"/>
            <w:vAlign w:val="bottom"/>
          </w:tcPr>
          <w:p>
            <w:pPr>
              <w:ind w:left="460"/>
              <w:spacing w:after="0"/>
              <w:rPr>
                <w:sz w:val="20"/>
                <w:szCs w:val="20"/>
                <w:color w:val="auto"/>
              </w:rPr>
            </w:pPr>
            <w:r>
              <w:rPr>
                <w:rFonts w:ascii="Arial" w:cs="Arial" w:eastAsia="Arial" w:hAnsi="Arial"/>
                <w:sz w:val="18"/>
                <w:szCs w:val="18"/>
                <w:color w:val="auto"/>
              </w:rPr>
              <w:t>Consolidation, sub-division and cancellation of capital</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47.</w:t>
            </w:r>
          </w:p>
        </w:tc>
        <w:tc>
          <w:tcPr>
            <w:tcW w:w="6540" w:type="dxa"/>
            <w:vAlign w:val="bottom"/>
          </w:tcPr>
          <w:p>
            <w:pPr>
              <w:ind w:left="460"/>
              <w:spacing w:after="0"/>
              <w:rPr>
                <w:sz w:val="20"/>
                <w:szCs w:val="20"/>
                <w:color w:val="auto"/>
              </w:rPr>
            </w:pPr>
            <w:r>
              <w:rPr>
                <w:rFonts w:ascii="Arial" w:cs="Arial" w:eastAsia="Arial" w:hAnsi="Arial"/>
                <w:sz w:val="18"/>
                <w:szCs w:val="18"/>
                <w:color w:val="auto"/>
              </w:rPr>
              <w:t>Fractions on consolidation</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48.</w:t>
            </w:r>
          </w:p>
        </w:tc>
        <w:tc>
          <w:tcPr>
            <w:tcW w:w="6540" w:type="dxa"/>
            <w:vAlign w:val="bottom"/>
          </w:tcPr>
          <w:p>
            <w:pPr>
              <w:ind w:left="460"/>
              <w:spacing w:after="0"/>
              <w:rPr>
                <w:sz w:val="20"/>
                <w:szCs w:val="20"/>
                <w:color w:val="auto"/>
              </w:rPr>
            </w:pPr>
            <w:r>
              <w:rPr>
                <w:rFonts w:ascii="Arial" w:cs="Arial" w:eastAsia="Arial" w:hAnsi="Arial"/>
                <w:sz w:val="18"/>
                <w:szCs w:val="18"/>
                <w:color w:val="auto"/>
              </w:rPr>
              <w:t>Reduction of capital</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49.</w:t>
            </w:r>
          </w:p>
        </w:tc>
        <w:tc>
          <w:tcPr>
            <w:tcW w:w="6540" w:type="dxa"/>
            <w:vAlign w:val="bottom"/>
          </w:tcPr>
          <w:p>
            <w:pPr>
              <w:ind w:left="460"/>
              <w:spacing w:after="0"/>
              <w:rPr>
                <w:sz w:val="20"/>
                <w:szCs w:val="20"/>
                <w:color w:val="auto"/>
              </w:rPr>
            </w:pPr>
            <w:r>
              <w:rPr>
                <w:rFonts w:ascii="Arial" w:cs="Arial" w:eastAsia="Arial" w:hAnsi="Arial"/>
                <w:sz w:val="18"/>
                <w:szCs w:val="18"/>
                <w:color w:val="auto"/>
              </w:rPr>
              <w:t>Purchase of own Shares</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XI - General Meetings</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50.</w:t>
            </w:r>
          </w:p>
        </w:tc>
        <w:tc>
          <w:tcPr>
            <w:tcW w:w="6540" w:type="dxa"/>
            <w:vAlign w:val="bottom"/>
          </w:tcPr>
          <w:p>
            <w:pPr>
              <w:ind w:left="460"/>
              <w:spacing w:after="0"/>
              <w:rPr>
                <w:sz w:val="20"/>
                <w:szCs w:val="20"/>
                <w:color w:val="auto"/>
              </w:rPr>
            </w:pPr>
            <w:r>
              <w:rPr>
                <w:rFonts w:ascii="Arial" w:cs="Arial" w:eastAsia="Arial" w:hAnsi="Arial"/>
                <w:sz w:val="18"/>
                <w:szCs w:val="18"/>
                <w:color w:val="auto"/>
              </w:rPr>
              <w:t>Annual general meetings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51.</w:t>
            </w:r>
          </w:p>
        </w:tc>
        <w:tc>
          <w:tcPr>
            <w:tcW w:w="6540" w:type="dxa"/>
            <w:vAlign w:val="bottom"/>
          </w:tcPr>
          <w:p>
            <w:pPr>
              <w:ind w:left="460"/>
              <w:spacing w:after="0"/>
              <w:rPr>
                <w:sz w:val="20"/>
                <w:szCs w:val="20"/>
                <w:color w:val="auto"/>
              </w:rPr>
            </w:pPr>
            <w:r>
              <w:rPr>
                <w:rFonts w:ascii="Arial" w:cs="Arial" w:eastAsia="Arial" w:hAnsi="Arial"/>
                <w:sz w:val="18"/>
                <w:szCs w:val="18"/>
                <w:color w:val="auto"/>
              </w:rPr>
              <w:t>Extraordinary general meetings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52.</w:t>
            </w:r>
          </w:p>
        </w:tc>
        <w:tc>
          <w:tcPr>
            <w:tcW w:w="6540" w:type="dxa"/>
            <w:vAlign w:val="bottom"/>
          </w:tcPr>
          <w:p>
            <w:pPr>
              <w:ind w:left="460"/>
              <w:spacing w:after="0"/>
              <w:rPr>
                <w:sz w:val="20"/>
                <w:szCs w:val="20"/>
                <w:color w:val="auto"/>
              </w:rPr>
            </w:pPr>
            <w:r>
              <w:rPr>
                <w:rFonts w:ascii="Arial" w:cs="Arial" w:eastAsia="Arial" w:hAnsi="Arial"/>
                <w:sz w:val="18"/>
                <w:szCs w:val="18"/>
                <w:color w:val="auto"/>
              </w:rPr>
              <w:t>Convening general meetings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6540" w:type="dxa"/>
            <w:vAlign w:val="bottom"/>
          </w:tcPr>
          <w:p>
            <w:pPr>
              <w:ind w:left="460"/>
              <w:spacing w:after="0"/>
              <w:rPr>
                <w:sz w:val="20"/>
                <w:szCs w:val="20"/>
                <w:color w:val="auto"/>
              </w:rPr>
            </w:pPr>
            <w:r>
              <w:rPr>
                <w:rFonts w:ascii="Arial" w:cs="Arial" w:eastAsia="Arial" w:hAnsi="Arial"/>
                <w:sz w:val="18"/>
                <w:szCs w:val="18"/>
                <w:color w:val="auto"/>
              </w:rPr>
              <w:t>Notice of general meetings</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XII - Proceedings at General Meetings</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54.</w:t>
            </w:r>
          </w:p>
        </w:tc>
        <w:tc>
          <w:tcPr>
            <w:tcW w:w="6540" w:type="dxa"/>
            <w:vAlign w:val="bottom"/>
          </w:tcPr>
          <w:p>
            <w:pPr>
              <w:ind w:left="460"/>
              <w:spacing w:after="0"/>
              <w:rPr>
                <w:sz w:val="20"/>
                <w:szCs w:val="20"/>
                <w:color w:val="auto"/>
              </w:rPr>
            </w:pPr>
            <w:r>
              <w:rPr>
                <w:rFonts w:ascii="Arial" w:cs="Arial" w:eastAsia="Arial" w:hAnsi="Arial"/>
                <w:sz w:val="18"/>
                <w:szCs w:val="18"/>
                <w:color w:val="auto"/>
              </w:rPr>
              <w:t>Quorum for general meetings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55.</w:t>
            </w:r>
          </w:p>
        </w:tc>
        <w:tc>
          <w:tcPr>
            <w:tcW w:w="6540" w:type="dxa"/>
            <w:vAlign w:val="bottom"/>
          </w:tcPr>
          <w:p>
            <w:pPr>
              <w:ind w:left="460"/>
              <w:spacing w:after="0"/>
              <w:rPr>
                <w:sz w:val="20"/>
                <w:szCs w:val="20"/>
                <w:color w:val="auto"/>
              </w:rPr>
            </w:pPr>
            <w:r>
              <w:rPr>
                <w:rFonts w:ascii="Arial" w:cs="Arial" w:eastAsia="Arial" w:hAnsi="Arial"/>
                <w:sz w:val="18"/>
                <w:szCs w:val="18"/>
                <w:color w:val="auto"/>
              </w:rPr>
              <w:t>Special business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56.</w:t>
            </w:r>
          </w:p>
        </w:tc>
        <w:tc>
          <w:tcPr>
            <w:tcW w:w="6540" w:type="dxa"/>
            <w:vAlign w:val="bottom"/>
          </w:tcPr>
          <w:p>
            <w:pPr>
              <w:ind w:left="460"/>
              <w:spacing w:after="0"/>
              <w:rPr>
                <w:sz w:val="20"/>
                <w:szCs w:val="20"/>
                <w:color w:val="auto"/>
              </w:rPr>
            </w:pPr>
            <w:r>
              <w:rPr>
                <w:rFonts w:ascii="Arial" w:cs="Arial" w:eastAsia="Arial" w:hAnsi="Arial"/>
                <w:sz w:val="18"/>
                <w:szCs w:val="18"/>
                <w:color w:val="auto"/>
              </w:rPr>
              <w:t>Chairman of general meetings</w:t>
            </w:r>
          </w:p>
        </w:tc>
        <w:tc>
          <w:tcPr>
            <w:tcW w:w="0" w:type="dxa"/>
            <w:vAlign w:val="bottom"/>
          </w:tcPr>
          <w:p>
            <w:pPr>
              <w:spacing w:after="0"/>
              <w:rPr>
                <w:sz w:val="1"/>
                <w:szCs w:val="1"/>
                <w:color w:val="auto"/>
              </w:rPr>
            </w:pPr>
          </w:p>
        </w:tc>
      </w:tr>
      <w:tr>
        <w:trPr>
          <w:trHeight w:val="659"/>
        </w:trPr>
        <w:tc>
          <w:tcPr>
            <w:tcW w:w="38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586"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56A</w:t>
            </w:r>
          </w:p>
        </w:tc>
        <w:tc>
          <w:tcPr>
            <w:tcW w:w="6480" w:type="dxa"/>
            <w:vAlign w:val="bottom"/>
          </w:tcPr>
          <w:p>
            <w:pPr>
              <w:ind w:left="400"/>
              <w:spacing w:after="0"/>
              <w:rPr>
                <w:sz w:val="20"/>
                <w:szCs w:val="20"/>
                <w:color w:val="auto"/>
              </w:rPr>
            </w:pPr>
            <w:r>
              <w:rPr>
                <w:rFonts w:ascii="Arial" w:cs="Arial" w:eastAsia="Arial" w:hAnsi="Arial"/>
                <w:sz w:val="18"/>
                <w:szCs w:val="18"/>
                <w:color w:val="auto"/>
              </w:rPr>
              <w:t>Tabling resolutions at general meetings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57.</w:t>
            </w:r>
          </w:p>
        </w:tc>
        <w:tc>
          <w:tcPr>
            <w:tcW w:w="6480" w:type="dxa"/>
            <w:vAlign w:val="bottom"/>
          </w:tcPr>
          <w:p>
            <w:pPr>
              <w:ind w:left="400"/>
              <w:spacing w:after="0"/>
              <w:rPr>
                <w:sz w:val="20"/>
                <w:szCs w:val="20"/>
                <w:color w:val="auto"/>
              </w:rPr>
            </w:pPr>
            <w:r>
              <w:rPr>
                <w:rFonts w:ascii="Arial" w:cs="Arial" w:eastAsia="Arial" w:hAnsi="Arial"/>
                <w:sz w:val="18"/>
                <w:szCs w:val="18"/>
                <w:color w:val="auto"/>
              </w:rPr>
              <w:t>Directors' and Auditors' right to attend general meetings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58.</w:t>
            </w:r>
          </w:p>
        </w:tc>
        <w:tc>
          <w:tcPr>
            <w:tcW w:w="6480" w:type="dxa"/>
            <w:vAlign w:val="bottom"/>
          </w:tcPr>
          <w:p>
            <w:pPr>
              <w:ind w:left="400"/>
              <w:spacing w:after="0"/>
              <w:rPr>
                <w:sz w:val="20"/>
                <w:szCs w:val="20"/>
                <w:color w:val="auto"/>
              </w:rPr>
            </w:pPr>
            <w:r>
              <w:rPr>
                <w:rFonts w:ascii="Arial" w:cs="Arial" w:eastAsia="Arial" w:hAnsi="Arial"/>
                <w:sz w:val="18"/>
                <w:szCs w:val="18"/>
                <w:color w:val="auto"/>
              </w:rPr>
              <w:t>Adjournment of general meetings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59.</w:t>
            </w:r>
          </w:p>
        </w:tc>
        <w:tc>
          <w:tcPr>
            <w:tcW w:w="6480" w:type="dxa"/>
            <w:vAlign w:val="bottom"/>
          </w:tcPr>
          <w:p>
            <w:pPr>
              <w:ind w:left="400"/>
              <w:spacing w:after="0"/>
              <w:rPr>
                <w:sz w:val="20"/>
                <w:szCs w:val="20"/>
                <w:color w:val="auto"/>
              </w:rPr>
            </w:pPr>
            <w:r>
              <w:rPr>
                <w:rFonts w:ascii="Arial" w:cs="Arial" w:eastAsia="Arial" w:hAnsi="Arial"/>
                <w:sz w:val="18"/>
                <w:szCs w:val="18"/>
                <w:color w:val="auto"/>
              </w:rPr>
              <w:t>Determination of resolutions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60.</w:t>
            </w:r>
          </w:p>
        </w:tc>
        <w:tc>
          <w:tcPr>
            <w:tcW w:w="6480" w:type="dxa"/>
            <w:vAlign w:val="bottom"/>
          </w:tcPr>
          <w:p>
            <w:pPr>
              <w:ind w:left="400"/>
              <w:spacing w:after="0"/>
              <w:rPr>
                <w:sz w:val="20"/>
                <w:szCs w:val="20"/>
                <w:color w:val="auto"/>
              </w:rPr>
            </w:pPr>
            <w:r>
              <w:rPr>
                <w:rFonts w:ascii="Arial" w:cs="Arial" w:eastAsia="Arial" w:hAnsi="Arial"/>
                <w:sz w:val="18"/>
                <w:szCs w:val="18"/>
                <w:color w:val="auto"/>
              </w:rPr>
              <w:t>Amendments to resolutions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61.</w:t>
            </w:r>
          </w:p>
        </w:tc>
        <w:tc>
          <w:tcPr>
            <w:tcW w:w="6480" w:type="dxa"/>
            <w:vAlign w:val="bottom"/>
          </w:tcPr>
          <w:p>
            <w:pPr>
              <w:ind w:left="400"/>
              <w:spacing w:after="0"/>
              <w:rPr>
                <w:sz w:val="20"/>
                <w:szCs w:val="20"/>
                <w:color w:val="auto"/>
              </w:rPr>
            </w:pPr>
            <w:r>
              <w:rPr>
                <w:rFonts w:ascii="Arial" w:cs="Arial" w:eastAsia="Arial" w:hAnsi="Arial"/>
                <w:sz w:val="18"/>
                <w:szCs w:val="18"/>
                <w:color w:val="auto"/>
              </w:rPr>
              <w:t>Entitlement to demand poll</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62.</w:t>
            </w:r>
          </w:p>
        </w:tc>
        <w:tc>
          <w:tcPr>
            <w:tcW w:w="6480" w:type="dxa"/>
            <w:vAlign w:val="bottom"/>
          </w:tcPr>
          <w:p>
            <w:pPr>
              <w:ind w:left="400"/>
              <w:spacing w:after="0"/>
              <w:rPr>
                <w:sz w:val="20"/>
                <w:szCs w:val="20"/>
                <w:color w:val="auto"/>
              </w:rPr>
            </w:pPr>
            <w:r>
              <w:rPr>
                <w:rFonts w:ascii="Arial" w:cs="Arial" w:eastAsia="Arial" w:hAnsi="Arial"/>
                <w:sz w:val="18"/>
                <w:szCs w:val="18"/>
                <w:color w:val="auto"/>
              </w:rPr>
              <w:t>Taking of a poll</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63.</w:t>
            </w:r>
          </w:p>
        </w:tc>
        <w:tc>
          <w:tcPr>
            <w:tcW w:w="6480" w:type="dxa"/>
            <w:vAlign w:val="bottom"/>
          </w:tcPr>
          <w:p>
            <w:pPr>
              <w:ind w:left="400"/>
              <w:spacing w:after="0"/>
              <w:rPr>
                <w:sz w:val="20"/>
                <w:szCs w:val="20"/>
                <w:color w:val="auto"/>
              </w:rPr>
            </w:pPr>
            <w:r>
              <w:rPr>
                <w:rFonts w:ascii="Arial" w:cs="Arial" w:eastAsia="Arial" w:hAnsi="Arial"/>
                <w:sz w:val="18"/>
                <w:szCs w:val="18"/>
                <w:color w:val="auto"/>
              </w:rPr>
              <w:t>Votes of members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64.</w:t>
            </w:r>
          </w:p>
        </w:tc>
        <w:tc>
          <w:tcPr>
            <w:tcW w:w="6480" w:type="dxa"/>
            <w:vAlign w:val="bottom"/>
          </w:tcPr>
          <w:p>
            <w:pPr>
              <w:ind w:left="400"/>
              <w:spacing w:after="0"/>
              <w:rPr>
                <w:sz w:val="20"/>
                <w:szCs w:val="20"/>
                <w:color w:val="auto"/>
              </w:rPr>
            </w:pPr>
            <w:r>
              <w:rPr>
                <w:rFonts w:ascii="Arial" w:cs="Arial" w:eastAsia="Arial" w:hAnsi="Arial"/>
                <w:sz w:val="18"/>
                <w:szCs w:val="18"/>
                <w:color w:val="auto"/>
              </w:rPr>
              <w:t>Chairman's casting vote</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65.</w:t>
            </w:r>
          </w:p>
        </w:tc>
        <w:tc>
          <w:tcPr>
            <w:tcW w:w="6480" w:type="dxa"/>
            <w:vAlign w:val="bottom"/>
          </w:tcPr>
          <w:p>
            <w:pPr>
              <w:ind w:left="400"/>
              <w:spacing w:after="0"/>
              <w:rPr>
                <w:sz w:val="20"/>
                <w:szCs w:val="20"/>
                <w:color w:val="auto"/>
              </w:rPr>
            </w:pPr>
            <w:r>
              <w:rPr>
                <w:rFonts w:ascii="Arial" w:cs="Arial" w:eastAsia="Arial" w:hAnsi="Arial"/>
                <w:sz w:val="18"/>
                <w:szCs w:val="18"/>
                <w:color w:val="auto"/>
              </w:rPr>
              <w:t>Voting by joint Holders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66.</w:t>
            </w:r>
          </w:p>
        </w:tc>
        <w:tc>
          <w:tcPr>
            <w:tcW w:w="6480" w:type="dxa"/>
            <w:vAlign w:val="bottom"/>
          </w:tcPr>
          <w:p>
            <w:pPr>
              <w:ind w:left="400"/>
              <w:spacing w:after="0"/>
              <w:rPr>
                <w:sz w:val="20"/>
                <w:szCs w:val="20"/>
                <w:color w:val="auto"/>
              </w:rPr>
            </w:pPr>
            <w:r>
              <w:rPr>
                <w:rFonts w:ascii="Arial" w:cs="Arial" w:eastAsia="Arial" w:hAnsi="Arial"/>
                <w:sz w:val="18"/>
                <w:szCs w:val="18"/>
                <w:color w:val="auto"/>
              </w:rPr>
              <w:t>Voting by incapacitated Holders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67.</w:t>
            </w:r>
          </w:p>
        </w:tc>
        <w:tc>
          <w:tcPr>
            <w:tcW w:w="6480" w:type="dxa"/>
            <w:vAlign w:val="bottom"/>
          </w:tcPr>
          <w:p>
            <w:pPr>
              <w:ind w:left="400"/>
              <w:spacing w:after="0"/>
              <w:rPr>
                <w:sz w:val="20"/>
                <w:szCs w:val="20"/>
                <w:color w:val="auto"/>
              </w:rPr>
            </w:pPr>
            <w:r>
              <w:rPr>
                <w:rFonts w:ascii="Arial" w:cs="Arial" w:eastAsia="Arial" w:hAnsi="Arial"/>
                <w:sz w:val="18"/>
                <w:szCs w:val="18"/>
                <w:color w:val="auto"/>
              </w:rPr>
              <w:t>Default in payment of calls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68.</w:t>
            </w:r>
          </w:p>
        </w:tc>
        <w:tc>
          <w:tcPr>
            <w:tcW w:w="6480" w:type="dxa"/>
            <w:vAlign w:val="bottom"/>
          </w:tcPr>
          <w:p>
            <w:pPr>
              <w:ind w:left="400"/>
              <w:spacing w:after="0"/>
              <w:rPr>
                <w:sz w:val="20"/>
                <w:szCs w:val="20"/>
                <w:color w:val="auto"/>
              </w:rPr>
            </w:pPr>
            <w:r>
              <w:rPr>
                <w:rFonts w:ascii="Arial" w:cs="Arial" w:eastAsia="Arial" w:hAnsi="Arial"/>
                <w:sz w:val="18"/>
                <w:szCs w:val="18"/>
                <w:color w:val="auto"/>
              </w:rPr>
              <w:t>Restriction of voting and other rights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69.</w:t>
            </w:r>
          </w:p>
        </w:tc>
        <w:tc>
          <w:tcPr>
            <w:tcW w:w="6480" w:type="dxa"/>
            <w:vAlign w:val="bottom"/>
          </w:tcPr>
          <w:p>
            <w:pPr>
              <w:ind w:left="400"/>
              <w:spacing w:after="0"/>
              <w:rPr>
                <w:sz w:val="20"/>
                <w:szCs w:val="20"/>
                <w:color w:val="auto"/>
              </w:rPr>
            </w:pPr>
            <w:r>
              <w:rPr>
                <w:rFonts w:ascii="Arial" w:cs="Arial" w:eastAsia="Arial" w:hAnsi="Arial"/>
                <w:sz w:val="18"/>
                <w:szCs w:val="18"/>
                <w:color w:val="auto"/>
              </w:rPr>
              <w:t>Time for objection to voting</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70.</w:t>
            </w:r>
          </w:p>
        </w:tc>
        <w:tc>
          <w:tcPr>
            <w:tcW w:w="6480" w:type="dxa"/>
            <w:vAlign w:val="bottom"/>
          </w:tcPr>
          <w:p>
            <w:pPr>
              <w:ind w:left="400"/>
              <w:spacing w:after="0"/>
              <w:rPr>
                <w:sz w:val="20"/>
                <w:szCs w:val="20"/>
                <w:color w:val="auto"/>
              </w:rPr>
            </w:pPr>
            <w:r>
              <w:rPr>
                <w:rFonts w:ascii="Arial" w:cs="Arial" w:eastAsia="Arial" w:hAnsi="Arial"/>
                <w:sz w:val="18"/>
                <w:szCs w:val="18"/>
                <w:color w:val="auto"/>
              </w:rPr>
              <w:t>Appointment of proxy</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71.</w:t>
            </w:r>
          </w:p>
        </w:tc>
        <w:tc>
          <w:tcPr>
            <w:tcW w:w="6480" w:type="dxa"/>
            <w:vAlign w:val="bottom"/>
          </w:tcPr>
          <w:p>
            <w:pPr>
              <w:ind w:left="400"/>
              <w:spacing w:after="0"/>
              <w:rPr>
                <w:sz w:val="20"/>
                <w:szCs w:val="20"/>
                <w:color w:val="auto"/>
              </w:rPr>
            </w:pPr>
            <w:r>
              <w:rPr>
                <w:rFonts w:ascii="Arial" w:cs="Arial" w:eastAsia="Arial" w:hAnsi="Arial"/>
                <w:sz w:val="18"/>
                <w:szCs w:val="18"/>
                <w:color w:val="auto"/>
              </w:rPr>
              <w:t>Bodies corporate acting by representatives at meetings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72.</w:t>
            </w:r>
          </w:p>
        </w:tc>
        <w:tc>
          <w:tcPr>
            <w:tcW w:w="6480" w:type="dxa"/>
            <w:vAlign w:val="bottom"/>
          </w:tcPr>
          <w:p>
            <w:pPr>
              <w:ind w:left="400"/>
              <w:spacing w:after="0"/>
              <w:rPr>
                <w:sz w:val="20"/>
                <w:szCs w:val="20"/>
                <w:color w:val="auto"/>
              </w:rPr>
            </w:pPr>
            <w:r>
              <w:rPr>
                <w:rFonts w:ascii="Arial" w:cs="Arial" w:eastAsia="Arial" w:hAnsi="Arial"/>
                <w:sz w:val="18"/>
                <w:szCs w:val="18"/>
                <w:color w:val="auto"/>
              </w:rPr>
              <w:t>Deposit of proxy instruments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72A.</w:t>
            </w:r>
          </w:p>
        </w:tc>
        <w:tc>
          <w:tcPr>
            <w:tcW w:w="6480" w:type="dxa"/>
            <w:vAlign w:val="bottom"/>
          </w:tcPr>
          <w:p>
            <w:pPr>
              <w:ind w:left="400"/>
              <w:spacing w:after="0"/>
              <w:rPr>
                <w:sz w:val="20"/>
                <w:szCs w:val="20"/>
                <w:color w:val="auto"/>
              </w:rPr>
            </w:pPr>
            <w:r>
              <w:rPr>
                <w:rFonts w:ascii="Arial" w:cs="Arial" w:eastAsia="Arial" w:hAnsi="Arial"/>
                <w:sz w:val="18"/>
                <w:szCs w:val="18"/>
                <w:color w:val="auto"/>
              </w:rPr>
              <w:t>Electronic proxy</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73.</w:t>
            </w:r>
          </w:p>
        </w:tc>
        <w:tc>
          <w:tcPr>
            <w:tcW w:w="6480" w:type="dxa"/>
            <w:vAlign w:val="bottom"/>
          </w:tcPr>
          <w:p>
            <w:pPr>
              <w:ind w:left="400"/>
              <w:spacing w:after="0"/>
              <w:rPr>
                <w:sz w:val="20"/>
                <w:szCs w:val="20"/>
                <w:color w:val="auto"/>
              </w:rPr>
            </w:pPr>
            <w:r>
              <w:rPr>
                <w:rFonts w:ascii="Arial" w:cs="Arial" w:eastAsia="Arial" w:hAnsi="Arial"/>
                <w:sz w:val="18"/>
                <w:szCs w:val="18"/>
                <w:color w:val="auto"/>
              </w:rPr>
              <w:t>Effect of proxy appointments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74.</w:t>
            </w:r>
          </w:p>
        </w:tc>
        <w:tc>
          <w:tcPr>
            <w:tcW w:w="6480" w:type="dxa"/>
            <w:vAlign w:val="bottom"/>
          </w:tcPr>
          <w:p>
            <w:pPr>
              <w:ind w:left="400"/>
              <w:spacing w:after="0"/>
              <w:rPr>
                <w:sz w:val="20"/>
                <w:szCs w:val="20"/>
                <w:color w:val="auto"/>
              </w:rPr>
            </w:pPr>
            <w:r>
              <w:rPr>
                <w:rFonts w:ascii="Arial" w:cs="Arial" w:eastAsia="Arial" w:hAnsi="Arial"/>
                <w:sz w:val="18"/>
                <w:szCs w:val="18"/>
                <w:color w:val="auto"/>
              </w:rPr>
              <w:t>Effect of revocation of proxy or of an authorisation</w:t>
            </w:r>
          </w:p>
        </w:tc>
        <w:tc>
          <w:tcPr>
            <w:tcW w:w="0" w:type="dxa"/>
            <w:vAlign w:val="bottom"/>
          </w:tcPr>
          <w:p>
            <w:pPr>
              <w:spacing w:after="0"/>
              <w:rPr>
                <w:sz w:val="1"/>
                <w:szCs w:val="1"/>
                <w:color w:val="auto"/>
              </w:rPr>
            </w:pPr>
          </w:p>
        </w:tc>
      </w:tr>
      <w:tr>
        <w:trPr>
          <w:trHeight w:val="432"/>
        </w:trPr>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Part XIII - Directors</w:t>
            </w:r>
          </w:p>
        </w:tc>
        <w:tc>
          <w:tcPr>
            <w:tcW w:w="1120" w:type="dxa"/>
            <w:vAlign w:val="bottom"/>
          </w:tcPr>
          <w:p>
            <w:pPr>
              <w:ind w:left="360"/>
              <w:spacing w:after="0"/>
              <w:rPr>
                <w:sz w:val="20"/>
                <w:szCs w:val="20"/>
                <w:color w:val="auto"/>
              </w:rPr>
            </w:pPr>
            <w:r>
              <w:rPr>
                <w:rFonts w:ascii="Arial" w:cs="Arial" w:eastAsia="Arial" w:hAnsi="Arial"/>
                <w:sz w:val="18"/>
                <w:szCs w:val="18"/>
                <w:color w:val="auto"/>
              </w:rPr>
              <w:t>75.</w:t>
            </w:r>
          </w:p>
        </w:tc>
        <w:tc>
          <w:tcPr>
            <w:tcW w:w="6480" w:type="dxa"/>
            <w:vAlign w:val="bottom"/>
          </w:tcPr>
          <w:p>
            <w:pPr>
              <w:ind w:left="400"/>
              <w:spacing w:after="0"/>
              <w:rPr>
                <w:sz w:val="20"/>
                <w:szCs w:val="20"/>
                <w:color w:val="auto"/>
              </w:rPr>
            </w:pPr>
            <w:r>
              <w:rPr>
                <w:rFonts w:ascii="Arial" w:cs="Arial" w:eastAsia="Arial" w:hAnsi="Arial"/>
                <w:sz w:val="18"/>
                <w:szCs w:val="18"/>
                <w:color w:val="auto"/>
              </w:rPr>
              <w:t>Number of Directors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76.</w:t>
            </w:r>
          </w:p>
        </w:tc>
        <w:tc>
          <w:tcPr>
            <w:tcW w:w="6480" w:type="dxa"/>
            <w:vAlign w:val="bottom"/>
          </w:tcPr>
          <w:p>
            <w:pPr>
              <w:ind w:left="400"/>
              <w:spacing w:after="0"/>
              <w:rPr>
                <w:sz w:val="20"/>
                <w:szCs w:val="20"/>
                <w:color w:val="auto"/>
              </w:rPr>
            </w:pPr>
            <w:r>
              <w:rPr>
                <w:rFonts w:ascii="Arial" w:cs="Arial" w:eastAsia="Arial" w:hAnsi="Arial"/>
                <w:sz w:val="18"/>
                <w:szCs w:val="18"/>
                <w:color w:val="auto"/>
              </w:rPr>
              <w:t>Share qualification</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77.</w:t>
            </w:r>
          </w:p>
        </w:tc>
        <w:tc>
          <w:tcPr>
            <w:tcW w:w="6480" w:type="dxa"/>
            <w:vAlign w:val="bottom"/>
          </w:tcPr>
          <w:p>
            <w:pPr>
              <w:ind w:left="400"/>
              <w:spacing w:after="0"/>
              <w:rPr>
                <w:sz w:val="20"/>
                <w:szCs w:val="20"/>
                <w:color w:val="auto"/>
              </w:rPr>
            </w:pPr>
            <w:r>
              <w:rPr>
                <w:rFonts w:ascii="Arial" w:cs="Arial" w:eastAsia="Arial" w:hAnsi="Arial"/>
                <w:sz w:val="18"/>
                <w:szCs w:val="18"/>
                <w:color w:val="auto"/>
              </w:rPr>
              <w:t>Ordinary remuneration of Directors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78.</w:t>
            </w:r>
          </w:p>
        </w:tc>
        <w:tc>
          <w:tcPr>
            <w:tcW w:w="6480" w:type="dxa"/>
            <w:vAlign w:val="bottom"/>
          </w:tcPr>
          <w:p>
            <w:pPr>
              <w:ind w:left="400"/>
              <w:spacing w:after="0"/>
              <w:rPr>
                <w:sz w:val="20"/>
                <w:szCs w:val="20"/>
                <w:color w:val="auto"/>
              </w:rPr>
            </w:pPr>
            <w:r>
              <w:rPr>
                <w:rFonts w:ascii="Arial" w:cs="Arial" w:eastAsia="Arial" w:hAnsi="Arial"/>
                <w:sz w:val="18"/>
                <w:szCs w:val="18"/>
                <w:color w:val="auto"/>
              </w:rPr>
              <w:t>Special remuneration of Directors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79.</w:t>
            </w:r>
          </w:p>
        </w:tc>
        <w:tc>
          <w:tcPr>
            <w:tcW w:w="6480" w:type="dxa"/>
            <w:vAlign w:val="bottom"/>
          </w:tcPr>
          <w:p>
            <w:pPr>
              <w:ind w:left="400"/>
              <w:spacing w:after="0"/>
              <w:rPr>
                <w:sz w:val="20"/>
                <w:szCs w:val="20"/>
                <w:color w:val="auto"/>
              </w:rPr>
            </w:pPr>
            <w:r>
              <w:rPr>
                <w:rFonts w:ascii="Arial" w:cs="Arial" w:eastAsia="Arial" w:hAnsi="Arial"/>
                <w:sz w:val="18"/>
                <w:szCs w:val="18"/>
                <w:color w:val="auto"/>
              </w:rPr>
              <w:t>Expenses of Directors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80.</w:t>
            </w:r>
          </w:p>
        </w:tc>
        <w:tc>
          <w:tcPr>
            <w:tcW w:w="6480" w:type="dxa"/>
            <w:vAlign w:val="bottom"/>
          </w:tcPr>
          <w:p>
            <w:pPr>
              <w:ind w:left="400"/>
              <w:spacing w:after="0"/>
              <w:rPr>
                <w:sz w:val="20"/>
                <w:szCs w:val="20"/>
                <w:color w:val="auto"/>
              </w:rPr>
            </w:pPr>
            <w:r>
              <w:rPr>
                <w:rFonts w:ascii="Arial" w:cs="Arial" w:eastAsia="Arial" w:hAnsi="Arial"/>
                <w:sz w:val="18"/>
                <w:szCs w:val="18"/>
                <w:color w:val="auto"/>
              </w:rPr>
              <w:t>Alternate Directors</w:t>
            </w:r>
          </w:p>
        </w:tc>
        <w:tc>
          <w:tcPr>
            <w:tcW w:w="0" w:type="dxa"/>
            <w:vAlign w:val="bottom"/>
          </w:tcPr>
          <w:p>
            <w:pPr>
              <w:spacing w:after="0"/>
              <w:rPr>
                <w:sz w:val="1"/>
                <w:szCs w:val="1"/>
                <w:color w:val="auto"/>
              </w:rPr>
            </w:pPr>
          </w:p>
        </w:tc>
      </w:tr>
      <w:tr>
        <w:trPr>
          <w:trHeight w:val="432"/>
        </w:trPr>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Part XIV - Powers of Directors</w:t>
            </w:r>
          </w:p>
        </w:tc>
        <w:tc>
          <w:tcPr>
            <w:tcW w:w="1120" w:type="dxa"/>
            <w:vAlign w:val="bottom"/>
          </w:tcPr>
          <w:p>
            <w:pPr>
              <w:ind w:left="360"/>
              <w:spacing w:after="0"/>
              <w:rPr>
                <w:sz w:val="20"/>
                <w:szCs w:val="20"/>
                <w:color w:val="auto"/>
              </w:rPr>
            </w:pPr>
            <w:r>
              <w:rPr>
                <w:rFonts w:ascii="Arial" w:cs="Arial" w:eastAsia="Arial" w:hAnsi="Arial"/>
                <w:sz w:val="18"/>
                <w:szCs w:val="18"/>
                <w:color w:val="auto"/>
              </w:rPr>
              <w:t>81.</w:t>
            </w:r>
          </w:p>
        </w:tc>
        <w:tc>
          <w:tcPr>
            <w:tcW w:w="6480" w:type="dxa"/>
            <w:vAlign w:val="bottom"/>
          </w:tcPr>
          <w:p>
            <w:pPr>
              <w:ind w:left="400"/>
              <w:spacing w:after="0"/>
              <w:rPr>
                <w:sz w:val="20"/>
                <w:szCs w:val="20"/>
                <w:color w:val="auto"/>
              </w:rPr>
            </w:pPr>
            <w:r>
              <w:rPr>
                <w:rFonts w:ascii="Arial" w:cs="Arial" w:eastAsia="Arial" w:hAnsi="Arial"/>
                <w:sz w:val="18"/>
                <w:szCs w:val="18"/>
                <w:color w:val="auto"/>
              </w:rPr>
              <w:t>Directors' powers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82.</w:t>
            </w:r>
          </w:p>
        </w:tc>
        <w:tc>
          <w:tcPr>
            <w:tcW w:w="6480" w:type="dxa"/>
            <w:vAlign w:val="bottom"/>
          </w:tcPr>
          <w:p>
            <w:pPr>
              <w:ind w:left="400"/>
              <w:spacing w:after="0"/>
              <w:rPr>
                <w:sz w:val="20"/>
                <w:szCs w:val="20"/>
                <w:color w:val="auto"/>
              </w:rPr>
            </w:pPr>
            <w:r>
              <w:rPr>
                <w:rFonts w:ascii="Arial" w:cs="Arial" w:eastAsia="Arial" w:hAnsi="Arial"/>
                <w:sz w:val="18"/>
                <w:szCs w:val="18"/>
                <w:color w:val="auto"/>
              </w:rPr>
              <w:t>Power to delegate</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83.</w:t>
            </w:r>
          </w:p>
        </w:tc>
        <w:tc>
          <w:tcPr>
            <w:tcW w:w="6480" w:type="dxa"/>
            <w:vAlign w:val="bottom"/>
          </w:tcPr>
          <w:p>
            <w:pPr>
              <w:ind w:left="400"/>
              <w:spacing w:after="0"/>
              <w:rPr>
                <w:sz w:val="20"/>
                <w:szCs w:val="20"/>
                <w:color w:val="auto"/>
              </w:rPr>
            </w:pPr>
            <w:r>
              <w:rPr>
                <w:rFonts w:ascii="Arial" w:cs="Arial" w:eastAsia="Arial" w:hAnsi="Arial"/>
                <w:sz w:val="18"/>
                <w:szCs w:val="18"/>
                <w:color w:val="auto"/>
              </w:rPr>
              <w:t>Appointment of attorneys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84.</w:t>
            </w:r>
          </w:p>
        </w:tc>
        <w:tc>
          <w:tcPr>
            <w:tcW w:w="6480" w:type="dxa"/>
            <w:vAlign w:val="bottom"/>
          </w:tcPr>
          <w:p>
            <w:pPr>
              <w:ind w:left="400"/>
              <w:spacing w:after="0"/>
              <w:rPr>
                <w:sz w:val="20"/>
                <w:szCs w:val="20"/>
                <w:color w:val="auto"/>
              </w:rPr>
            </w:pPr>
            <w:r>
              <w:rPr>
                <w:rFonts w:ascii="Arial" w:cs="Arial" w:eastAsia="Arial" w:hAnsi="Arial"/>
                <w:sz w:val="18"/>
                <w:szCs w:val="18"/>
                <w:color w:val="auto"/>
              </w:rPr>
              <w:t>Local management</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85.</w:t>
            </w:r>
          </w:p>
        </w:tc>
        <w:tc>
          <w:tcPr>
            <w:tcW w:w="6480" w:type="dxa"/>
            <w:vAlign w:val="bottom"/>
          </w:tcPr>
          <w:p>
            <w:pPr>
              <w:ind w:left="400"/>
              <w:spacing w:after="0"/>
              <w:rPr>
                <w:sz w:val="20"/>
                <w:szCs w:val="20"/>
                <w:color w:val="auto"/>
              </w:rPr>
            </w:pPr>
            <w:r>
              <w:rPr>
                <w:rFonts w:ascii="Arial" w:cs="Arial" w:eastAsia="Arial" w:hAnsi="Arial"/>
                <w:sz w:val="18"/>
                <w:szCs w:val="18"/>
                <w:color w:val="auto"/>
              </w:rPr>
              <w:t>Borrowing powers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86.</w:t>
            </w:r>
          </w:p>
        </w:tc>
        <w:tc>
          <w:tcPr>
            <w:tcW w:w="6480" w:type="dxa"/>
            <w:vAlign w:val="bottom"/>
          </w:tcPr>
          <w:p>
            <w:pPr>
              <w:ind w:left="400"/>
              <w:spacing w:after="0"/>
              <w:rPr>
                <w:sz w:val="20"/>
                <w:szCs w:val="20"/>
                <w:color w:val="auto"/>
              </w:rPr>
            </w:pPr>
            <w:r>
              <w:rPr>
                <w:rFonts w:ascii="Arial" w:cs="Arial" w:eastAsia="Arial" w:hAnsi="Arial"/>
                <w:sz w:val="18"/>
                <w:szCs w:val="18"/>
                <w:color w:val="auto"/>
              </w:rPr>
              <w:t>Execution of negotiable instruments</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87.</w:t>
            </w:r>
          </w:p>
        </w:tc>
        <w:tc>
          <w:tcPr>
            <w:tcW w:w="6480" w:type="dxa"/>
            <w:vAlign w:val="bottom"/>
          </w:tcPr>
          <w:p>
            <w:pPr>
              <w:ind w:left="400"/>
              <w:spacing w:after="0"/>
              <w:rPr>
                <w:sz w:val="20"/>
                <w:szCs w:val="20"/>
                <w:color w:val="auto"/>
              </w:rPr>
            </w:pPr>
            <w:r>
              <w:rPr>
                <w:rFonts w:ascii="Arial" w:cs="Arial" w:eastAsia="Arial" w:hAnsi="Arial"/>
                <w:sz w:val="18"/>
                <w:szCs w:val="18"/>
                <w:color w:val="auto"/>
              </w:rPr>
              <w:t>Provision for employees</w:t>
            </w:r>
          </w:p>
        </w:tc>
        <w:tc>
          <w:tcPr>
            <w:tcW w:w="0" w:type="dxa"/>
            <w:vAlign w:val="bottom"/>
          </w:tcPr>
          <w:p>
            <w:pPr>
              <w:spacing w:after="0"/>
              <w:rPr>
                <w:sz w:val="1"/>
                <w:szCs w:val="1"/>
                <w:color w:val="auto"/>
              </w:rPr>
            </w:pPr>
          </w:p>
        </w:tc>
      </w:tr>
      <w:tr>
        <w:trPr>
          <w:trHeight w:val="414"/>
        </w:trPr>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Part XV - Appointment and Retirement of</w:t>
            </w:r>
          </w:p>
        </w:tc>
        <w:tc>
          <w:tcPr>
            <w:tcW w:w="1120" w:type="dxa"/>
            <w:vAlign w:val="bottom"/>
          </w:tcPr>
          <w:p>
            <w:pPr>
              <w:ind w:left="360"/>
              <w:spacing w:after="0"/>
              <w:rPr>
                <w:sz w:val="20"/>
                <w:szCs w:val="20"/>
                <w:color w:val="auto"/>
              </w:rPr>
            </w:pPr>
            <w:r>
              <w:rPr>
                <w:rFonts w:ascii="Arial" w:cs="Arial" w:eastAsia="Arial" w:hAnsi="Arial"/>
                <w:sz w:val="18"/>
                <w:szCs w:val="18"/>
                <w:color w:val="auto"/>
              </w:rPr>
              <w:t>88.</w:t>
            </w:r>
          </w:p>
        </w:tc>
        <w:tc>
          <w:tcPr>
            <w:tcW w:w="6480" w:type="dxa"/>
            <w:vAlign w:val="bottom"/>
          </w:tcPr>
          <w:p>
            <w:pPr>
              <w:ind w:left="400"/>
              <w:spacing w:after="0"/>
              <w:rPr>
                <w:sz w:val="20"/>
                <w:szCs w:val="20"/>
                <w:color w:val="auto"/>
              </w:rPr>
            </w:pPr>
            <w:r>
              <w:rPr>
                <w:rFonts w:ascii="Arial" w:cs="Arial" w:eastAsia="Arial" w:hAnsi="Arial"/>
                <w:sz w:val="18"/>
                <w:szCs w:val="18"/>
                <w:color w:val="auto"/>
              </w:rPr>
              <w:t>Retirement by rotation</w:t>
            </w: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Arial" w:cs="Arial" w:eastAsia="Arial" w:hAnsi="Arial"/>
                <w:sz w:val="18"/>
                <w:szCs w:val="18"/>
                <w:b w:val="1"/>
                <w:bCs w:val="1"/>
                <w:color w:val="auto"/>
              </w:rPr>
              <w:t>Directors</w:t>
            </w:r>
          </w:p>
        </w:tc>
        <w:tc>
          <w:tcPr>
            <w:tcW w:w="1120" w:type="dxa"/>
            <w:vAlign w:val="bottom"/>
            <w:vMerge w:val="restart"/>
          </w:tcPr>
          <w:p>
            <w:pPr>
              <w:ind w:left="360"/>
              <w:spacing w:after="0"/>
              <w:rPr>
                <w:sz w:val="20"/>
                <w:szCs w:val="20"/>
                <w:color w:val="auto"/>
              </w:rPr>
            </w:pPr>
            <w:r>
              <w:rPr>
                <w:rFonts w:ascii="Arial" w:cs="Arial" w:eastAsia="Arial" w:hAnsi="Arial"/>
                <w:sz w:val="18"/>
                <w:szCs w:val="18"/>
                <w:color w:val="auto"/>
              </w:rPr>
              <w:t>89.</w:t>
            </w:r>
          </w:p>
        </w:tc>
        <w:tc>
          <w:tcPr>
            <w:tcW w:w="6480" w:type="dxa"/>
            <w:vAlign w:val="bottom"/>
            <w:vMerge w:val="restart"/>
          </w:tcPr>
          <w:p>
            <w:pPr>
              <w:ind w:left="400"/>
              <w:spacing w:after="0"/>
              <w:rPr>
                <w:sz w:val="20"/>
                <w:szCs w:val="20"/>
                <w:color w:val="auto"/>
              </w:rPr>
            </w:pPr>
            <w:r>
              <w:rPr>
                <w:rFonts w:ascii="Arial" w:cs="Arial" w:eastAsia="Arial" w:hAnsi="Arial"/>
                <w:sz w:val="18"/>
                <w:szCs w:val="18"/>
                <w:color w:val="auto"/>
              </w:rPr>
              <w:t>Deemed reappointment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38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54"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90.</w:t>
            </w:r>
          </w:p>
        </w:tc>
        <w:tc>
          <w:tcPr>
            <w:tcW w:w="6500" w:type="dxa"/>
            <w:vAlign w:val="bottom"/>
          </w:tcPr>
          <w:p>
            <w:pPr>
              <w:ind w:left="420"/>
              <w:spacing w:after="0"/>
              <w:rPr>
                <w:sz w:val="20"/>
                <w:szCs w:val="20"/>
                <w:color w:val="auto"/>
              </w:rPr>
            </w:pPr>
            <w:r>
              <w:rPr>
                <w:rFonts w:ascii="Arial" w:cs="Arial" w:eastAsia="Arial" w:hAnsi="Arial"/>
                <w:sz w:val="18"/>
                <w:szCs w:val="18"/>
                <w:color w:val="auto"/>
              </w:rPr>
              <w:t>Eligibility for appointment as a Director</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91.</w:t>
            </w:r>
          </w:p>
        </w:tc>
        <w:tc>
          <w:tcPr>
            <w:tcW w:w="6500" w:type="dxa"/>
            <w:vAlign w:val="bottom"/>
          </w:tcPr>
          <w:p>
            <w:pPr>
              <w:ind w:left="420"/>
              <w:spacing w:after="0"/>
              <w:rPr>
                <w:sz w:val="20"/>
                <w:szCs w:val="20"/>
                <w:color w:val="auto"/>
              </w:rPr>
            </w:pPr>
            <w:r>
              <w:rPr>
                <w:rFonts w:ascii="Arial" w:cs="Arial" w:eastAsia="Arial" w:hAnsi="Arial"/>
                <w:sz w:val="18"/>
                <w:szCs w:val="18"/>
                <w:color w:val="auto"/>
              </w:rPr>
              <w:t>Appointment of additional Directors</w:t>
            </w:r>
          </w:p>
        </w:tc>
        <w:tc>
          <w:tcPr>
            <w:tcW w:w="0" w:type="dxa"/>
            <w:vAlign w:val="bottom"/>
          </w:tcPr>
          <w:p>
            <w:pPr>
              <w:spacing w:after="0"/>
              <w:rPr>
                <w:sz w:val="1"/>
                <w:szCs w:val="1"/>
                <w:color w:val="auto"/>
              </w:rPr>
            </w:pPr>
          </w:p>
        </w:tc>
      </w:tr>
      <w:tr>
        <w:trPr>
          <w:trHeight w:val="414"/>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XVI - Disqualification and Removal of</w:t>
            </w:r>
          </w:p>
        </w:tc>
        <w:tc>
          <w:tcPr>
            <w:tcW w:w="1060" w:type="dxa"/>
            <w:vAlign w:val="bottom"/>
          </w:tcPr>
          <w:p>
            <w:pPr>
              <w:ind w:left="320"/>
              <w:spacing w:after="0"/>
              <w:rPr>
                <w:sz w:val="20"/>
                <w:szCs w:val="20"/>
                <w:color w:val="auto"/>
              </w:rPr>
            </w:pPr>
            <w:r>
              <w:rPr>
                <w:rFonts w:ascii="Arial" w:cs="Arial" w:eastAsia="Arial" w:hAnsi="Arial"/>
                <w:sz w:val="18"/>
                <w:szCs w:val="18"/>
                <w:color w:val="auto"/>
              </w:rPr>
              <w:t>92.</w:t>
            </w:r>
          </w:p>
        </w:tc>
        <w:tc>
          <w:tcPr>
            <w:tcW w:w="6500" w:type="dxa"/>
            <w:vAlign w:val="bottom"/>
          </w:tcPr>
          <w:p>
            <w:pPr>
              <w:ind w:left="420"/>
              <w:spacing w:after="0"/>
              <w:rPr>
                <w:sz w:val="20"/>
                <w:szCs w:val="20"/>
                <w:color w:val="auto"/>
              </w:rPr>
            </w:pPr>
            <w:r>
              <w:rPr>
                <w:rFonts w:ascii="Arial" w:cs="Arial" w:eastAsia="Arial" w:hAnsi="Arial"/>
                <w:sz w:val="18"/>
                <w:szCs w:val="18"/>
                <w:color w:val="auto"/>
              </w:rPr>
              <w:t>Disqualification of Directors</w:t>
            </w:r>
          </w:p>
        </w:tc>
        <w:tc>
          <w:tcPr>
            <w:tcW w:w="0" w:type="dxa"/>
            <w:vAlign w:val="bottom"/>
          </w:tcPr>
          <w:p>
            <w:pPr>
              <w:spacing w:after="0"/>
              <w:rPr>
                <w:sz w:val="1"/>
                <w:szCs w:val="1"/>
                <w:color w:val="auto"/>
              </w:rPr>
            </w:pPr>
          </w:p>
        </w:tc>
      </w:tr>
      <w:tr>
        <w:trPr>
          <w:trHeight w:val="234"/>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Directors</w:t>
            </w:r>
          </w:p>
        </w:tc>
        <w:tc>
          <w:tcPr>
            <w:tcW w:w="1060" w:type="dxa"/>
            <w:vAlign w:val="bottom"/>
            <w:vMerge w:val="restart"/>
          </w:tcPr>
          <w:p>
            <w:pPr>
              <w:ind w:left="320"/>
              <w:spacing w:after="0"/>
              <w:rPr>
                <w:sz w:val="20"/>
                <w:szCs w:val="20"/>
                <w:color w:val="auto"/>
              </w:rPr>
            </w:pPr>
            <w:r>
              <w:rPr>
                <w:rFonts w:ascii="Arial" w:cs="Arial" w:eastAsia="Arial" w:hAnsi="Arial"/>
                <w:sz w:val="18"/>
                <w:szCs w:val="18"/>
                <w:color w:val="auto"/>
              </w:rPr>
              <w:t>93.</w:t>
            </w:r>
          </w:p>
        </w:tc>
        <w:tc>
          <w:tcPr>
            <w:tcW w:w="6500" w:type="dxa"/>
            <w:vAlign w:val="bottom"/>
            <w:vMerge w:val="restart"/>
          </w:tcPr>
          <w:p>
            <w:pPr>
              <w:ind w:left="420"/>
              <w:spacing w:after="0"/>
              <w:rPr>
                <w:sz w:val="20"/>
                <w:szCs w:val="20"/>
                <w:color w:val="auto"/>
              </w:rPr>
            </w:pPr>
            <w:r>
              <w:rPr>
                <w:rFonts w:ascii="Arial" w:cs="Arial" w:eastAsia="Arial" w:hAnsi="Arial"/>
                <w:sz w:val="18"/>
                <w:szCs w:val="18"/>
                <w:color w:val="auto"/>
              </w:rPr>
              <w:t>Removal of Directors</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XVII - Directors' Offices and Interests</w:t>
            </w:r>
          </w:p>
        </w:tc>
        <w:tc>
          <w:tcPr>
            <w:tcW w:w="1060" w:type="dxa"/>
            <w:vAlign w:val="bottom"/>
          </w:tcPr>
          <w:p>
            <w:pPr>
              <w:ind w:left="320"/>
              <w:spacing w:after="0"/>
              <w:rPr>
                <w:sz w:val="20"/>
                <w:szCs w:val="20"/>
                <w:color w:val="auto"/>
              </w:rPr>
            </w:pPr>
            <w:r>
              <w:rPr>
                <w:rFonts w:ascii="Arial" w:cs="Arial" w:eastAsia="Arial" w:hAnsi="Arial"/>
                <w:sz w:val="18"/>
                <w:szCs w:val="18"/>
                <w:color w:val="auto"/>
              </w:rPr>
              <w:t>94.</w:t>
            </w:r>
          </w:p>
        </w:tc>
        <w:tc>
          <w:tcPr>
            <w:tcW w:w="6500" w:type="dxa"/>
            <w:vAlign w:val="bottom"/>
          </w:tcPr>
          <w:p>
            <w:pPr>
              <w:ind w:left="420"/>
              <w:spacing w:after="0"/>
              <w:rPr>
                <w:sz w:val="20"/>
                <w:szCs w:val="20"/>
                <w:color w:val="auto"/>
              </w:rPr>
            </w:pPr>
            <w:r>
              <w:rPr>
                <w:rFonts w:ascii="Arial" w:cs="Arial" w:eastAsia="Arial" w:hAnsi="Arial"/>
                <w:sz w:val="18"/>
                <w:szCs w:val="18"/>
                <w:color w:val="auto"/>
              </w:rPr>
              <w:t>Executive offices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95.</w:t>
            </w:r>
          </w:p>
        </w:tc>
        <w:tc>
          <w:tcPr>
            <w:tcW w:w="6500" w:type="dxa"/>
            <w:vAlign w:val="bottom"/>
          </w:tcPr>
          <w:p>
            <w:pPr>
              <w:ind w:left="420"/>
              <w:spacing w:after="0"/>
              <w:rPr>
                <w:sz w:val="20"/>
                <w:szCs w:val="20"/>
                <w:color w:val="auto"/>
              </w:rPr>
            </w:pPr>
            <w:r>
              <w:rPr>
                <w:rFonts w:ascii="Arial" w:cs="Arial" w:eastAsia="Arial" w:hAnsi="Arial"/>
                <w:sz w:val="18"/>
                <w:szCs w:val="18"/>
                <w:color w:val="auto"/>
              </w:rPr>
              <w:t>Disclosure of interests by Directors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96.</w:t>
            </w:r>
          </w:p>
        </w:tc>
        <w:tc>
          <w:tcPr>
            <w:tcW w:w="6500" w:type="dxa"/>
            <w:vAlign w:val="bottom"/>
          </w:tcPr>
          <w:p>
            <w:pPr>
              <w:ind w:left="420"/>
              <w:spacing w:after="0"/>
              <w:rPr>
                <w:sz w:val="20"/>
                <w:szCs w:val="20"/>
                <w:color w:val="auto"/>
              </w:rPr>
            </w:pPr>
            <w:r>
              <w:rPr>
                <w:rFonts w:ascii="Arial" w:cs="Arial" w:eastAsia="Arial" w:hAnsi="Arial"/>
                <w:sz w:val="18"/>
                <w:szCs w:val="18"/>
                <w:color w:val="auto"/>
              </w:rPr>
              <w:t>Directors' interests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97.</w:t>
            </w:r>
          </w:p>
        </w:tc>
        <w:tc>
          <w:tcPr>
            <w:tcW w:w="6500" w:type="dxa"/>
            <w:vAlign w:val="bottom"/>
          </w:tcPr>
          <w:p>
            <w:pPr>
              <w:ind w:left="420"/>
              <w:spacing w:after="0"/>
              <w:rPr>
                <w:sz w:val="20"/>
                <w:szCs w:val="20"/>
                <w:color w:val="auto"/>
              </w:rPr>
            </w:pPr>
            <w:r>
              <w:rPr>
                <w:rFonts w:ascii="Arial" w:cs="Arial" w:eastAsia="Arial" w:hAnsi="Arial"/>
                <w:sz w:val="18"/>
                <w:szCs w:val="18"/>
                <w:color w:val="auto"/>
              </w:rPr>
              <w:t>Restriction on Directors' voting</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98.</w:t>
            </w:r>
          </w:p>
        </w:tc>
        <w:tc>
          <w:tcPr>
            <w:tcW w:w="6500" w:type="dxa"/>
            <w:vAlign w:val="bottom"/>
          </w:tcPr>
          <w:p>
            <w:pPr>
              <w:ind w:left="420"/>
              <w:spacing w:after="0"/>
              <w:rPr>
                <w:sz w:val="20"/>
                <w:szCs w:val="20"/>
                <w:color w:val="auto"/>
              </w:rPr>
            </w:pPr>
            <w:r>
              <w:rPr>
                <w:rFonts w:ascii="Arial" w:cs="Arial" w:eastAsia="Arial" w:hAnsi="Arial"/>
                <w:sz w:val="18"/>
                <w:szCs w:val="18"/>
                <w:color w:val="auto"/>
              </w:rPr>
              <w:t>Entitlement to grant pensions</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XVIII - Proceedings of Directors</w:t>
            </w:r>
          </w:p>
        </w:tc>
        <w:tc>
          <w:tcPr>
            <w:tcW w:w="1060" w:type="dxa"/>
            <w:vAlign w:val="bottom"/>
          </w:tcPr>
          <w:p>
            <w:pPr>
              <w:ind w:left="320"/>
              <w:spacing w:after="0"/>
              <w:rPr>
                <w:sz w:val="20"/>
                <w:szCs w:val="20"/>
                <w:color w:val="auto"/>
              </w:rPr>
            </w:pPr>
            <w:r>
              <w:rPr>
                <w:rFonts w:ascii="Arial" w:cs="Arial" w:eastAsia="Arial" w:hAnsi="Arial"/>
                <w:sz w:val="18"/>
                <w:szCs w:val="18"/>
                <w:color w:val="auto"/>
              </w:rPr>
              <w:t>99.</w:t>
            </w:r>
          </w:p>
        </w:tc>
        <w:tc>
          <w:tcPr>
            <w:tcW w:w="6500" w:type="dxa"/>
            <w:vAlign w:val="bottom"/>
          </w:tcPr>
          <w:p>
            <w:pPr>
              <w:ind w:left="420"/>
              <w:spacing w:after="0"/>
              <w:rPr>
                <w:sz w:val="20"/>
                <w:szCs w:val="20"/>
                <w:color w:val="auto"/>
              </w:rPr>
            </w:pPr>
            <w:r>
              <w:rPr>
                <w:rFonts w:ascii="Arial" w:cs="Arial" w:eastAsia="Arial" w:hAnsi="Arial"/>
                <w:sz w:val="18"/>
                <w:szCs w:val="18"/>
                <w:color w:val="auto"/>
              </w:rPr>
              <w:t>Convening and regulation of Directors' meetings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100.</w:t>
            </w:r>
          </w:p>
        </w:tc>
        <w:tc>
          <w:tcPr>
            <w:tcW w:w="6500" w:type="dxa"/>
            <w:vAlign w:val="bottom"/>
          </w:tcPr>
          <w:p>
            <w:pPr>
              <w:ind w:left="420"/>
              <w:spacing w:after="0"/>
              <w:rPr>
                <w:sz w:val="20"/>
                <w:szCs w:val="20"/>
                <w:color w:val="auto"/>
              </w:rPr>
            </w:pPr>
            <w:r>
              <w:rPr>
                <w:rFonts w:ascii="Arial" w:cs="Arial" w:eastAsia="Arial" w:hAnsi="Arial"/>
                <w:sz w:val="18"/>
                <w:szCs w:val="18"/>
                <w:color w:val="auto"/>
              </w:rPr>
              <w:t>Quorum for Directors' meetings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101.</w:t>
            </w:r>
          </w:p>
        </w:tc>
        <w:tc>
          <w:tcPr>
            <w:tcW w:w="6500" w:type="dxa"/>
            <w:vAlign w:val="bottom"/>
          </w:tcPr>
          <w:p>
            <w:pPr>
              <w:ind w:left="420"/>
              <w:spacing w:after="0"/>
              <w:rPr>
                <w:sz w:val="20"/>
                <w:szCs w:val="20"/>
                <w:color w:val="auto"/>
              </w:rPr>
            </w:pPr>
            <w:r>
              <w:rPr>
                <w:rFonts w:ascii="Arial" w:cs="Arial" w:eastAsia="Arial" w:hAnsi="Arial"/>
                <w:sz w:val="18"/>
                <w:szCs w:val="18"/>
                <w:color w:val="auto"/>
              </w:rPr>
              <w:t>Voting at Directors' meetings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102.</w:t>
            </w:r>
          </w:p>
        </w:tc>
        <w:tc>
          <w:tcPr>
            <w:tcW w:w="6500" w:type="dxa"/>
            <w:vAlign w:val="bottom"/>
          </w:tcPr>
          <w:p>
            <w:pPr>
              <w:ind w:left="420"/>
              <w:spacing w:after="0"/>
              <w:rPr>
                <w:sz w:val="20"/>
                <w:szCs w:val="20"/>
                <w:color w:val="auto"/>
              </w:rPr>
            </w:pPr>
            <w:r>
              <w:rPr>
                <w:rFonts w:ascii="Arial" w:cs="Arial" w:eastAsia="Arial" w:hAnsi="Arial"/>
                <w:sz w:val="18"/>
                <w:szCs w:val="18"/>
                <w:color w:val="auto"/>
              </w:rPr>
              <w:t>Telecommunication meetings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103.</w:t>
            </w:r>
          </w:p>
        </w:tc>
        <w:tc>
          <w:tcPr>
            <w:tcW w:w="6500" w:type="dxa"/>
            <w:vAlign w:val="bottom"/>
          </w:tcPr>
          <w:p>
            <w:pPr>
              <w:ind w:left="42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104.</w:t>
            </w:r>
          </w:p>
        </w:tc>
        <w:tc>
          <w:tcPr>
            <w:tcW w:w="6500" w:type="dxa"/>
            <w:vAlign w:val="bottom"/>
          </w:tcPr>
          <w:p>
            <w:pPr>
              <w:ind w:left="420"/>
              <w:spacing w:after="0"/>
              <w:rPr>
                <w:sz w:val="20"/>
                <w:szCs w:val="20"/>
                <w:color w:val="auto"/>
              </w:rPr>
            </w:pPr>
            <w:r>
              <w:rPr>
                <w:rFonts w:ascii="Arial" w:cs="Arial" w:eastAsia="Arial" w:hAnsi="Arial"/>
                <w:sz w:val="18"/>
                <w:szCs w:val="18"/>
                <w:color w:val="auto"/>
              </w:rPr>
              <w:t>Validity of acts of Directors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105.</w:t>
            </w:r>
          </w:p>
        </w:tc>
        <w:tc>
          <w:tcPr>
            <w:tcW w:w="6500" w:type="dxa"/>
            <w:vAlign w:val="bottom"/>
          </w:tcPr>
          <w:p>
            <w:pPr>
              <w:ind w:left="420"/>
              <w:spacing w:after="0"/>
              <w:rPr>
                <w:sz w:val="20"/>
                <w:szCs w:val="20"/>
                <w:color w:val="auto"/>
              </w:rPr>
            </w:pPr>
            <w:r>
              <w:rPr>
                <w:rFonts w:ascii="Arial" w:cs="Arial" w:eastAsia="Arial" w:hAnsi="Arial"/>
                <w:sz w:val="18"/>
                <w:szCs w:val="18"/>
                <w:color w:val="auto"/>
              </w:rPr>
              <w:t>Directors' resolutions or other documents in writing</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XIX - The Secretary</w:t>
            </w:r>
          </w:p>
        </w:tc>
        <w:tc>
          <w:tcPr>
            <w:tcW w:w="1060" w:type="dxa"/>
            <w:vAlign w:val="bottom"/>
          </w:tcPr>
          <w:p>
            <w:pPr>
              <w:ind w:left="320"/>
              <w:spacing w:after="0"/>
              <w:rPr>
                <w:sz w:val="20"/>
                <w:szCs w:val="20"/>
                <w:color w:val="auto"/>
              </w:rPr>
            </w:pPr>
            <w:r>
              <w:rPr>
                <w:rFonts w:ascii="Arial" w:cs="Arial" w:eastAsia="Arial" w:hAnsi="Arial"/>
                <w:sz w:val="18"/>
                <w:szCs w:val="18"/>
                <w:color w:val="auto"/>
              </w:rPr>
              <w:t>106.</w:t>
            </w:r>
          </w:p>
        </w:tc>
        <w:tc>
          <w:tcPr>
            <w:tcW w:w="6500" w:type="dxa"/>
            <w:vAlign w:val="bottom"/>
          </w:tcPr>
          <w:p>
            <w:pPr>
              <w:ind w:left="420"/>
              <w:spacing w:after="0"/>
              <w:rPr>
                <w:sz w:val="20"/>
                <w:szCs w:val="20"/>
                <w:color w:val="auto"/>
              </w:rPr>
            </w:pPr>
            <w:r>
              <w:rPr>
                <w:rFonts w:ascii="Arial" w:cs="Arial" w:eastAsia="Arial" w:hAnsi="Arial"/>
                <w:sz w:val="18"/>
                <w:szCs w:val="18"/>
                <w:color w:val="auto"/>
              </w:rPr>
              <w:t>Appointment of Secretary</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XX - The Seal</w:t>
            </w:r>
          </w:p>
        </w:tc>
        <w:tc>
          <w:tcPr>
            <w:tcW w:w="1060" w:type="dxa"/>
            <w:vAlign w:val="bottom"/>
          </w:tcPr>
          <w:p>
            <w:pPr>
              <w:ind w:left="320"/>
              <w:spacing w:after="0"/>
              <w:rPr>
                <w:sz w:val="20"/>
                <w:szCs w:val="20"/>
                <w:color w:val="auto"/>
              </w:rPr>
            </w:pPr>
            <w:r>
              <w:rPr>
                <w:rFonts w:ascii="Arial" w:cs="Arial" w:eastAsia="Arial" w:hAnsi="Arial"/>
                <w:sz w:val="18"/>
                <w:szCs w:val="18"/>
                <w:color w:val="auto"/>
              </w:rPr>
              <w:t>107.</w:t>
            </w:r>
          </w:p>
        </w:tc>
        <w:tc>
          <w:tcPr>
            <w:tcW w:w="6500" w:type="dxa"/>
            <w:vAlign w:val="bottom"/>
          </w:tcPr>
          <w:p>
            <w:pPr>
              <w:ind w:left="420"/>
              <w:spacing w:after="0"/>
              <w:rPr>
                <w:sz w:val="20"/>
                <w:szCs w:val="20"/>
                <w:color w:val="auto"/>
              </w:rPr>
            </w:pPr>
            <w:r>
              <w:rPr>
                <w:rFonts w:ascii="Arial" w:cs="Arial" w:eastAsia="Arial" w:hAnsi="Arial"/>
                <w:sz w:val="18"/>
                <w:szCs w:val="18"/>
                <w:color w:val="auto"/>
              </w:rPr>
              <w:t>Use of Seal</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108.</w:t>
            </w:r>
          </w:p>
        </w:tc>
        <w:tc>
          <w:tcPr>
            <w:tcW w:w="6500" w:type="dxa"/>
            <w:vAlign w:val="bottom"/>
          </w:tcPr>
          <w:p>
            <w:pPr>
              <w:ind w:left="420"/>
              <w:spacing w:after="0"/>
              <w:rPr>
                <w:sz w:val="20"/>
                <w:szCs w:val="20"/>
                <w:color w:val="auto"/>
              </w:rPr>
            </w:pPr>
            <w:r>
              <w:rPr>
                <w:rFonts w:ascii="Arial" w:cs="Arial" w:eastAsia="Arial" w:hAnsi="Arial"/>
                <w:sz w:val="18"/>
                <w:szCs w:val="18"/>
                <w:color w:val="auto"/>
              </w:rPr>
              <w:t>Seal for use abroad</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109.</w:t>
            </w:r>
          </w:p>
        </w:tc>
        <w:tc>
          <w:tcPr>
            <w:tcW w:w="6500" w:type="dxa"/>
            <w:vAlign w:val="bottom"/>
          </w:tcPr>
          <w:p>
            <w:pPr>
              <w:ind w:left="420"/>
              <w:spacing w:after="0"/>
              <w:rPr>
                <w:sz w:val="20"/>
                <w:szCs w:val="20"/>
                <w:color w:val="auto"/>
              </w:rPr>
            </w:pPr>
            <w:r>
              <w:rPr>
                <w:rFonts w:ascii="Arial" w:cs="Arial" w:eastAsia="Arial" w:hAnsi="Arial"/>
                <w:sz w:val="18"/>
                <w:szCs w:val="18"/>
                <w:color w:val="auto"/>
              </w:rPr>
              <w:t>Signature of sealed instruments</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XXI - Dividends and Reserves</w:t>
            </w:r>
          </w:p>
        </w:tc>
        <w:tc>
          <w:tcPr>
            <w:tcW w:w="1060" w:type="dxa"/>
            <w:vAlign w:val="bottom"/>
          </w:tcPr>
          <w:p>
            <w:pPr>
              <w:ind w:left="320"/>
              <w:spacing w:after="0"/>
              <w:rPr>
                <w:sz w:val="20"/>
                <w:szCs w:val="20"/>
                <w:color w:val="auto"/>
              </w:rPr>
            </w:pPr>
            <w:r>
              <w:rPr>
                <w:rFonts w:ascii="Arial" w:cs="Arial" w:eastAsia="Arial" w:hAnsi="Arial"/>
                <w:sz w:val="18"/>
                <w:szCs w:val="18"/>
                <w:color w:val="auto"/>
              </w:rPr>
              <w:t>110.</w:t>
            </w:r>
          </w:p>
        </w:tc>
        <w:tc>
          <w:tcPr>
            <w:tcW w:w="6500" w:type="dxa"/>
            <w:vAlign w:val="bottom"/>
          </w:tcPr>
          <w:p>
            <w:pPr>
              <w:ind w:left="420"/>
              <w:spacing w:after="0"/>
              <w:rPr>
                <w:sz w:val="20"/>
                <w:szCs w:val="20"/>
                <w:color w:val="auto"/>
              </w:rPr>
            </w:pPr>
            <w:r>
              <w:rPr>
                <w:rFonts w:ascii="Arial" w:cs="Arial" w:eastAsia="Arial" w:hAnsi="Arial"/>
                <w:sz w:val="18"/>
                <w:szCs w:val="18"/>
                <w:color w:val="auto"/>
              </w:rPr>
              <w:t>Declaration of dividends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111.</w:t>
            </w:r>
          </w:p>
        </w:tc>
        <w:tc>
          <w:tcPr>
            <w:tcW w:w="6500" w:type="dxa"/>
            <w:vAlign w:val="bottom"/>
          </w:tcPr>
          <w:p>
            <w:pPr>
              <w:ind w:left="420"/>
              <w:spacing w:after="0"/>
              <w:rPr>
                <w:sz w:val="20"/>
                <w:szCs w:val="20"/>
                <w:color w:val="auto"/>
              </w:rPr>
            </w:pPr>
            <w:r>
              <w:rPr>
                <w:rFonts w:ascii="Arial" w:cs="Arial" w:eastAsia="Arial" w:hAnsi="Arial"/>
                <w:sz w:val="18"/>
                <w:szCs w:val="18"/>
                <w:color w:val="auto"/>
              </w:rPr>
              <w:t>Scrip dividends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112.</w:t>
            </w:r>
          </w:p>
        </w:tc>
        <w:tc>
          <w:tcPr>
            <w:tcW w:w="6500" w:type="dxa"/>
            <w:vAlign w:val="bottom"/>
          </w:tcPr>
          <w:p>
            <w:pPr>
              <w:ind w:left="420"/>
              <w:spacing w:after="0"/>
              <w:rPr>
                <w:sz w:val="20"/>
                <w:szCs w:val="20"/>
                <w:color w:val="auto"/>
              </w:rPr>
            </w:pPr>
            <w:r>
              <w:rPr>
                <w:rFonts w:ascii="Arial" w:cs="Arial" w:eastAsia="Arial" w:hAnsi="Arial"/>
                <w:sz w:val="18"/>
                <w:szCs w:val="18"/>
                <w:color w:val="auto"/>
              </w:rPr>
              <w:t>Interim and fixed dividends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113.</w:t>
            </w:r>
          </w:p>
        </w:tc>
        <w:tc>
          <w:tcPr>
            <w:tcW w:w="650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114.</w:t>
            </w:r>
          </w:p>
        </w:tc>
        <w:tc>
          <w:tcPr>
            <w:tcW w:w="6500" w:type="dxa"/>
            <w:vAlign w:val="bottom"/>
          </w:tcPr>
          <w:p>
            <w:pPr>
              <w:ind w:left="420"/>
              <w:spacing w:after="0"/>
              <w:rPr>
                <w:sz w:val="20"/>
                <w:szCs w:val="20"/>
                <w:color w:val="auto"/>
              </w:rPr>
            </w:pPr>
            <w:r>
              <w:rPr>
                <w:rFonts w:ascii="Arial" w:cs="Arial" w:eastAsia="Arial" w:hAnsi="Arial"/>
                <w:sz w:val="18"/>
                <w:szCs w:val="18"/>
                <w:color w:val="auto"/>
              </w:rPr>
              <w:t>Deductions from dividends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115.</w:t>
            </w:r>
          </w:p>
        </w:tc>
        <w:tc>
          <w:tcPr>
            <w:tcW w:w="6500" w:type="dxa"/>
            <w:vAlign w:val="bottom"/>
          </w:tcPr>
          <w:p>
            <w:pPr>
              <w:ind w:left="420"/>
              <w:spacing w:after="0"/>
              <w:rPr>
                <w:sz w:val="20"/>
                <w:szCs w:val="20"/>
                <w:color w:val="auto"/>
              </w:rPr>
            </w:pPr>
            <w:r>
              <w:rPr>
                <w:rFonts w:ascii="Arial" w:cs="Arial" w:eastAsia="Arial" w:hAnsi="Arial"/>
                <w:sz w:val="18"/>
                <w:szCs w:val="18"/>
                <w:color w:val="auto"/>
              </w:rPr>
              <w:t>Dividends in specie</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116.</w:t>
            </w:r>
          </w:p>
        </w:tc>
        <w:tc>
          <w:tcPr>
            <w:tcW w:w="6500" w:type="dxa"/>
            <w:vAlign w:val="bottom"/>
          </w:tcPr>
          <w:p>
            <w:pPr>
              <w:ind w:left="420"/>
              <w:spacing w:after="0"/>
              <w:rPr>
                <w:sz w:val="20"/>
                <w:szCs w:val="20"/>
                <w:color w:val="auto"/>
              </w:rPr>
            </w:pPr>
            <w:r>
              <w:rPr>
                <w:rFonts w:ascii="Arial" w:cs="Arial" w:eastAsia="Arial" w:hAnsi="Arial"/>
                <w:sz w:val="18"/>
                <w:szCs w:val="18"/>
                <w:color w:val="auto"/>
              </w:rPr>
              <w:t>Payment of dividends by post</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117.</w:t>
            </w:r>
          </w:p>
        </w:tc>
        <w:tc>
          <w:tcPr>
            <w:tcW w:w="6500" w:type="dxa"/>
            <w:vAlign w:val="bottom"/>
          </w:tcPr>
          <w:p>
            <w:pPr>
              <w:ind w:left="420"/>
              <w:spacing w:after="0"/>
              <w:rPr>
                <w:sz w:val="20"/>
                <w:szCs w:val="20"/>
                <w:color w:val="auto"/>
              </w:rPr>
            </w:pPr>
            <w:r>
              <w:rPr>
                <w:rFonts w:ascii="Arial" w:cs="Arial" w:eastAsia="Arial" w:hAnsi="Arial"/>
                <w:sz w:val="18"/>
                <w:szCs w:val="18"/>
                <w:color w:val="auto"/>
              </w:rPr>
              <w:t>Dividends not to bear interest</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118.</w:t>
            </w:r>
          </w:p>
        </w:tc>
        <w:tc>
          <w:tcPr>
            <w:tcW w:w="6500" w:type="dxa"/>
            <w:vAlign w:val="bottom"/>
          </w:tcPr>
          <w:p>
            <w:pPr>
              <w:ind w:left="420"/>
              <w:spacing w:after="0"/>
              <w:rPr>
                <w:sz w:val="20"/>
                <w:szCs w:val="20"/>
                <w:color w:val="auto"/>
              </w:rPr>
            </w:pPr>
            <w:r>
              <w:rPr>
                <w:rFonts w:ascii="Arial" w:cs="Arial" w:eastAsia="Arial" w:hAnsi="Arial"/>
                <w:sz w:val="18"/>
                <w:szCs w:val="18"/>
                <w:color w:val="auto"/>
              </w:rPr>
              <w:t>Payment to Holders on a particular date</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119.</w:t>
            </w:r>
          </w:p>
        </w:tc>
        <w:tc>
          <w:tcPr>
            <w:tcW w:w="6500" w:type="dxa"/>
            <w:vAlign w:val="bottom"/>
          </w:tcPr>
          <w:p>
            <w:pPr>
              <w:ind w:left="420"/>
              <w:spacing w:after="0"/>
              <w:rPr>
                <w:sz w:val="20"/>
                <w:szCs w:val="20"/>
                <w:color w:val="auto"/>
              </w:rPr>
            </w:pPr>
            <w:r>
              <w:rPr>
                <w:rFonts w:ascii="Arial" w:cs="Arial" w:eastAsia="Arial" w:hAnsi="Arial"/>
                <w:sz w:val="18"/>
                <w:szCs w:val="18"/>
                <w:color w:val="auto"/>
              </w:rPr>
              <w:t>Unclaimed dividends</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120.</w:t>
            </w:r>
          </w:p>
        </w:tc>
        <w:tc>
          <w:tcPr>
            <w:tcW w:w="6500" w:type="dxa"/>
            <w:vAlign w:val="bottom"/>
          </w:tcPr>
          <w:p>
            <w:pPr>
              <w:ind w:left="420"/>
              <w:spacing w:after="0"/>
              <w:rPr>
                <w:sz w:val="20"/>
                <w:szCs w:val="20"/>
                <w:color w:val="auto"/>
              </w:rPr>
            </w:pPr>
            <w:r>
              <w:rPr>
                <w:rFonts w:ascii="Arial" w:cs="Arial" w:eastAsia="Arial" w:hAnsi="Arial"/>
                <w:sz w:val="18"/>
                <w:szCs w:val="18"/>
                <w:color w:val="auto"/>
              </w:rPr>
              <w:t>Reserves</w:t>
            </w:r>
          </w:p>
        </w:tc>
        <w:tc>
          <w:tcPr>
            <w:tcW w:w="0" w:type="dxa"/>
            <w:vAlign w:val="bottom"/>
          </w:tcPr>
          <w:p>
            <w:pPr>
              <w:spacing w:after="0"/>
              <w:rPr>
                <w:sz w:val="1"/>
                <w:szCs w:val="1"/>
                <w:color w:val="auto"/>
              </w:rPr>
            </w:pPr>
          </w:p>
        </w:tc>
      </w:tr>
      <w:tr>
        <w:trPr>
          <w:trHeight w:val="432"/>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XXII - Accounts</w:t>
            </w:r>
          </w:p>
        </w:tc>
        <w:tc>
          <w:tcPr>
            <w:tcW w:w="1060" w:type="dxa"/>
            <w:vAlign w:val="bottom"/>
          </w:tcPr>
          <w:p>
            <w:pPr>
              <w:ind w:left="320"/>
              <w:spacing w:after="0"/>
              <w:rPr>
                <w:sz w:val="20"/>
                <w:szCs w:val="20"/>
                <w:color w:val="auto"/>
              </w:rPr>
            </w:pPr>
            <w:r>
              <w:rPr>
                <w:rFonts w:ascii="Arial" w:cs="Arial" w:eastAsia="Arial" w:hAnsi="Arial"/>
                <w:sz w:val="18"/>
                <w:szCs w:val="18"/>
                <w:color w:val="auto"/>
              </w:rPr>
              <w:t>121.</w:t>
            </w:r>
          </w:p>
        </w:tc>
        <w:tc>
          <w:tcPr>
            <w:tcW w:w="6500" w:type="dxa"/>
            <w:vAlign w:val="bottom"/>
          </w:tcPr>
          <w:p>
            <w:pPr>
              <w:ind w:left="420"/>
              <w:spacing w:after="0"/>
              <w:rPr>
                <w:sz w:val="20"/>
                <w:szCs w:val="20"/>
                <w:color w:val="auto"/>
              </w:rPr>
            </w:pPr>
            <w:r>
              <w:rPr>
                <w:rFonts w:ascii="Arial" w:cs="Arial" w:eastAsia="Arial" w:hAnsi="Arial"/>
                <w:sz w:val="18"/>
                <w:szCs w:val="18"/>
                <w:color w:val="auto"/>
              </w:rPr>
              <w:t>Accounts</w:t>
            </w:r>
          </w:p>
        </w:tc>
        <w:tc>
          <w:tcPr>
            <w:tcW w:w="0" w:type="dxa"/>
            <w:vAlign w:val="bottom"/>
          </w:tcPr>
          <w:p>
            <w:pPr>
              <w:spacing w:after="0"/>
              <w:rPr>
                <w:sz w:val="1"/>
                <w:szCs w:val="1"/>
                <w:color w:val="auto"/>
              </w:rPr>
            </w:pPr>
          </w:p>
        </w:tc>
      </w:tr>
      <w:tr>
        <w:trPr>
          <w:trHeight w:val="414"/>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Part XXIII -</w:t>
            </w:r>
          </w:p>
        </w:tc>
        <w:tc>
          <w:tcPr>
            <w:tcW w:w="1060" w:type="dxa"/>
            <w:vAlign w:val="bottom"/>
          </w:tcPr>
          <w:p>
            <w:pPr>
              <w:ind w:left="320"/>
              <w:spacing w:after="0"/>
              <w:rPr>
                <w:sz w:val="20"/>
                <w:szCs w:val="20"/>
                <w:color w:val="auto"/>
              </w:rPr>
            </w:pPr>
            <w:r>
              <w:rPr>
                <w:rFonts w:ascii="Arial" w:cs="Arial" w:eastAsia="Arial" w:hAnsi="Arial"/>
                <w:sz w:val="18"/>
                <w:szCs w:val="18"/>
                <w:color w:val="auto"/>
              </w:rPr>
              <w:t>122.</w:t>
            </w:r>
          </w:p>
        </w:tc>
        <w:tc>
          <w:tcPr>
            <w:tcW w:w="6500" w:type="dxa"/>
            <w:vAlign w:val="bottom"/>
          </w:tcPr>
          <w:p>
            <w:pPr>
              <w:ind w:left="420"/>
              <w:spacing w:after="0"/>
              <w:rPr>
                <w:sz w:val="20"/>
                <w:szCs w:val="20"/>
                <w:color w:val="auto"/>
              </w:rPr>
            </w:pPr>
            <w:r>
              <w:rPr>
                <w:rFonts w:ascii="Arial" w:cs="Arial" w:eastAsia="Arial" w:hAnsi="Arial"/>
                <w:sz w:val="18"/>
                <w:szCs w:val="18"/>
                <w:color w:val="auto"/>
              </w:rPr>
              <w:t>Capitalisation of profits and reserves</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Capitalisation of</w:t>
            </w:r>
          </w:p>
        </w:tc>
        <w:tc>
          <w:tcPr>
            <w:tcW w:w="10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Profits or Reserves</w:t>
            </w:r>
          </w:p>
        </w:tc>
        <w:tc>
          <w:tcPr>
            <w:tcW w:w="10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9"/>
        </w:trPr>
        <w:tc>
          <w:tcPr>
            <w:tcW w:w="38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6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586" w:gutter="0" w:footer="0" w:header="0"/>
        </w:sectPr>
      </w:pPr>
    </w:p>
    <w:bookmarkStart w:id="116" w:name="page117"/>
    <w:bookmarkEnd w:id="116"/>
    <w:p>
      <w:pPr>
        <w:ind w:left="5160" w:hanging="1154"/>
        <w:spacing w:after="0"/>
        <w:tabs>
          <w:tab w:leader="none" w:pos="5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Capitalisation and use of non-distributable profits and reserves</w:t>
      </w:r>
    </w:p>
    <w:p>
      <w:pPr>
        <w:spacing w:after="0" w:line="248" w:lineRule="exact"/>
        <w:rPr>
          <w:rFonts w:ascii="Arial" w:cs="Arial" w:eastAsia="Arial" w:hAnsi="Arial"/>
          <w:sz w:val="16"/>
          <w:szCs w:val="16"/>
          <w:color w:val="auto"/>
        </w:rPr>
      </w:pPr>
    </w:p>
    <w:p>
      <w:pPr>
        <w:ind w:left="5160" w:hanging="1154"/>
        <w:spacing w:after="0"/>
        <w:tabs>
          <w:tab w:leader="none" w:pos="5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Implementation of capitalisation issues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60" w:hanging="1154"/>
        <w:spacing w:after="0"/>
        <w:tabs>
          <w:tab w:leader="none" w:pos="5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Service of notices and documents</w:t>
      </w:r>
    </w:p>
    <w:p>
      <w:pPr>
        <w:spacing w:after="0" w:line="225" w:lineRule="exact"/>
        <w:rPr>
          <w:rFonts w:ascii="Arial" w:cs="Arial" w:eastAsia="Arial" w:hAnsi="Arial"/>
          <w:sz w:val="18"/>
          <w:szCs w:val="18"/>
          <w:color w:val="auto"/>
        </w:rPr>
      </w:pPr>
    </w:p>
    <w:p>
      <w:pPr>
        <w:ind w:left="5160" w:hanging="1154"/>
        <w:spacing w:after="0"/>
        <w:tabs>
          <w:tab w:leader="none" w:pos="5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Notices to members</w:t>
      </w:r>
    </w:p>
    <w:p>
      <w:pPr>
        <w:spacing w:after="0" w:line="225" w:lineRule="exact"/>
        <w:rPr>
          <w:rFonts w:ascii="Arial" w:cs="Arial" w:eastAsia="Arial" w:hAnsi="Arial"/>
          <w:sz w:val="18"/>
          <w:szCs w:val="18"/>
          <w:color w:val="auto"/>
        </w:rPr>
      </w:pPr>
    </w:p>
    <w:p>
      <w:pPr>
        <w:ind w:left="5160" w:hanging="1154"/>
        <w:spacing w:after="0"/>
        <w:tabs>
          <w:tab w:leader="none" w:pos="5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Service on joint Holders</w:t>
      </w:r>
    </w:p>
    <w:p>
      <w:pPr>
        <w:spacing w:after="0" w:line="225" w:lineRule="exact"/>
        <w:rPr>
          <w:rFonts w:ascii="Arial" w:cs="Arial" w:eastAsia="Arial" w:hAnsi="Arial"/>
          <w:sz w:val="18"/>
          <w:szCs w:val="18"/>
          <w:color w:val="auto"/>
        </w:rPr>
      </w:pPr>
    </w:p>
    <w:p>
      <w:pPr>
        <w:ind w:left="5160" w:hanging="1154"/>
        <w:spacing w:after="0"/>
        <w:tabs>
          <w:tab w:leader="none" w:pos="5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Service on transfer or transmission of Shares</w:t>
      </w:r>
    </w:p>
    <w:p>
      <w:pPr>
        <w:spacing w:after="0" w:line="225" w:lineRule="exact"/>
        <w:rPr>
          <w:rFonts w:ascii="Arial" w:cs="Arial" w:eastAsia="Arial" w:hAnsi="Arial"/>
          <w:sz w:val="18"/>
          <w:szCs w:val="18"/>
          <w:color w:val="auto"/>
        </w:rPr>
      </w:pPr>
    </w:p>
    <w:p>
      <w:pPr>
        <w:ind w:left="5160" w:hanging="1154"/>
        <w:spacing w:after="0"/>
        <w:tabs>
          <w:tab w:leader="none" w:pos="5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Signature to notices</w:t>
      </w:r>
    </w:p>
    <w:p>
      <w:pPr>
        <w:spacing w:after="0" w:line="225" w:lineRule="exact"/>
        <w:rPr>
          <w:rFonts w:ascii="Arial" w:cs="Arial" w:eastAsia="Arial" w:hAnsi="Arial"/>
          <w:sz w:val="18"/>
          <w:szCs w:val="18"/>
          <w:color w:val="auto"/>
        </w:rPr>
      </w:pPr>
    </w:p>
    <w:p>
      <w:pPr>
        <w:ind w:left="5160" w:hanging="1154"/>
        <w:spacing w:after="0"/>
        <w:tabs>
          <w:tab w:leader="none" w:pos="5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Deemed receipt of notices</w:t>
      </w:r>
    </w:p>
    <w:p>
      <w:pPr>
        <w:spacing w:after="0" w:line="221" w:lineRule="exact"/>
        <w:rPr>
          <w:sz w:val="20"/>
          <w:szCs w:val="20"/>
          <w:color w:val="auto"/>
        </w:rPr>
      </w:pPr>
    </w:p>
    <w:p>
      <w:pPr>
        <w:spacing w:after="0"/>
        <w:tabs>
          <w:tab w:leader="none" w:pos="3980" w:val="left"/>
          <w:tab w:leader="none" w:pos="5140" w:val="left"/>
        </w:tabs>
        <w:rPr>
          <w:sz w:val="20"/>
          <w:szCs w:val="20"/>
          <w:color w:val="auto"/>
        </w:rPr>
      </w:pPr>
      <w:r>
        <w:rPr>
          <w:rFonts w:ascii="Arial" w:cs="Arial" w:eastAsia="Arial" w:hAnsi="Arial"/>
          <w:sz w:val="18"/>
          <w:szCs w:val="18"/>
          <w:b w:val="1"/>
          <w:bCs w:val="1"/>
          <w:color w:val="auto"/>
        </w:rPr>
        <w:t>Part XXV - Winding up</w:t>
      </w:r>
      <w:r>
        <w:rPr>
          <w:sz w:val="20"/>
          <w:szCs w:val="20"/>
          <w:color w:val="auto"/>
        </w:rPr>
        <w:tab/>
      </w: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Use of Electronic Communication</w:t>
      </w:r>
    </w:p>
    <w:p>
      <w:pPr>
        <w:spacing w:after="0" w:line="229" w:lineRule="exact"/>
        <w:rPr>
          <w:sz w:val="20"/>
          <w:szCs w:val="20"/>
          <w:color w:val="auto"/>
        </w:rPr>
      </w:pPr>
    </w:p>
    <w:p>
      <w:pPr>
        <w:ind w:left="5160" w:hanging="1154"/>
        <w:spacing w:after="0"/>
        <w:tabs>
          <w:tab w:leader="none" w:pos="5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Distribution on winding up</w:t>
      </w:r>
    </w:p>
    <w:p>
      <w:pPr>
        <w:spacing w:after="0" w:line="225" w:lineRule="exact"/>
        <w:rPr>
          <w:rFonts w:ascii="Arial" w:cs="Arial" w:eastAsia="Arial" w:hAnsi="Arial"/>
          <w:sz w:val="18"/>
          <w:szCs w:val="18"/>
          <w:color w:val="auto"/>
        </w:rPr>
      </w:pPr>
    </w:p>
    <w:p>
      <w:pPr>
        <w:ind w:left="5160" w:hanging="1154"/>
        <w:spacing w:after="0"/>
        <w:tabs>
          <w:tab w:leader="none" w:pos="5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Distribution in specie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60" w:hanging="1154"/>
        <w:spacing w:after="0"/>
        <w:tabs>
          <w:tab w:leader="none" w:pos="5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Inspection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60" w:hanging="1154"/>
        <w:spacing w:after="0"/>
        <w:tabs>
          <w:tab w:leader="none" w:pos="5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Destruction of records</w:t>
      </w:r>
    </w:p>
    <w:p>
      <w:pPr>
        <w:spacing w:after="0" w:line="225" w:lineRule="exact"/>
        <w:rPr>
          <w:rFonts w:ascii="Arial" w:cs="Arial" w:eastAsia="Arial" w:hAnsi="Arial"/>
          <w:sz w:val="18"/>
          <w:szCs w:val="18"/>
          <w:color w:val="auto"/>
        </w:rPr>
      </w:pPr>
    </w:p>
    <w:p>
      <w:pPr>
        <w:ind w:left="5160" w:hanging="1154"/>
        <w:spacing w:after="0"/>
        <w:tabs>
          <w:tab w:leader="none" w:pos="5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Untraced Shareholders</w:t>
      </w:r>
    </w:p>
    <w:p>
      <w:pPr>
        <w:spacing w:after="0" w:line="225" w:lineRule="exact"/>
        <w:rPr>
          <w:rFonts w:ascii="Arial" w:cs="Arial" w:eastAsia="Arial" w:hAnsi="Arial"/>
          <w:sz w:val="18"/>
          <w:szCs w:val="18"/>
          <w:color w:val="auto"/>
        </w:rPr>
      </w:pPr>
    </w:p>
    <w:p>
      <w:pPr>
        <w:ind w:left="5160" w:hanging="1154"/>
        <w:spacing w:after="0"/>
        <w:tabs>
          <w:tab w:leader="none" w:pos="5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424180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39"/>
          </w:cols>
          <w:pgMar w:left="420" w:top="517"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Companies Acts, 1963 to 2009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PUBLIC COMPANY LIMITED BY SHARES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PUBLIC LIMITED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Preliminary</w:t>
      </w:r>
    </w:p>
    <w:p>
      <w:pPr>
        <w:spacing w:after="0" w:line="25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6" w:lineRule="exact"/>
        <w:rPr>
          <w:rFonts w:ascii="Arial" w:cs="Arial" w:eastAsia="Arial" w:hAnsi="Arial"/>
          <w:sz w:val="18"/>
          <w:szCs w:val="18"/>
          <w:b w:val="1"/>
          <w:bCs w:val="1"/>
          <w:color w:val="auto"/>
        </w:rPr>
      </w:pPr>
    </w:p>
    <w:p>
      <w:pPr>
        <w:ind w:left="1380" w:hanging="724"/>
        <w:spacing w:after="0"/>
        <w:tabs>
          <w:tab w:leader="none" w:pos="13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regulations contained in Table A in the First Schedule to the Companies Act, 1963 shall not apply to the Company.</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these Articles the following expressions shall have the following meanings: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ind w:left="1380"/>
              <w:spacing w:after="0"/>
              <w:rPr>
                <w:sz w:val="20"/>
                <w:szCs w:val="20"/>
                <w:color w:val="auto"/>
              </w:rPr>
            </w:pPr>
            <w:r>
              <w:rPr>
                <w:rFonts w:ascii="Arial" w:cs="Arial" w:eastAsia="Arial" w:hAnsi="Arial"/>
                <w:sz w:val="18"/>
                <w:szCs w:val="18"/>
                <w:color w:val="auto"/>
              </w:rPr>
              <w:t>"the Acts"</w:t>
            </w:r>
          </w:p>
        </w:tc>
        <w:tc>
          <w:tcPr>
            <w:tcW w:w="8120" w:type="dxa"/>
            <w:vAlign w:val="bottom"/>
          </w:tcPr>
          <w:p>
            <w:pPr>
              <w:ind w:left="820"/>
              <w:spacing w:after="0"/>
              <w:rPr>
                <w:sz w:val="20"/>
                <w:szCs w:val="20"/>
                <w:color w:val="auto"/>
              </w:rPr>
            </w:pPr>
            <w:r>
              <w:rPr>
                <w:rFonts w:ascii="Arial" w:cs="Arial" w:eastAsia="Arial" w:hAnsi="Arial"/>
                <w:sz w:val="18"/>
                <w:szCs w:val="18"/>
                <w:color w:val="auto"/>
                <w:w w:val="92"/>
              </w:rPr>
              <w:t>the Companies Acts, 1963 to 2009 and every statutory modification or re-enactment thereof for the</w:t>
            </w:r>
          </w:p>
        </w:tc>
      </w:tr>
      <w:tr>
        <w:trPr>
          <w:trHeight w:val="230"/>
        </w:trPr>
        <w:tc>
          <w:tcPr>
            <w:tcW w:w="3300" w:type="dxa"/>
            <w:vAlign w:val="bottom"/>
          </w:tcPr>
          <w:p>
            <w:pPr>
              <w:spacing w:after="0"/>
              <w:rPr>
                <w:sz w:val="20"/>
                <w:szCs w:val="20"/>
                <w:color w:val="auto"/>
              </w:rPr>
            </w:pPr>
          </w:p>
        </w:tc>
        <w:tc>
          <w:tcPr>
            <w:tcW w:w="8120" w:type="dxa"/>
            <w:vAlign w:val="bottom"/>
          </w:tcPr>
          <w:p>
            <w:pPr>
              <w:ind w:left="820"/>
              <w:spacing w:after="0"/>
              <w:rPr>
                <w:sz w:val="20"/>
                <w:szCs w:val="20"/>
                <w:color w:val="auto"/>
              </w:rPr>
            </w:pPr>
            <w:r>
              <w:rPr>
                <w:rFonts w:ascii="Arial" w:cs="Arial" w:eastAsia="Arial" w:hAnsi="Arial"/>
                <w:sz w:val="18"/>
                <w:szCs w:val="18"/>
                <w:color w:val="auto"/>
              </w:rPr>
              <w:t>time being in effect;</w:t>
            </w:r>
          </w:p>
        </w:tc>
      </w:tr>
      <w:tr>
        <w:trPr>
          <w:trHeight w:val="459"/>
        </w:trPr>
        <w:tc>
          <w:tcPr>
            <w:tcW w:w="3300" w:type="dxa"/>
            <w:vAlign w:val="bottom"/>
          </w:tcPr>
          <w:p>
            <w:pPr>
              <w:ind w:left="1380"/>
              <w:spacing w:after="0"/>
              <w:rPr>
                <w:sz w:val="20"/>
                <w:szCs w:val="20"/>
                <w:color w:val="auto"/>
              </w:rPr>
            </w:pPr>
            <w:r>
              <w:rPr>
                <w:rFonts w:ascii="Arial" w:cs="Arial" w:eastAsia="Arial" w:hAnsi="Arial"/>
                <w:sz w:val="18"/>
                <w:szCs w:val="18"/>
                <w:color w:val="auto"/>
              </w:rPr>
              <w:t>"the 1963 Act"</w:t>
            </w:r>
          </w:p>
        </w:tc>
        <w:tc>
          <w:tcPr>
            <w:tcW w:w="8120" w:type="dxa"/>
            <w:vAlign w:val="bottom"/>
          </w:tcPr>
          <w:p>
            <w:pPr>
              <w:ind w:left="820"/>
              <w:spacing w:after="0"/>
              <w:rPr>
                <w:sz w:val="20"/>
                <w:szCs w:val="20"/>
                <w:color w:val="auto"/>
              </w:rPr>
            </w:pPr>
            <w:r>
              <w:rPr>
                <w:rFonts w:ascii="Arial" w:cs="Arial" w:eastAsia="Arial" w:hAnsi="Arial"/>
                <w:sz w:val="18"/>
                <w:szCs w:val="18"/>
                <w:color w:val="auto"/>
              </w:rPr>
              <w:t>the Companies Act, 1963;</w:t>
            </w:r>
          </w:p>
        </w:tc>
      </w:tr>
      <w:tr>
        <w:trPr>
          <w:trHeight w:val="459"/>
        </w:trPr>
        <w:tc>
          <w:tcPr>
            <w:tcW w:w="3300" w:type="dxa"/>
            <w:vAlign w:val="bottom"/>
          </w:tcPr>
          <w:p>
            <w:pPr>
              <w:ind w:left="1380"/>
              <w:spacing w:after="0"/>
              <w:rPr>
                <w:sz w:val="20"/>
                <w:szCs w:val="20"/>
                <w:color w:val="auto"/>
              </w:rPr>
            </w:pPr>
            <w:r>
              <w:rPr>
                <w:rFonts w:ascii="Arial" w:cs="Arial" w:eastAsia="Arial" w:hAnsi="Arial"/>
                <w:sz w:val="18"/>
                <w:szCs w:val="18"/>
                <w:color w:val="auto"/>
              </w:rPr>
              <w:t>"the 1983 Act"</w:t>
            </w:r>
          </w:p>
        </w:tc>
        <w:tc>
          <w:tcPr>
            <w:tcW w:w="8120" w:type="dxa"/>
            <w:vAlign w:val="bottom"/>
          </w:tcPr>
          <w:p>
            <w:pPr>
              <w:ind w:left="820"/>
              <w:spacing w:after="0"/>
              <w:rPr>
                <w:sz w:val="20"/>
                <w:szCs w:val="20"/>
                <w:color w:val="auto"/>
              </w:rPr>
            </w:pPr>
            <w:r>
              <w:rPr>
                <w:rFonts w:ascii="Arial" w:cs="Arial" w:eastAsia="Arial" w:hAnsi="Arial"/>
                <w:sz w:val="18"/>
                <w:szCs w:val="18"/>
                <w:color w:val="auto"/>
              </w:rPr>
              <w:t>the Companies (Amendment) Act, 1983;</w:t>
            </w:r>
          </w:p>
        </w:tc>
      </w:tr>
      <w:tr>
        <w:trPr>
          <w:trHeight w:val="459"/>
        </w:trPr>
        <w:tc>
          <w:tcPr>
            <w:tcW w:w="3300" w:type="dxa"/>
            <w:vAlign w:val="bottom"/>
          </w:tcPr>
          <w:p>
            <w:pPr>
              <w:ind w:left="1380"/>
              <w:spacing w:after="0"/>
              <w:rPr>
                <w:sz w:val="20"/>
                <w:szCs w:val="20"/>
                <w:color w:val="auto"/>
              </w:rPr>
            </w:pPr>
            <w:r>
              <w:rPr>
                <w:rFonts w:ascii="Arial" w:cs="Arial" w:eastAsia="Arial" w:hAnsi="Arial"/>
                <w:sz w:val="18"/>
                <w:szCs w:val="18"/>
                <w:color w:val="auto"/>
              </w:rPr>
              <w:t>"the 1990 Act"</w:t>
            </w:r>
          </w:p>
        </w:tc>
        <w:tc>
          <w:tcPr>
            <w:tcW w:w="8120" w:type="dxa"/>
            <w:vAlign w:val="bottom"/>
          </w:tcPr>
          <w:p>
            <w:pPr>
              <w:ind w:left="820"/>
              <w:spacing w:after="0"/>
              <w:rPr>
                <w:sz w:val="20"/>
                <w:szCs w:val="20"/>
                <w:color w:val="auto"/>
              </w:rPr>
            </w:pPr>
            <w:r>
              <w:rPr>
                <w:rFonts w:ascii="Arial" w:cs="Arial" w:eastAsia="Arial" w:hAnsi="Arial"/>
                <w:sz w:val="18"/>
                <w:szCs w:val="18"/>
                <w:color w:val="auto"/>
              </w:rPr>
              <w:t>the Companies Act, 1990;</w:t>
            </w:r>
          </w:p>
        </w:tc>
      </w:tr>
      <w:tr>
        <w:trPr>
          <w:trHeight w:val="445"/>
        </w:trPr>
        <w:tc>
          <w:tcPr>
            <w:tcW w:w="3300" w:type="dxa"/>
            <w:vAlign w:val="bottom"/>
          </w:tcPr>
          <w:p>
            <w:pPr>
              <w:ind w:left="1380"/>
              <w:spacing w:after="0"/>
              <w:rPr>
                <w:sz w:val="20"/>
                <w:szCs w:val="20"/>
                <w:color w:val="auto"/>
              </w:rPr>
            </w:pPr>
            <w:r>
              <w:rPr>
                <w:rFonts w:ascii="Arial" w:cs="Arial" w:eastAsia="Arial" w:hAnsi="Arial"/>
                <w:sz w:val="18"/>
                <w:szCs w:val="18"/>
                <w:color w:val="auto"/>
              </w:rPr>
              <w:t>"address"</w:t>
            </w:r>
          </w:p>
        </w:tc>
        <w:tc>
          <w:tcPr>
            <w:tcW w:w="8120" w:type="dxa"/>
            <w:vAlign w:val="bottom"/>
          </w:tcPr>
          <w:p>
            <w:pPr>
              <w:ind w:left="820"/>
              <w:spacing w:after="0"/>
              <w:rPr>
                <w:sz w:val="20"/>
                <w:szCs w:val="20"/>
                <w:color w:val="auto"/>
              </w:rPr>
            </w:pPr>
            <w:r>
              <w:rPr>
                <w:rFonts w:ascii="Arial" w:cs="Arial" w:eastAsia="Arial" w:hAnsi="Arial"/>
                <w:sz w:val="18"/>
                <w:szCs w:val="18"/>
                <w:color w:val="auto"/>
                <w:w w:val="93"/>
              </w:rPr>
              <w:t>includes any number or address used for the purposes of communication by way of electronic mail</w:t>
            </w:r>
          </w:p>
        </w:tc>
      </w:tr>
      <w:tr>
        <w:trPr>
          <w:trHeight w:val="230"/>
        </w:trPr>
        <w:tc>
          <w:tcPr>
            <w:tcW w:w="3300" w:type="dxa"/>
            <w:vAlign w:val="bottom"/>
          </w:tcPr>
          <w:p>
            <w:pPr>
              <w:spacing w:after="0"/>
              <w:rPr>
                <w:sz w:val="20"/>
                <w:szCs w:val="20"/>
                <w:color w:val="auto"/>
              </w:rPr>
            </w:pPr>
          </w:p>
        </w:tc>
        <w:tc>
          <w:tcPr>
            <w:tcW w:w="8120" w:type="dxa"/>
            <w:vAlign w:val="bottom"/>
          </w:tcPr>
          <w:p>
            <w:pPr>
              <w:ind w:left="820"/>
              <w:spacing w:after="0"/>
              <w:rPr>
                <w:sz w:val="20"/>
                <w:szCs w:val="20"/>
                <w:color w:val="auto"/>
              </w:rPr>
            </w:pPr>
            <w:r>
              <w:rPr>
                <w:rFonts w:ascii="Arial" w:cs="Arial" w:eastAsia="Arial" w:hAnsi="Arial"/>
                <w:sz w:val="18"/>
                <w:szCs w:val="18"/>
                <w:color w:val="auto"/>
              </w:rPr>
              <w:t>or other Electronic Communication;</w:t>
            </w:r>
          </w:p>
        </w:tc>
      </w:tr>
      <w:tr>
        <w:trPr>
          <w:trHeight w:val="445"/>
        </w:trPr>
        <w:tc>
          <w:tcPr>
            <w:tcW w:w="3300" w:type="dxa"/>
            <w:vAlign w:val="bottom"/>
          </w:tcPr>
          <w:p>
            <w:pPr>
              <w:ind w:left="1380"/>
              <w:spacing w:after="0"/>
              <w:rPr>
                <w:sz w:val="20"/>
                <w:szCs w:val="20"/>
                <w:color w:val="auto"/>
              </w:rPr>
            </w:pPr>
            <w:r>
              <w:rPr>
                <w:rFonts w:ascii="Arial" w:cs="Arial" w:eastAsia="Arial" w:hAnsi="Arial"/>
                <w:sz w:val="18"/>
                <w:szCs w:val="18"/>
                <w:color w:val="auto"/>
              </w:rPr>
              <w:t>"Advanced</w:t>
            </w:r>
          </w:p>
        </w:tc>
        <w:tc>
          <w:tcPr>
            <w:tcW w:w="8120" w:type="dxa"/>
            <w:vAlign w:val="bottom"/>
          </w:tcPr>
          <w:p>
            <w:pPr>
              <w:spacing w:after="0"/>
              <w:rPr>
                <w:sz w:val="24"/>
                <w:szCs w:val="24"/>
                <w:color w:val="auto"/>
              </w:rPr>
            </w:pPr>
          </w:p>
        </w:tc>
      </w:tr>
      <w:tr>
        <w:trPr>
          <w:trHeight w:val="216"/>
        </w:trPr>
        <w:tc>
          <w:tcPr>
            <w:tcW w:w="3300" w:type="dxa"/>
            <w:vAlign w:val="bottom"/>
          </w:tcPr>
          <w:p>
            <w:pPr>
              <w:ind w:left="1380"/>
              <w:spacing w:after="0"/>
              <w:rPr>
                <w:sz w:val="20"/>
                <w:szCs w:val="20"/>
                <w:color w:val="auto"/>
              </w:rPr>
            </w:pPr>
            <w:r>
              <w:rPr>
                <w:rFonts w:ascii="Arial" w:cs="Arial" w:eastAsia="Arial" w:hAnsi="Arial"/>
                <w:sz w:val="18"/>
                <w:szCs w:val="18"/>
                <w:color w:val="auto"/>
              </w:rPr>
              <w:t>Electronic</w:t>
            </w:r>
          </w:p>
        </w:tc>
        <w:tc>
          <w:tcPr>
            <w:tcW w:w="8120" w:type="dxa"/>
            <w:vAlign w:val="bottom"/>
          </w:tcPr>
          <w:p>
            <w:pPr>
              <w:spacing w:after="0"/>
              <w:rPr>
                <w:sz w:val="18"/>
                <w:szCs w:val="18"/>
                <w:color w:val="auto"/>
              </w:rPr>
            </w:pPr>
          </w:p>
        </w:tc>
      </w:tr>
      <w:tr>
        <w:trPr>
          <w:trHeight w:val="216"/>
        </w:trPr>
        <w:tc>
          <w:tcPr>
            <w:tcW w:w="3300" w:type="dxa"/>
            <w:vAlign w:val="bottom"/>
          </w:tcPr>
          <w:p>
            <w:pPr>
              <w:ind w:left="1380"/>
              <w:spacing w:after="0"/>
              <w:rPr>
                <w:sz w:val="20"/>
                <w:szCs w:val="20"/>
                <w:color w:val="auto"/>
              </w:rPr>
            </w:pPr>
            <w:r>
              <w:rPr>
                <w:rFonts w:ascii="Arial" w:cs="Arial" w:eastAsia="Arial" w:hAnsi="Arial"/>
                <w:sz w:val="18"/>
                <w:szCs w:val="18"/>
                <w:color w:val="auto"/>
              </w:rPr>
              <w:t>Signature"</w:t>
            </w:r>
          </w:p>
        </w:tc>
        <w:tc>
          <w:tcPr>
            <w:tcW w:w="8120" w:type="dxa"/>
            <w:vAlign w:val="bottom"/>
          </w:tcPr>
          <w:p>
            <w:pPr>
              <w:ind w:left="820"/>
              <w:spacing w:after="0"/>
              <w:rPr>
                <w:sz w:val="20"/>
                <w:szCs w:val="20"/>
                <w:color w:val="auto"/>
              </w:rPr>
            </w:pPr>
            <w:r>
              <w:rPr>
                <w:rFonts w:ascii="Arial" w:cs="Arial" w:eastAsia="Arial" w:hAnsi="Arial"/>
                <w:sz w:val="18"/>
                <w:szCs w:val="18"/>
                <w:color w:val="auto"/>
                <w:w w:val="91"/>
              </w:rPr>
              <w:t>has the same meaning as under the Electronic Commerce Act, 2000 (as amended or supplemented</w:t>
            </w:r>
          </w:p>
        </w:tc>
      </w:tr>
      <w:tr>
        <w:trPr>
          <w:trHeight w:val="230"/>
        </w:trPr>
        <w:tc>
          <w:tcPr>
            <w:tcW w:w="3300" w:type="dxa"/>
            <w:vAlign w:val="bottom"/>
          </w:tcPr>
          <w:p>
            <w:pPr>
              <w:spacing w:after="0"/>
              <w:rPr>
                <w:sz w:val="20"/>
                <w:szCs w:val="20"/>
                <w:color w:val="auto"/>
              </w:rPr>
            </w:pPr>
          </w:p>
        </w:tc>
        <w:tc>
          <w:tcPr>
            <w:tcW w:w="8120" w:type="dxa"/>
            <w:vAlign w:val="bottom"/>
          </w:tcPr>
          <w:p>
            <w:pPr>
              <w:ind w:left="820"/>
              <w:spacing w:after="0"/>
              <w:rPr>
                <w:sz w:val="20"/>
                <w:szCs w:val="20"/>
                <w:color w:val="auto"/>
              </w:rPr>
            </w:pPr>
            <w:r>
              <w:rPr>
                <w:rFonts w:ascii="Arial" w:cs="Arial" w:eastAsia="Arial" w:hAnsi="Arial"/>
                <w:sz w:val="18"/>
                <w:szCs w:val="18"/>
                <w:color w:val="auto"/>
              </w:rPr>
              <w:t>from time to time);</w:t>
            </w:r>
          </w:p>
        </w:tc>
      </w:tr>
      <w:tr>
        <w:trPr>
          <w:trHeight w:val="459"/>
        </w:trPr>
        <w:tc>
          <w:tcPr>
            <w:tcW w:w="3300" w:type="dxa"/>
            <w:vAlign w:val="bottom"/>
          </w:tcPr>
          <w:p>
            <w:pPr>
              <w:ind w:left="1360"/>
              <w:spacing w:after="0"/>
              <w:rPr>
                <w:sz w:val="20"/>
                <w:szCs w:val="20"/>
                <w:color w:val="auto"/>
              </w:rPr>
            </w:pPr>
            <w:r>
              <w:rPr>
                <w:rFonts w:ascii="Arial" w:cs="Arial" w:eastAsia="Arial" w:hAnsi="Arial"/>
                <w:sz w:val="18"/>
                <w:szCs w:val="18"/>
                <w:color w:val="auto"/>
              </w:rPr>
              <w:t>"these Articles"</w:t>
            </w:r>
          </w:p>
        </w:tc>
        <w:tc>
          <w:tcPr>
            <w:tcW w:w="8120" w:type="dxa"/>
            <w:vAlign w:val="bottom"/>
          </w:tcPr>
          <w:p>
            <w:pPr>
              <w:ind w:left="820"/>
              <w:spacing w:after="0"/>
              <w:rPr>
                <w:sz w:val="20"/>
                <w:szCs w:val="20"/>
                <w:color w:val="auto"/>
              </w:rPr>
            </w:pPr>
            <w:r>
              <w:rPr>
                <w:rFonts w:ascii="Arial" w:cs="Arial" w:eastAsia="Arial" w:hAnsi="Arial"/>
                <w:sz w:val="18"/>
                <w:szCs w:val="18"/>
                <w:color w:val="auto"/>
              </w:rPr>
              <w:t>these articles of association as from time to time and for the time being in force;</w:t>
            </w:r>
          </w:p>
        </w:tc>
      </w:tr>
      <w:tr>
        <w:trPr>
          <w:trHeight w:val="445"/>
        </w:trPr>
        <w:tc>
          <w:tcPr>
            <w:tcW w:w="3300" w:type="dxa"/>
            <w:vAlign w:val="bottom"/>
          </w:tcPr>
          <w:p>
            <w:pPr>
              <w:ind w:left="1360"/>
              <w:spacing w:after="0"/>
              <w:rPr>
                <w:sz w:val="20"/>
                <w:szCs w:val="20"/>
                <w:color w:val="auto"/>
              </w:rPr>
            </w:pPr>
            <w:r>
              <w:rPr>
                <w:rFonts w:ascii="Arial" w:cs="Arial" w:eastAsia="Arial" w:hAnsi="Arial"/>
                <w:sz w:val="18"/>
                <w:szCs w:val="18"/>
                <w:color w:val="auto"/>
              </w:rPr>
              <w:t>"Associated</w:t>
            </w:r>
          </w:p>
        </w:tc>
        <w:tc>
          <w:tcPr>
            <w:tcW w:w="8120" w:type="dxa"/>
            <w:vAlign w:val="bottom"/>
          </w:tcPr>
          <w:p>
            <w:pPr>
              <w:spacing w:after="0"/>
              <w:rPr>
                <w:sz w:val="24"/>
                <w:szCs w:val="24"/>
                <w:color w:val="auto"/>
              </w:rPr>
            </w:pPr>
          </w:p>
        </w:tc>
      </w:tr>
      <w:tr>
        <w:trPr>
          <w:trHeight w:val="216"/>
        </w:trPr>
        <w:tc>
          <w:tcPr>
            <w:tcW w:w="3300" w:type="dxa"/>
            <w:vAlign w:val="bottom"/>
          </w:tcPr>
          <w:p>
            <w:pPr>
              <w:ind w:left="1360"/>
              <w:spacing w:after="0"/>
              <w:rPr>
                <w:sz w:val="20"/>
                <w:szCs w:val="20"/>
                <w:color w:val="auto"/>
              </w:rPr>
            </w:pPr>
            <w:r>
              <w:rPr>
                <w:rFonts w:ascii="Arial" w:cs="Arial" w:eastAsia="Arial" w:hAnsi="Arial"/>
                <w:sz w:val="18"/>
                <w:szCs w:val="18"/>
                <w:color w:val="auto"/>
              </w:rPr>
              <w:t>Company"</w:t>
            </w:r>
          </w:p>
        </w:tc>
        <w:tc>
          <w:tcPr>
            <w:tcW w:w="8120" w:type="dxa"/>
            <w:vAlign w:val="bottom"/>
          </w:tcPr>
          <w:p>
            <w:pPr>
              <w:ind w:left="820"/>
              <w:spacing w:after="0"/>
              <w:rPr>
                <w:sz w:val="20"/>
                <w:szCs w:val="20"/>
                <w:color w:val="auto"/>
              </w:rPr>
            </w:pPr>
            <w:r>
              <w:rPr>
                <w:rFonts w:ascii="Arial" w:cs="Arial" w:eastAsia="Arial" w:hAnsi="Arial"/>
                <w:sz w:val="18"/>
                <w:szCs w:val="18"/>
                <w:color w:val="auto"/>
                <w:w w:val="94"/>
              </w:rPr>
              <w:t>any company which for the time being is a subsidiary or a holding company of the Company, is a</w:t>
            </w:r>
          </w:p>
        </w:tc>
      </w:tr>
      <w:tr>
        <w:trPr>
          <w:trHeight w:val="216"/>
        </w:trPr>
        <w:tc>
          <w:tcPr>
            <w:tcW w:w="3300" w:type="dxa"/>
            <w:vAlign w:val="bottom"/>
          </w:tcPr>
          <w:p>
            <w:pPr>
              <w:spacing w:after="0"/>
              <w:rPr>
                <w:sz w:val="18"/>
                <w:szCs w:val="18"/>
                <w:color w:val="auto"/>
              </w:rPr>
            </w:pPr>
          </w:p>
        </w:tc>
        <w:tc>
          <w:tcPr>
            <w:tcW w:w="8120" w:type="dxa"/>
            <w:vAlign w:val="bottom"/>
          </w:tcPr>
          <w:p>
            <w:pPr>
              <w:ind w:left="820"/>
              <w:spacing w:after="0"/>
              <w:rPr>
                <w:sz w:val="20"/>
                <w:szCs w:val="20"/>
                <w:color w:val="auto"/>
              </w:rPr>
            </w:pPr>
            <w:r>
              <w:rPr>
                <w:rFonts w:ascii="Arial" w:cs="Arial" w:eastAsia="Arial" w:hAnsi="Arial"/>
                <w:sz w:val="18"/>
                <w:szCs w:val="18"/>
                <w:color w:val="auto"/>
                <w:w w:val="93"/>
              </w:rPr>
              <w:t>subsidiary of a holding company of the Company or is a company in which the Company or any of</w:t>
            </w:r>
          </w:p>
        </w:tc>
      </w:tr>
      <w:tr>
        <w:trPr>
          <w:trHeight w:val="216"/>
        </w:trPr>
        <w:tc>
          <w:tcPr>
            <w:tcW w:w="3300" w:type="dxa"/>
            <w:vAlign w:val="bottom"/>
          </w:tcPr>
          <w:p>
            <w:pPr>
              <w:spacing w:after="0"/>
              <w:rPr>
                <w:sz w:val="18"/>
                <w:szCs w:val="18"/>
                <w:color w:val="auto"/>
              </w:rPr>
            </w:pPr>
          </w:p>
        </w:tc>
        <w:tc>
          <w:tcPr>
            <w:tcW w:w="8120" w:type="dxa"/>
            <w:vAlign w:val="bottom"/>
          </w:tcPr>
          <w:p>
            <w:pPr>
              <w:ind w:left="820"/>
              <w:spacing w:after="0"/>
              <w:rPr>
                <w:sz w:val="20"/>
                <w:szCs w:val="20"/>
                <w:color w:val="auto"/>
              </w:rPr>
            </w:pPr>
            <w:r>
              <w:rPr>
                <w:rFonts w:ascii="Arial" w:cs="Arial" w:eastAsia="Arial" w:hAnsi="Arial"/>
                <w:sz w:val="18"/>
                <w:szCs w:val="18"/>
                <w:color w:val="auto"/>
                <w:w w:val="97"/>
              </w:rPr>
              <w:t>such companies as aforesaid shall for the time being hold shares entitling the holder thereof to</w:t>
            </w:r>
          </w:p>
        </w:tc>
      </w:tr>
      <w:tr>
        <w:trPr>
          <w:trHeight w:val="216"/>
        </w:trPr>
        <w:tc>
          <w:tcPr>
            <w:tcW w:w="3300" w:type="dxa"/>
            <w:vAlign w:val="bottom"/>
          </w:tcPr>
          <w:p>
            <w:pPr>
              <w:spacing w:after="0"/>
              <w:rPr>
                <w:sz w:val="18"/>
                <w:szCs w:val="18"/>
                <w:color w:val="auto"/>
              </w:rPr>
            </w:pPr>
          </w:p>
        </w:tc>
        <w:tc>
          <w:tcPr>
            <w:tcW w:w="8120" w:type="dxa"/>
            <w:vAlign w:val="bottom"/>
          </w:tcPr>
          <w:p>
            <w:pPr>
              <w:ind w:left="820"/>
              <w:spacing w:after="0"/>
              <w:rPr>
                <w:sz w:val="20"/>
                <w:szCs w:val="20"/>
                <w:color w:val="auto"/>
              </w:rPr>
            </w:pPr>
            <w:r>
              <w:rPr>
                <w:rFonts w:ascii="Arial" w:cs="Arial" w:eastAsia="Arial" w:hAnsi="Arial"/>
                <w:sz w:val="18"/>
                <w:szCs w:val="18"/>
                <w:color w:val="auto"/>
                <w:w w:val="95"/>
              </w:rPr>
              <w:t>exercise at least one-fifth of the votes at any general meeting of such company (not being voting</w:t>
            </w:r>
          </w:p>
        </w:tc>
      </w:tr>
      <w:tr>
        <w:trPr>
          <w:trHeight w:val="230"/>
        </w:trPr>
        <w:tc>
          <w:tcPr>
            <w:tcW w:w="3300" w:type="dxa"/>
            <w:vAlign w:val="bottom"/>
          </w:tcPr>
          <w:p>
            <w:pPr>
              <w:spacing w:after="0"/>
              <w:rPr>
                <w:sz w:val="20"/>
                <w:szCs w:val="20"/>
                <w:color w:val="auto"/>
              </w:rPr>
            </w:pPr>
          </w:p>
        </w:tc>
        <w:tc>
          <w:tcPr>
            <w:tcW w:w="8120" w:type="dxa"/>
            <w:vAlign w:val="bottom"/>
          </w:tcPr>
          <w:p>
            <w:pPr>
              <w:ind w:left="820"/>
              <w:spacing w:after="0"/>
              <w:rPr>
                <w:sz w:val="20"/>
                <w:szCs w:val="20"/>
                <w:color w:val="auto"/>
              </w:rPr>
            </w:pPr>
            <w:r>
              <w:rPr>
                <w:rFonts w:ascii="Arial" w:cs="Arial" w:eastAsia="Arial" w:hAnsi="Arial"/>
                <w:sz w:val="18"/>
                <w:szCs w:val="18"/>
                <w:color w:val="auto"/>
              </w:rPr>
              <w:t>rights which arise only in specified circumstances);</w:t>
            </w:r>
          </w:p>
        </w:tc>
      </w:tr>
      <w:tr>
        <w:trPr>
          <w:trHeight w:val="459"/>
        </w:trPr>
        <w:tc>
          <w:tcPr>
            <w:tcW w:w="3300" w:type="dxa"/>
            <w:vAlign w:val="bottom"/>
          </w:tcPr>
          <w:p>
            <w:pPr>
              <w:ind w:left="1380"/>
              <w:spacing w:after="0"/>
              <w:rPr>
                <w:sz w:val="20"/>
                <w:szCs w:val="20"/>
                <w:color w:val="auto"/>
              </w:rPr>
            </w:pPr>
            <w:r>
              <w:rPr>
                <w:rFonts w:ascii="Arial" w:cs="Arial" w:eastAsia="Arial" w:hAnsi="Arial"/>
                <w:sz w:val="18"/>
                <w:szCs w:val="18"/>
                <w:color w:val="auto"/>
              </w:rPr>
              <w:t>"the Auditors"</w:t>
            </w:r>
          </w:p>
        </w:tc>
        <w:tc>
          <w:tcPr>
            <w:tcW w:w="8120" w:type="dxa"/>
            <w:vAlign w:val="bottom"/>
          </w:tcPr>
          <w:p>
            <w:pPr>
              <w:ind w:left="820"/>
              <w:spacing w:after="0"/>
              <w:rPr>
                <w:sz w:val="20"/>
                <w:szCs w:val="20"/>
                <w:color w:val="auto"/>
              </w:rPr>
            </w:pPr>
            <w:r>
              <w:rPr>
                <w:rFonts w:ascii="Arial" w:cs="Arial" w:eastAsia="Arial" w:hAnsi="Arial"/>
                <w:sz w:val="18"/>
                <w:szCs w:val="18"/>
                <w:color w:val="auto"/>
              </w:rPr>
              <w:t>the auditors for the time being of the Company;</w:t>
            </w:r>
          </w:p>
        </w:tc>
      </w:tr>
      <w:tr>
        <w:trPr>
          <w:trHeight w:val="659"/>
        </w:trPr>
        <w:tc>
          <w:tcPr>
            <w:tcW w:w="3300" w:type="dxa"/>
            <w:vAlign w:val="bottom"/>
            <w:tcBorders>
              <w:bottom w:val="single" w:sz="8" w:color="808080"/>
            </w:tcBorders>
          </w:tcPr>
          <w:p>
            <w:pPr>
              <w:spacing w:after="0"/>
              <w:rPr>
                <w:sz w:val="24"/>
                <w:szCs w:val="24"/>
                <w:color w:val="auto"/>
              </w:rPr>
            </w:pPr>
          </w:p>
        </w:tc>
        <w:tc>
          <w:tcPr>
            <w:tcW w:w="8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8" w:name="page119"/>
    <w:bookmarkEnd w:id="118"/>
    <w:p>
      <w:pPr>
        <w:ind w:left="180"/>
        <w:spacing w:after="0"/>
        <w:rPr>
          <w:sz w:val="20"/>
          <w:szCs w:val="20"/>
          <w:color w:val="auto"/>
        </w:rPr>
      </w:pPr>
      <w:r>
        <w:rPr>
          <w:rFonts w:ascii="Arial" w:cs="Arial" w:eastAsia="Arial" w:hAnsi="Arial"/>
          <w:sz w:val="18"/>
          <w:szCs w:val="18"/>
          <w:color w:val="auto"/>
        </w:rPr>
        <w:t>"the Board"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"Clear Days"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Directors"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"Depository"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"Depositary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Receipts"</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"Depositary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"Deposited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Communication"</w:t>
      </w: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"Euro" 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relation to the period of a notice, that period excluding the day when the notice is given or deemed to be given and the day for which it is given or on which it is to take effect or is deemed to take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whose name appears in the head of these Articles;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for the time being of the Company;</w:t>
      </w:r>
    </w:p>
    <w:p>
      <w:pPr>
        <w:spacing w:after="0" w:line="22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 custodian or other person approved by the Directors appointed under contractual arrangements with the Company (or a nominee for such custodian or other person) whereby such custodian or other person holds or is interested in Shares and which issues Depositary Receipts representing Depositary Shares evidencing interests in Deposited Shares;</w:t>
      </w:r>
    </w:p>
    <w:p>
      <w:pPr>
        <w:spacing w:after="0" w:line="3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receipts or similar documents of title issued by or on behalf of a Depositary representing Depositary Shares;</w:t>
      </w:r>
    </w:p>
    <w:p>
      <w:pPr>
        <w:spacing w:after="0" w:line="3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means shares issued by a Depositary represented by Depositary Receipts and evidencing interests in Deposited Shares;</w:t>
      </w:r>
    </w:p>
    <w:p>
      <w:pPr>
        <w:spacing w:after="0" w:line="3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means the Shares held by a Depositary or in which such Depositary is interested in its capacity as Depositary;</w:t>
      </w:r>
    </w:p>
    <w:p>
      <w:pPr>
        <w:spacing w:after="0" w:line="387"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color w:val="auto"/>
        </w:rPr>
        <w:t>has the same meaning as under the Electronic Commerce Act, 2000 (as amended or supplemented from time to time) and “electronic” and “electronically” shall be construed accordingly.;</w:t>
      </w:r>
    </w:p>
    <w:p>
      <w:pPr>
        <w:spacing w:after="0" w:line="3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has the same meaning as under the Electronic Commerce Act, 2000 (as amended or supplemented from time to time);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shall refer to the single currency of participating member states of the European Union, the lawful currency of the State, and references to Irish Pounds, £, or IR£ shall refer to the national currency unit (which is a subdivision of the Euro) of the State, as defined on 31 December 1998, being the day before the commencement of the third stage of Economic and Monetary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from time to time and for the time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424180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200" w:space="720"/>
            <w:col w:w="7300"/>
          </w:cols>
          <w:pgMar w:left="1440" w:top="517"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3460" w:type="dxa"/>
            <w:vAlign w:val="bottom"/>
          </w:tcPr>
          <w:p>
            <w:pPr>
              <w:ind w:left="1380"/>
              <w:spacing w:after="0"/>
              <w:rPr>
                <w:sz w:val="20"/>
                <w:szCs w:val="20"/>
                <w:color w:val="auto"/>
              </w:rPr>
            </w:pPr>
            <w:r>
              <w:rPr>
                <w:rFonts w:ascii="Arial" w:cs="Arial" w:eastAsia="Arial" w:hAnsi="Arial"/>
                <w:sz w:val="18"/>
                <w:szCs w:val="18"/>
                <w:color w:val="auto"/>
              </w:rPr>
              <w:t>"the Holder"</w:t>
            </w:r>
          </w:p>
        </w:tc>
        <w:tc>
          <w:tcPr>
            <w:tcW w:w="7960" w:type="dxa"/>
            <w:vAlign w:val="bottom"/>
          </w:tcPr>
          <w:p>
            <w:pPr>
              <w:ind w:left="660"/>
              <w:spacing w:after="0"/>
              <w:rPr>
                <w:sz w:val="20"/>
                <w:szCs w:val="20"/>
                <w:color w:val="auto"/>
              </w:rPr>
            </w:pPr>
            <w:r>
              <w:rPr>
                <w:rFonts w:ascii="Arial" w:cs="Arial" w:eastAsia="Arial" w:hAnsi="Arial"/>
                <w:sz w:val="18"/>
                <w:szCs w:val="18"/>
                <w:color w:val="auto"/>
                <w:w w:val="95"/>
              </w:rPr>
              <w:t>in relation to any Share, the Member whose name is entered in the Register as the holder of the</w:t>
            </w:r>
          </w:p>
        </w:tc>
      </w:tr>
      <w:tr>
        <w:trPr>
          <w:trHeight w:val="230"/>
        </w:trPr>
        <w:tc>
          <w:tcPr>
            <w:tcW w:w="3460" w:type="dxa"/>
            <w:vAlign w:val="bottom"/>
          </w:tcPr>
          <w:p>
            <w:pPr>
              <w:spacing w:after="0"/>
              <w:rPr>
                <w:sz w:val="20"/>
                <w:szCs w:val="20"/>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rPr>
              <w:t>Share;</w:t>
            </w:r>
          </w:p>
        </w:tc>
      </w:tr>
      <w:tr>
        <w:trPr>
          <w:trHeight w:val="432"/>
        </w:trPr>
        <w:tc>
          <w:tcPr>
            <w:tcW w:w="3460" w:type="dxa"/>
            <w:vAlign w:val="bottom"/>
          </w:tcPr>
          <w:p>
            <w:pPr>
              <w:ind w:left="1380"/>
              <w:spacing w:after="0"/>
              <w:rPr>
                <w:sz w:val="20"/>
                <w:szCs w:val="20"/>
                <w:color w:val="auto"/>
              </w:rPr>
            </w:pPr>
            <w:r>
              <w:rPr>
                <w:rFonts w:ascii="Arial" w:cs="Arial" w:eastAsia="Arial" w:hAnsi="Arial"/>
                <w:sz w:val="18"/>
                <w:szCs w:val="18"/>
                <w:color w:val="auto"/>
              </w:rPr>
              <w:t>"holding company"</w:t>
            </w:r>
          </w:p>
        </w:tc>
        <w:tc>
          <w:tcPr>
            <w:tcW w:w="7960" w:type="dxa"/>
            <w:vAlign w:val="bottom"/>
          </w:tcPr>
          <w:p>
            <w:pPr>
              <w:ind w:left="660"/>
              <w:spacing w:after="0"/>
              <w:rPr>
                <w:sz w:val="20"/>
                <w:szCs w:val="20"/>
                <w:color w:val="auto"/>
              </w:rPr>
            </w:pPr>
            <w:r>
              <w:rPr>
                <w:rFonts w:ascii="Arial" w:cs="Arial" w:eastAsia="Arial" w:hAnsi="Arial"/>
                <w:sz w:val="18"/>
                <w:szCs w:val="18"/>
                <w:color w:val="auto"/>
              </w:rPr>
              <w:t>in relation to a company, a company of which such company is a subsidiary;</w:t>
            </w:r>
          </w:p>
        </w:tc>
      </w:tr>
      <w:tr>
        <w:trPr>
          <w:trHeight w:val="418"/>
        </w:trPr>
        <w:tc>
          <w:tcPr>
            <w:tcW w:w="3460" w:type="dxa"/>
            <w:vAlign w:val="bottom"/>
          </w:tcPr>
          <w:p>
            <w:pPr>
              <w:ind w:left="1380"/>
              <w:spacing w:after="0"/>
              <w:rPr>
                <w:sz w:val="20"/>
                <w:szCs w:val="20"/>
                <w:color w:val="auto"/>
              </w:rPr>
            </w:pPr>
            <w:r>
              <w:rPr>
                <w:rFonts w:ascii="Arial" w:cs="Arial" w:eastAsia="Arial" w:hAnsi="Arial"/>
                <w:sz w:val="18"/>
                <w:szCs w:val="18"/>
                <w:color w:val="auto"/>
              </w:rPr>
              <w:t>"Interest"</w:t>
            </w:r>
          </w:p>
        </w:tc>
        <w:tc>
          <w:tcPr>
            <w:tcW w:w="7960" w:type="dxa"/>
            <w:vAlign w:val="bottom"/>
          </w:tcPr>
          <w:p>
            <w:pPr>
              <w:ind w:left="660"/>
              <w:spacing w:after="0"/>
              <w:rPr>
                <w:sz w:val="20"/>
                <w:szCs w:val="20"/>
                <w:color w:val="auto"/>
              </w:rPr>
            </w:pPr>
            <w:r>
              <w:rPr>
                <w:rFonts w:ascii="Arial" w:cs="Arial" w:eastAsia="Arial" w:hAnsi="Arial"/>
                <w:sz w:val="18"/>
                <w:szCs w:val="18"/>
                <w:color w:val="auto"/>
                <w:w w:val="90"/>
              </w:rPr>
              <w:t>means any interest whatsoever in Shares (of any size) which would be taken into account in deciding</w:t>
            </w:r>
          </w:p>
        </w:tc>
      </w:tr>
      <w:tr>
        <w:trPr>
          <w:trHeight w:val="216"/>
        </w:trPr>
        <w:tc>
          <w:tcPr>
            <w:tcW w:w="3460" w:type="dxa"/>
            <w:vAlign w:val="bottom"/>
          </w:tcPr>
          <w:p>
            <w:pPr>
              <w:spacing w:after="0"/>
              <w:rPr>
                <w:sz w:val="18"/>
                <w:szCs w:val="18"/>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w w:val="95"/>
              </w:rPr>
              <w:t>whether a notification to the Company would be required under Chapter 2 of Part IV of the 1990</w:t>
            </w:r>
          </w:p>
        </w:tc>
      </w:tr>
      <w:tr>
        <w:trPr>
          <w:trHeight w:val="230"/>
        </w:trPr>
        <w:tc>
          <w:tcPr>
            <w:tcW w:w="3460" w:type="dxa"/>
            <w:vAlign w:val="bottom"/>
          </w:tcPr>
          <w:p>
            <w:pPr>
              <w:spacing w:after="0"/>
              <w:rPr>
                <w:sz w:val="20"/>
                <w:szCs w:val="20"/>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rPr>
              <w:t>Act;</w:t>
            </w:r>
          </w:p>
        </w:tc>
      </w:tr>
      <w:tr>
        <w:trPr>
          <w:trHeight w:val="418"/>
        </w:trPr>
        <w:tc>
          <w:tcPr>
            <w:tcW w:w="3460" w:type="dxa"/>
            <w:vAlign w:val="bottom"/>
          </w:tcPr>
          <w:p>
            <w:pPr>
              <w:ind w:left="1380"/>
              <w:spacing w:after="0"/>
              <w:rPr>
                <w:sz w:val="20"/>
                <w:szCs w:val="20"/>
                <w:color w:val="auto"/>
              </w:rPr>
            </w:pPr>
            <w:r>
              <w:rPr>
                <w:rFonts w:ascii="Arial" w:cs="Arial" w:eastAsia="Arial" w:hAnsi="Arial"/>
                <w:sz w:val="18"/>
                <w:szCs w:val="18"/>
                <w:color w:val="auto"/>
              </w:rPr>
              <w:t>"in writing"</w:t>
            </w:r>
          </w:p>
        </w:tc>
        <w:tc>
          <w:tcPr>
            <w:tcW w:w="7960" w:type="dxa"/>
            <w:vAlign w:val="bottom"/>
          </w:tcPr>
          <w:p>
            <w:pPr>
              <w:ind w:left="660"/>
              <w:spacing w:after="0"/>
              <w:rPr>
                <w:sz w:val="20"/>
                <w:szCs w:val="20"/>
                <w:color w:val="auto"/>
              </w:rPr>
            </w:pPr>
            <w:r>
              <w:rPr>
                <w:rFonts w:ascii="Arial" w:cs="Arial" w:eastAsia="Arial" w:hAnsi="Arial"/>
                <w:sz w:val="18"/>
                <w:szCs w:val="18"/>
                <w:color w:val="auto"/>
                <w:w w:val="91"/>
              </w:rPr>
              <w:t>written, printed, photographed or lithographed or visibly expressed in all or any of those or any other</w:t>
            </w:r>
          </w:p>
        </w:tc>
      </w:tr>
      <w:tr>
        <w:trPr>
          <w:trHeight w:val="216"/>
        </w:trPr>
        <w:tc>
          <w:tcPr>
            <w:tcW w:w="3460" w:type="dxa"/>
            <w:vAlign w:val="bottom"/>
          </w:tcPr>
          <w:p>
            <w:pPr>
              <w:spacing w:after="0"/>
              <w:rPr>
                <w:sz w:val="18"/>
                <w:szCs w:val="18"/>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w w:val="94"/>
              </w:rPr>
              <w:t>modes of representing or reproducing words provided that it shall not include writing in electronic</w:t>
            </w:r>
          </w:p>
        </w:tc>
      </w:tr>
      <w:tr>
        <w:trPr>
          <w:trHeight w:val="216"/>
        </w:trPr>
        <w:tc>
          <w:tcPr>
            <w:tcW w:w="3460" w:type="dxa"/>
            <w:vAlign w:val="bottom"/>
          </w:tcPr>
          <w:p>
            <w:pPr>
              <w:spacing w:after="0"/>
              <w:rPr>
                <w:sz w:val="18"/>
                <w:szCs w:val="18"/>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w w:val="93"/>
              </w:rPr>
              <w:t>form except as provided in these Articles and/or where it constitutes writing in electronic form sent</w:t>
            </w:r>
          </w:p>
        </w:tc>
      </w:tr>
      <w:tr>
        <w:trPr>
          <w:trHeight w:val="216"/>
        </w:trPr>
        <w:tc>
          <w:tcPr>
            <w:tcW w:w="3460" w:type="dxa"/>
            <w:vAlign w:val="bottom"/>
          </w:tcPr>
          <w:p>
            <w:pPr>
              <w:spacing w:after="0"/>
              <w:rPr>
                <w:sz w:val="18"/>
                <w:szCs w:val="18"/>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w w:val="91"/>
              </w:rPr>
              <w:t>to either the Company or a member of the Company, the Company or member of the Company has</w:t>
            </w:r>
          </w:p>
        </w:tc>
      </w:tr>
      <w:tr>
        <w:trPr>
          <w:trHeight w:val="230"/>
        </w:trPr>
        <w:tc>
          <w:tcPr>
            <w:tcW w:w="3460" w:type="dxa"/>
            <w:vAlign w:val="bottom"/>
          </w:tcPr>
          <w:p>
            <w:pPr>
              <w:spacing w:after="0"/>
              <w:rPr>
                <w:sz w:val="20"/>
                <w:szCs w:val="20"/>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rPr>
              <w:t>agreed to receipt in such form;</w:t>
            </w:r>
          </w:p>
        </w:tc>
      </w:tr>
      <w:tr>
        <w:trPr>
          <w:trHeight w:val="418"/>
        </w:trPr>
        <w:tc>
          <w:tcPr>
            <w:tcW w:w="3460" w:type="dxa"/>
            <w:vAlign w:val="bottom"/>
          </w:tcPr>
          <w:p>
            <w:pPr>
              <w:ind w:left="1380"/>
              <w:spacing w:after="0"/>
              <w:rPr>
                <w:sz w:val="20"/>
                <w:szCs w:val="20"/>
                <w:color w:val="auto"/>
              </w:rPr>
            </w:pPr>
            <w:r>
              <w:rPr>
                <w:rFonts w:ascii="Arial" w:cs="Arial" w:eastAsia="Arial" w:hAnsi="Arial"/>
                <w:sz w:val="18"/>
                <w:szCs w:val="18"/>
                <w:color w:val="auto"/>
              </w:rPr>
              <w:t>"The Irish Stock</w:t>
            </w:r>
          </w:p>
        </w:tc>
        <w:tc>
          <w:tcPr>
            <w:tcW w:w="7960" w:type="dxa"/>
            <w:vAlign w:val="bottom"/>
          </w:tcPr>
          <w:p>
            <w:pPr>
              <w:spacing w:after="0"/>
              <w:rPr>
                <w:sz w:val="24"/>
                <w:szCs w:val="24"/>
                <w:color w:val="auto"/>
              </w:rPr>
            </w:pPr>
          </w:p>
        </w:tc>
      </w:tr>
      <w:tr>
        <w:trPr>
          <w:trHeight w:val="230"/>
        </w:trPr>
        <w:tc>
          <w:tcPr>
            <w:tcW w:w="3460" w:type="dxa"/>
            <w:vAlign w:val="bottom"/>
          </w:tcPr>
          <w:p>
            <w:pPr>
              <w:ind w:left="1380"/>
              <w:spacing w:after="0"/>
              <w:rPr>
                <w:sz w:val="20"/>
                <w:szCs w:val="20"/>
                <w:color w:val="auto"/>
              </w:rPr>
            </w:pPr>
            <w:r>
              <w:rPr>
                <w:rFonts w:ascii="Arial" w:cs="Arial" w:eastAsia="Arial" w:hAnsi="Arial"/>
                <w:sz w:val="18"/>
                <w:szCs w:val="18"/>
                <w:color w:val="auto"/>
              </w:rPr>
              <w:t>Exchange"</w:t>
            </w:r>
          </w:p>
        </w:tc>
        <w:tc>
          <w:tcPr>
            <w:tcW w:w="7960" w:type="dxa"/>
            <w:vAlign w:val="bottom"/>
          </w:tcPr>
          <w:p>
            <w:pPr>
              <w:ind w:left="660"/>
              <w:spacing w:after="0"/>
              <w:rPr>
                <w:sz w:val="20"/>
                <w:szCs w:val="20"/>
                <w:color w:val="auto"/>
              </w:rPr>
            </w:pPr>
            <w:r>
              <w:rPr>
                <w:rFonts w:ascii="Arial" w:cs="Arial" w:eastAsia="Arial" w:hAnsi="Arial"/>
                <w:sz w:val="18"/>
                <w:szCs w:val="18"/>
                <w:color w:val="auto"/>
              </w:rPr>
              <w:t>The Irish Stock Exchange Limited or any successor thereto;</w:t>
            </w:r>
          </w:p>
        </w:tc>
      </w:tr>
      <w:tr>
        <w:trPr>
          <w:trHeight w:val="432"/>
        </w:trPr>
        <w:tc>
          <w:tcPr>
            <w:tcW w:w="3460" w:type="dxa"/>
            <w:vAlign w:val="bottom"/>
          </w:tcPr>
          <w:p>
            <w:pPr>
              <w:ind w:left="1380"/>
              <w:spacing w:after="0"/>
              <w:rPr>
                <w:sz w:val="20"/>
                <w:szCs w:val="20"/>
                <w:color w:val="auto"/>
              </w:rPr>
            </w:pPr>
            <w:r>
              <w:rPr>
                <w:rFonts w:ascii="Arial" w:cs="Arial" w:eastAsia="Arial" w:hAnsi="Arial"/>
                <w:sz w:val="18"/>
                <w:szCs w:val="18"/>
                <w:color w:val="auto"/>
              </w:rPr>
              <w:t>"Member"</w:t>
            </w:r>
          </w:p>
        </w:tc>
        <w:tc>
          <w:tcPr>
            <w:tcW w:w="7960" w:type="dxa"/>
            <w:vAlign w:val="bottom"/>
          </w:tcPr>
          <w:p>
            <w:pPr>
              <w:ind w:left="660"/>
              <w:spacing w:after="0"/>
              <w:rPr>
                <w:sz w:val="20"/>
                <w:szCs w:val="20"/>
                <w:color w:val="auto"/>
              </w:rPr>
            </w:pPr>
            <w:r>
              <w:rPr>
                <w:rFonts w:ascii="Arial" w:cs="Arial" w:eastAsia="Arial" w:hAnsi="Arial"/>
                <w:sz w:val="18"/>
                <w:szCs w:val="18"/>
                <w:color w:val="auto"/>
              </w:rPr>
              <w:t>a member of the Company as defined in Section 31 of the 1963 Act;</w:t>
            </w:r>
          </w:p>
        </w:tc>
      </w:tr>
      <w:tr>
        <w:trPr>
          <w:trHeight w:val="432"/>
        </w:trPr>
        <w:tc>
          <w:tcPr>
            <w:tcW w:w="3460" w:type="dxa"/>
            <w:vAlign w:val="bottom"/>
          </w:tcPr>
          <w:p>
            <w:pPr>
              <w:ind w:left="1380"/>
              <w:spacing w:after="0"/>
              <w:rPr>
                <w:sz w:val="20"/>
                <w:szCs w:val="20"/>
                <w:color w:val="auto"/>
              </w:rPr>
            </w:pPr>
            <w:r>
              <w:rPr>
                <w:rFonts w:ascii="Arial" w:cs="Arial" w:eastAsia="Arial" w:hAnsi="Arial"/>
                <w:sz w:val="18"/>
                <w:szCs w:val="18"/>
                <w:color w:val="auto"/>
              </w:rPr>
              <w:t>"Nasdaq"</w:t>
            </w:r>
          </w:p>
        </w:tc>
        <w:tc>
          <w:tcPr>
            <w:tcW w:w="7960" w:type="dxa"/>
            <w:vAlign w:val="bottom"/>
          </w:tcPr>
          <w:p>
            <w:pPr>
              <w:ind w:left="660"/>
              <w:spacing w:after="0"/>
              <w:rPr>
                <w:sz w:val="20"/>
                <w:szCs w:val="20"/>
                <w:color w:val="auto"/>
              </w:rPr>
            </w:pPr>
            <w:r>
              <w:rPr>
                <w:rFonts w:ascii="Arial" w:cs="Arial" w:eastAsia="Arial" w:hAnsi="Arial"/>
                <w:sz w:val="18"/>
                <w:szCs w:val="18"/>
                <w:color w:val="auto"/>
                <w:w w:val="99"/>
              </w:rPr>
              <w:t>the National Association of Securities Dealers Automated Quotation national market system;</w:t>
            </w:r>
          </w:p>
        </w:tc>
      </w:tr>
      <w:tr>
        <w:trPr>
          <w:trHeight w:val="432"/>
        </w:trPr>
        <w:tc>
          <w:tcPr>
            <w:tcW w:w="3460" w:type="dxa"/>
            <w:vAlign w:val="bottom"/>
          </w:tcPr>
          <w:p>
            <w:pPr>
              <w:ind w:left="1380"/>
              <w:spacing w:after="0"/>
              <w:rPr>
                <w:sz w:val="20"/>
                <w:szCs w:val="20"/>
                <w:color w:val="auto"/>
              </w:rPr>
            </w:pPr>
            <w:r>
              <w:rPr>
                <w:rFonts w:ascii="Arial" w:cs="Arial" w:eastAsia="Arial" w:hAnsi="Arial"/>
                <w:sz w:val="18"/>
                <w:szCs w:val="18"/>
                <w:color w:val="auto"/>
              </w:rPr>
              <w:t>"the Office"</w:t>
            </w:r>
          </w:p>
        </w:tc>
        <w:tc>
          <w:tcPr>
            <w:tcW w:w="7960" w:type="dxa"/>
            <w:vAlign w:val="bottom"/>
          </w:tcPr>
          <w:p>
            <w:pPr>
              <w:ind w:left="660"/>
              <w:spacing w:after="0"/>
              <w:rPr>
                <w:sz w:val="20"/>
                <w:szCs w:val="20"/>
                <w:color w:val="auto"/>
              </w:rPr>
            </w:pPr>
            <w:r>
              <w:rPr>
                <w:rFonts w:ascii="Arial" w:cs="Arial" w:eastAsia="Arial" w:hAnsi="Arial"/>
                <w:sz w:val="18"/>
                <w:szCs w:val="18"/>
                <w:color w:val="auto"/>
              </w:rPr>
              <w:t>the registered office for the time being of the Company;</w:t>
            </w:r>
          </w:p>
        </w:tc>
      </w:tr>
      <w:tr>
        <w:trPr>
          <w:trHeight w:val="432"/>
        </w:trPr>
        <w:tc>
          <w:tcPr>
            <w:tcW w:w="3460" w:type="dxa"/>
            <w:vAlign w:val="bottom"/>
          </w:tcPr>
          <w:p>
            <w:pPr>
              <w:ind w:left="1380"/>
              <w:spacing w:after="0"/>
              <w:rPr>
                <w:sz w:val="20"/>
                <w:szCs w:val="20"/>
                <w:color w:val="auto"/>
              </w:rPr>
            </w:pPr>
            <w:r>
              <w:rPr>
                <w:rFonts w:ascii="Arial" w:cs="Arial" w:eastAsia="Arial" w:hAnsi="Arial"/>
                <w:sz w:val="18"/>
                <w:szCs w:val="18"/>
                <w:color w:val="auto"/>
              </w:rPr>
              <w:t>"Ordinary Shares"</w:t>
            </w:r>
          </w:p>
        </w:tc>
        <w:tc>
          <w:tcPr>
            <w:tcW w:w="7960" w:type="dxa"/>
            <w:vAlign w:val="bottom"/>
          </w:tcPr>
          <w:p>
            <w:pPr>
              <w:ind w:left="660"/>
              <w:spacing w:after="0"/>
              <w:rPr>
                <w:sz w:val="20"/>
                <w:szCs w:val="20"/>
                <w:color w:val="auto"/>
              </w:rPr>
            </w:pPr>
            <w:r>
              <w:rPr>
                <w:rFonts w:ascii="Arial" w:cs="Arial" w:eastAsia="Arial" w:hAnsi="Arial"/>
                <w:sz w:val="18"/>
                <w:szCs w:val="18"/>
                <w:color w:val="auto"/>
              </w:rPr>
              <w:t>ordinary shares of €0.06 each in the capital of the Company;</w:t>
            </w:r>
          </w:p>
        </w:tc>
      </w:tr>
      <w:tr>
        <w:trPr>
          <w:trHeight w:val="432"/>
        </w:trPr>
        <w:tc>
          <w:tcPr>
            <w:tcW w:w="3460" w:type="dxa"/>
            <w:vAlign w:val="bottom"/>
          </w:tcPr>
          <w:p>
            <w:pPr>
              <w:ind w:left="1380"/>
              <w:spacing w:after="0"/>
              <w:rPr>
                <w:sz w:val="20"/>
                <w:szCs w:val="20"/>
                <w:color w:val="auto"/>
              </w:rPr>
            </w:pPr>
            <w:r>
              <w:rPr>
                <w:rFonts w:ascii="Arial" w:cs="Arial" w:eastAsia="Arial" w:hAnsi="Arial"/>
                <w:sz w:val="18"/>
                <w:szCs w:val="18"/>
                <w:color w:val="auto"/>
              </w:rPr>
              <w:t>"the Register"</w:t>
            </w:r>
          </w:p>
        </w:tc>
        <w:tc>
          <w:tcPr>
            <w:tcW w:w="7960" w:type="dxa"/>
            <w:vAlign w:val="bottom"/>
          </w:tcPr>
          <w:p>
            <w:pPr>
              <w:ind w:left="660"/>
              <w:spacing w:after="0"/>
              <w:rPr>
                <w:sz w:val="20"/>
                <w:szCs w:val="20"/>
                <w:color w:val="auto"/>
              </w:rPr>
            </w:pPr>
            <w:r>
              <w:rPr>
                <w:rFonts w:ascii="Arial" w:cs="Arial" w:eastAsia="Arial" w:hAnsi="Arial"/>
                <w:sz w:val="18"/>
                <w:szCs w:val="18"/>
                <w:color w:val="auto"/>
              </w:rPr>
              <w:t>the register of Members to be kept by the Company as required by the Acts;</w:t>
            </w:r>
          </w:p>
        </w:tc>
      </w:tr>
      <w:tr>
        <w:trPr>
          <w:trHeight w:val="418"/>
        </w:trPr>
        <w:tc>
          <w:tcPr>
            <w:tcW w:w="3460" w:type="dxa"/>
            <w:vAlign w:val="bottom"/>
          </w:tcPr>
          <w:p>
            <w:pPr>
              <w:ind w:left="1380"/>
              <w:spacing w:after="0"/>
              <w:rPr>
                <w:sz w:val="20"/>
                <w:szCs w:val="20"/>
                <w:color w:val="auto"/>
              </w:rPr>
            </w:pPr>
            <w:r>
              <w:rPr>
                <w:rFonts w:ascii="Arial" w:cs="Arial" w:eastAsia="Arial" w:hAnsi="Arial"/>
                <w:sz w:val="18"/>
                <w:szCs w:val="18"/>
                <w:color w:val="auto"/>
              </w:rPr>
              <w:t>“the Record Date”</w:t>
            </w:r>
          </w:p>
        </w:tc>
        <w:tc>
          <w:tcPr>
            <w:tcW w:w="7960" w:type="dxa"/>
            <w:vAlign w:val="bottom"/>
          </w:tcPr>
          <w:p>
            <w:pPr>
              <w:ind w:left="720"/>
              <w:spacing w:after="0"/>
              <w:rPr>
                <w:sz w:val="20"/>
                <w:szCs w:val="20"/>
                <w:color w:val="auto"/>
              </w:rPr>
            </w:pPr>
            <w:r>
              <w:rPr>
                <w:rFonts w:ascii="Arial" w:cs="Arial" w:eastAsia="Arial" w:hAnsi="Arial"/>
                <w:sz w:val="18"/>
                <w:szCs w:val="18"/>
                <w:color w:val="auto"/>
                <w:w w:val="93"/>
              </w:rPr>
              <w:t>a date and time specified by the Company for eligibility for voting at a general meeting which may</w:t>
            </w:r>
          </w:p>
        </w:tc>
      </w:tr>
      <w:tr>
        <w:trPr>
          <w:trHeight w:val="216"/>
        </w:trPr>
        <w:tc>
          <w:tcPr>
            <w:tcW w:w="3460" w:type="dxa"/>
            <w:vAlign w:val="bottom"/>
          </w:tcPr>
          <w:p>
            <w:pPr>
              <w:spacing w:after="0"/>
              <w:rPr>
                <w:sz w:val="18"/>
                <w:szCs w:val="18"/>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w w:val="93"/>
              </w:rPr>
              <w:t>not be more than 48 hours before the general meeting to which it relates (provided that Saturdays,</w:t>
            </w:r>
          </w:p>
        </w:tc>
      </w:tr>
      <w:tr>
        <w:trPr>
          <w:trHeight w:val="230"/>
        </w:trPr>
        <w:tc>
          <w:tcPr>
            <w:tcW w:w="3460" w:type="dxa"/>
            <w:vAlign w:val="bottom"/>
          </w:tcPr>
          <w:p>
            <w:pPr>
              <w:spacing w:after="0"/>
              <w:rPr>
                <w:sz w:val="20"/>
                <w:szCs w:val="20"/>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w w:val="99"/>
              </w:rPr>
              <w:t>Sundays and public holidays shall not be counted in the calculation of such 48 hour period);</w:t>
            </w:r>
          </w:p>
        </w:tc>
      </w:tr>
      <w:tr>
        <w:trPr>
          <w:trHeight w:val="418"/>
        </w:trPr>
        <w:tc>
          <w:tcPr>
            <w:tcW w:w="3460" w:type="dxa"/>
            <w:vAlign w:val="bottom"/>
          </w:tcPr>
          <w:p>
            <w:pPr>
              <w:ind w:left="1380"/>
              <w:spacing w:after="0"/>
              <w:rPr>
                <w:sz w:val="20"/>
                <w:szCs w:val="20"/>
                <w:color w:val="auto"/>
              </w:rPr>
            </w:pPr>
            <w:r>
              <w:rPr>
                <w:rFonts w:ascii="Arial" w:cs="Arial" w:eastAsia="Arial" w:hAnsi="Arial"/>
                <w:sz w:val="18"/>
                <w:szCs w:val="18"/>
                <w:color w:val="auto"/>
              </w:rPr>
              <w:t>"the Seal"</w:t>
            </w:r>
          </w:p>
        </w:tc>
        <w:tc>
          <w:tcPr>
            <w:tcW w:w="7960" w:type="dxa"/>
            <w:vAlign w:val="bottom"/>
          </w:tcPr>
          <w:p>
            <w:pPr>
              <w:ind w:left="660"/>
              <w:spacing w:after="0"/>
              <w:rPr>
                <w:sz w:val="20"/>
                <w:szCs w:val="20"/>
                <w:color w:val="auto"/>
              </w:rPr>
            </w:pPr>
            <w:r>
              <w:rPr>
                <w:rFonts w:ascii="Arial" w:cs="Arial" w:eastAsia="Arial" w:hAnsi="Arial"/>
                <w:sz w:val="18"/>
                <w:szCs w:val="18"/>
                <w:color w:val="auto"/>
              </w:rPr>
              <w:t>the common seal of the Company or (where relevant) the official securities seal kept by the</w:t>
            </w:r>
          </w:p>
        </w:tc>
      </w:tr>
      <w:tr>
        <w:trPr>
          <w:trHeight w:val="230"/>
        </w:trPr>
        <w:tc>
          <w:tcPr>
            <w:tcW w:w="3460" w:type="dxa"/>
            <w:vAlign w:val="bottom"/>
          </w:tcPr>
          <w:p>
            <w:pPr>
              <w:spacing w:after="0"/>
              <w:rPr>
                <w:sz w:val="20"/>
                <w:szCs w:val="20"/>
                <w:color w:val="auto"/>
              </w:rPr>
            </w:pPr>
          </w:p>
        </w:tc>
        <w:tc>
          <w:tcPr>
            <w:tcW w:w="7960" w:type="dxa"/>
            <w:vAlign w:val="bottom"/>
          </w:tcPr>
          <w:p>
            <w:pPr>
              <w:ind w:left="660"/>
              <w:spacing w:after="0"/>
              <w:rPr>
                <w:sz w:val="20"/>
                <w:szCs w:val="20"/>
                <w:color w:val="auto"/>
              </w:rPr>
            </w:pPr>
            <w:r>
              <w:rPr>
                <w:rFonts w:ascii="Arial" w:cs="Arial" w:eastAsia="Arial" w:hAnsi="Arial"/>
                <w:sz w:val="18"/>
                <w:szCs w:val="18"/>
                <w:color w:val="auto"/>
              </w:rPr>
              <w:t>Company pursuant to the Acts;</w:t>
            </w:r>
          </w:p>
        </w:tc>
      </w:tr>
      <w:tr>
        <w:trPr>
          <w:trHeight w:val="432"/>
        </w:trPr>
        <w:tc>
          <w:tcPr>
            <w:tcW w:w="3460" w:type="dxa"/>
            <w:vAlign w:val="bottom"/>
          </w:tcPr>
          <w:p>
            <w:pPr>
              <w:ind w:left="1380"/>
              <w:spacing w:after="0"/>
              <w:rPr>
                <w:sz w:val="20"/>
                <w:szCs w:val="20"/>
                <w:color w:val="auto"/>
              </w:rPr>
            </w:pPr>
            <w:r>
              <w:rPr>
                <w:rFonts w:ascii="Arial" w:cs="Arial" w:eastAsia="Arial" w:hAnsi="Arial"/>
                <w:sz w:val="18"/>
                <w:szCs w:val="18"/>
                <w:color w:val="auto"/>
              </w:rPr>
              <w:t>"the Secretary"</w:t>
            </w:r>
          </w:p>
        </w:tc>
        <w:tc>
          <w:tcPr>
            <w:tcW w:w="7960" w:type="dxa"/>
            <w:vAlign w:val="bottom"/>
          </w:tcPr>
          <w:p>
            <w:pPr>
              <w:ind w:left="660"/>
              <w:spacing w:after="0"/>
              <w:rPr>
                <w:sz w:val="20"/>
                <w:szCs w:val="20"/>
                <w:color w:val="auto"/>
              </w:rPr>
            </w:pPr>
            <w:r>
              <w:rPr>
                <w:rFonts w:ascii="Arial" w:cs="Arial" w:eastAsia="Arial" w:hAnsi="Arial"/>
                <w:sz w:val="18"/>
                <w:szCs w:val="18"/>
                <w:color w:val="auto"/>
              </w:rPr>
              <w:t>any person appointed to perform the duties of the Secretary of the Company;</w:t>
            </w:r>
          </w:p>
        </w:tc>
      </w:tr>
      <w:tr>
        <w:trPr>
          <w:trHeight w:val="432"/>
        </w:trPr>
        <w:tc>
          <w:tcPr>
            <w:tcW w:w="3460" w:type="dxa"/>
            <w:vAlign w:val="bottom"/>
          </w:tcPr>
          <w:p>
            <w:pPr>
              <w:ind w:left="1380"/>
              <w:spacing w:after="0"/>
              <w:rPr>
                <w:sz w:val="20"/>
                <w:szCs w:val="20"/>
                <w:color w:val="auto"/>
              </w:rPr>
            </w:pPr>
            <w:r>
              <w:rPr>
                <w:rFonts w:ascii="Arial" w:cs="Arial" w:eastAsia="Arial" w:hAnsi="Arial"/>
                <w:sz w:val="18"/>
                <w:szCs w:val="18"/>
                <w:color w:val="auto"/>
              </w:rPr>
              <w:t>"Shares"</w:t>
            </w:r>
          </w:p>
        </w:tc>
        <w:tc>
          <w:tcPr>
            <w:tcW w:w="7960" w:type="dxa"/>
            <w:vAlign w:val="bottom"/>
          </w:tcPr>
          <w:p>
            <w:pPr>
              <w:ind w:left="660"/>
              <w:spacing w:after="0"/>
              <w:rPr>
                <w:sz w:val="20"/>
                <w:szCs w:val="20"/>
                <w:color w:val="auto"/>
              </w:rPr>
            </w:pPr>
            <w:r>
              <w:rPr>
                <w:rFonts w:ascii="Arial" w:cs="Arial" w:eastAsia="Arial" w:hAnsi="Arial"/>
                <w:sz w:val="18"/>
                <w:szCs w:val="18"/>
                <w:color w:val="auto"/>
              </w:rPr>
              <w:t>means any Shares (whether issued or unissued) in the capital of the Company</w:t>
            </w:r>
          </w:p>
        </w:tc>
      </w:tr>
      <w:tr>
        <w:trPr>
          <w:trHeight w:val="432"/>
        </w:trPr>
        <w:tc>
          <w:tcPr>
            <w:tcW w:w="3460" w:type="dxa"/>
            <w:vAlign w:val="bottom"/>
          </w:tcPr>
          <w:p>
            <w:pPr>
              <w:ind w:left="1380"/>
              <w:spacing w:after="0"/>
              <w:rPr>
                <w:sz w:val="20"/>
                <w:szCs w:val="20"/>
                <w:color w:val="auto"/>
              </w:rPr>
            </w:pPr>
            <w:r>
              <w:rPr>
                <w:rFonts w:ascii="Arial" w:cs="Arial" w:eastAsia="Arial" w:hAnsi="Arial"/>
                <w:sz w:val="18"/>
                <w:szCs w:val="18"/>
                <w:color w:val="auto"/>
              </w:rPr>
              <w:t>"the State"</w:t>
            </w:r>
          </w:p>
        </w:tc>
        <w:tc>
          <w:tcPr>
            <w:tcW w:w="7960" w:type="dxa"/>
            <w:vAlign w:val="bottom"/>
          </w:tcPr>
          <w:p>
            <w:pPr>
              <w:ind w:left="660"/>
              <w:spacing w:after="0"/>
              <w:rPr>
                <w:sz w:val="20"/>
                <w:szCs w:val="20"/>
                <w:color w:val="auto"/>
              </w:rPr>
            </w:pPr>
            <w:r>
              <w:rPr>
                <w:rFonts w:ascii="Arial" w:cs="Arial" w:eastAsia="Arial" w:hAnsi="Arial"/>
                <w:sz w:val="18"/>
                <w:szCs w:val="18"/>
                <w:color w:val="auto"/>
              </w:rPr>
              <w:t>the Republic of Ireland;</w:t>
            </w:r>
          </w:p>
        </w:tc>
      </w:tr>
      <w:tr>
        <w:trPr>
          <w:trHeight w:val="659"/>
        </w:trPr>
        <w:tc>
          <w:tcPr>
            <w:tcW w:w="3460" w:type="dxa"/>
            <w:vAlign w:val="bottom"/>
            <w:tcBorders>
              <w:bottom w:val="single" w:sz="8" w:color="808080"/>
            </w:tcBorders>
          </w:tcPr>
          <w:p>
            <w:pPr>
              <w:spacing w:after="0"/>
              <w:rPr>
                <w:sz w:val="24"/>
                <w:szCs w:val="24"/>
                <w:color w:val="auto"/>
              </w:rPr>
            </w:pPr>
          </w:p>
        </w:tc>
        <w:tc>
          <w:tcPr>
            <w:tcW w:w="7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0" w:name="page121"/>
    <w:bookmarkEnd w:id="120"/>
    <w:p>
      <w:pPr>
        <w:ind w:left="683"/>
        <w:spacing w:after="0"/>
        <w:rPr>
          <w:sz w:val="20"/>
          <w:szCs w:val="20"/>
          <w:color w:val="auto"/>
        </w:rPr>
      </w:pPr>
      <w:r>
        <w:rPr>
          <w:rFonts w:ascii="Arial" w:cs="Arial" w:eastAsia="Arial" w:hAnsi="Arial"/>
          <w:sz w:val="16"/>
          <w:szCs w:val="16"/>
          <w:color w:val="auto"/>
        </w:rPr>
        <w:t>"Stock Exchange</w:t>
      </w:r>
    </w:p>
    <w:p>
      <w:pPr>
        <w:spacing w:after="0" w:line="46" w:lineRule="exact"/>
        <w:rPr>
          <w:sz w:val="20"/>
          <w:szCs w:val="20"/>
          <w:color w:val="auto"/>
        </w:rPr>
      </w:pPr>
    </w:p>
    <w:p>
      <w:pPr>
        <w:ind w:left="683"/>
        <w:spacing w:after="0"/>
        <w:rPr>
          <w:sz w:val="20"/>
          <w:szCs w:val="20"/>
          <w:color w:val="auto"/>
        </w:rPr>
      </w:pPr>
      <w:r>
        <w:rPr>
          <w:rFonts w:ascii="Arial" w:cs="Arial" w:eastAsia="Arial" w:hAnsi="Arial"/>
          <w:sz w:val="18"/>
          <w:szCs w:val="18"/>
          <w:color w:val="auto"/>
        </w:rPr>
        <w:t>Nominee"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meaning given to that expression by Section 1 of the Companies (Amendment) Act, 1977;</w:t>
      </w:r>
    </w:p>
    <w:p>
      <w:pPr>
        <w:spacing w:after="0" w:line="237" w:lineRule="exact"/>
        <w:rPr>
          <w:sz w:val="20"/>
          <w:szCs w:val="20"/>
          <w:color w:val="auto"/>
        </w:rPr>
      </w:pPr>
    </w:p>
    <w:p>
      <w:pPr>
        <w:sectPr>
          <w:pgSz w:w="11900" w:h="16838" w:orient="portrait"/>
          <w:cols w:equalWidth="0" w:num="2">
            <w:col w:w="2703" w:space="720"/>
            <w:col w:w="7240"/>
          </w:cols>
          <w:pgMar w:left="937" w:top="517" w:right="299" w:bottom="1440" w:gutter="0" w:footer="0" w:header="0"/>
        </w:sectPr>
      </w:pPr>
    </w:p>
    <w:p>
      <w:pPr>
        <w:spacing w:after="0" w:line="11" w:lineRule="exact"/>
        <w:rPr>
          <w:sz w:val="20"/>
          <w:szCs w:val="20"/>
          <w:color w:val="auto"/>
        </w:rPr>
      </w:pPr>
    </w:p>
    <w:p>
      <w:pPr>
        <w:ind w:left="683"/>
        <w:spacing w:after="0"/>
        <w:rPr>
          <w:sz w:val="20"/>
          <w:szCs w:val="20"/>
          <w:color w:val="auto"/>
        </w:rPr>
      </w:pPr>
      <w:r>
        <w:rPr>
          <w:rFonts w:ascii="Arial" w:cs="Arial" w:eastAsia="Arial" w:hAnsi="Arial"/>
          <w:sz w:val="17"/>
          <w:szCs w:val="17"/>
          <w:color w:val="auto"/>
        </w:rPr>
        <w:t>"The Stock</w:t>
      </w:r>
    </w:p>
    <w:p>
      <w:pPr>
        <w:spacing w:after="0" w:line="35" w:lineRule="exact"/>
        <w:rPr>
          <w:sz w:val="20"/>
          <w:szCs w:val="20"/>
          <w:color w:val="auto"/>
        </w:rPr>
      </w:pPr>
    </w:p>
    <w:p>
      <w:pPr>
        <w:ind w:left="683"/>
        <w:spacing w:after="0"/>
        <w:rPr>
          <w:sz w:val="20"/>
          <w:szCs w:val="20"/>
          <w:color w:val="auto"/>
        </w:rPr>
      </w:pPr>
      <w:r>
        <w:rPr>
          <w:rFonts w:ascii="Arial" w:cs="Arial" w:eastAsia="Arial" w:hAnsi="Arial"/>
          <w:sz w:val="16"/>
          <w:szCs w:val="16"/>
          <w:color w:val="auto"/>
        </w:rPr>
        <w:t>Exchanges"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Nasdaq and any other exchange on which Shares are listed from time to time;</w:t>
      </w:r>
    </w:p>
    <w:p>
      <w:pPr>
        <w:spacing w:after="0" w:line="214" w:lineRule="exact"/>
        <w:rPr>
          <w:sz w:val="20"/>
          <w:szCs w:val="20"/>
          <w:color w:val="auto"/>
        </w:rPr>
      </w:pPr>
    </w:p>
    <w:p>
      <w:pPr>
        <w:sectPr>
          <w:pgSz w:w="11900" w:h="16838" w:orient="portrait"/>
          <w:cols w:equalWidth="0" w:num="2">
            <w:col w:w="2703" w:space="720"/>
            <w:col w:w="7240"/>
          </w:cols>
          <w:pgMar w:left="937" w:top="517" w:right="299" w:bottom="1440" w:gutter="0" w:footer="0" w:header="0"/>
          <w:type w:val="continuous"/>
        </w:sectPr>
      </w:pPr>
    </w:p>
    <w:p>
      <w:pPr>
        <w:spacing w:after="0" w:line="34" w:lineRule="exact"/>
        <w:rPr>
          <w:sz w:val="20"/>
          <w:szCs w:val="20"/>
          <w:color w:val="auto"/>
        </w:rPr>
      </w:pPr>
    </w:p>
    <w:p>
      <w:pPr>
        <w:ind w:left="683"/>
        <w:spacing w:after="0"/>
        <w:rPr>
          <w:sz w:val="20"/>
          <w:szCs w:val="20"/>
          <w:color w:val="auto"/>
        </w:rPr>
      </w:pPr>
      <w:r>
        <w:rPr>
          <w:rFonts w:ascii="Arial" w:cs="Arial" w:eastAsia="Arial" w:hAnsi="Arial"/>
          <w:sz w:val="17"/>
          <w:szCs w:val="17"/>
          <w:color w:val="auto"/>
        </w:rPr>
        <w:t>"subsidiary"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 subsidiary within the meaning of Section 155 of the 1963 Act;</w:t>
      </w:r>
    </w:p>
    <w:p>
      <w:pPr>
        <w:spacing w:after="0" w:line="211" w:lineRule="exact"/>
        <w:rPr>
          <w:sz w:val="20"/>
          <w:szCs w:val="20"/>
          <w:color w:val="auto"/>
        </w:rPr>
      </w:pPr>
    </w:p>
    <w:p>
      <w:pPr>
        <w:sectPr>
          <w:pgSz w:w="11900" w:h="16838" w:orient="portrait"/>
          <w:cols w:equalWidth="0" w:num="2">
            <w:col w:w="2703" w:space="720"/>
            <w:col w:w="7240"/>
          </w:cols>
          <w:pgMar w:left="937" w:top="517" w:right="299" w:bottom="1440" w:gutter="0" w:footer="0" w:header="0"/>
          <w:type w:val="continuous"/>
        </w:sectPr>
      </w:pPr>
    </w:p>
    <w:p>
      <w:pPr>
        <w:spacing w:after="0" w:line="37" w:lineRule="exact"/>
        <w:rPr>
          <w:sz w:val="20"/>
          <w:szCs w:val="20"/>
          <w:color w:val="auto"/>
        </w:rPr>
      </w:pPr>
    </w:p>
    <w:p>
      <w:pPr>
        <w:ind w:left="683"/>
        <w:spacing w:after="0"/>
        <w:rPr>
          <w:sz w:val="20"/>
          <w:szCs w:val="20"/>
          <w:color w:val="auto"/>
        </w:rPr>
      </w:pPr>
      <w:r>
        <w:rPr>
          <w:rFonts w:ascii="Arial" w:cs="Arial" w:eastAsia="Arial" w:hAnsi="Arial"/>
          <w:sz w:val="17"/>
          <w:szCs w:val="17"/>
          <w:color w:val="auto"/>
        </w:rPr>
        <w:t>"the United</w:t>
      </w:r>
    </w:p>
    <w:p>
      <w:pPr>
        <w:spacing w:after="0" w:line="35" w:lineRule="exact"/>
        <w:rPr>
          <w:sz w:val="20"/>
          <w:szCs w:val="20"/>
          <w:color w:val="auto"/>
        </w:rPr>
      </w:pPr>
    </w:p>
    <w:p>
      <w:pPr>
        <w:ind w:left="683"/>
        <w:spacing w:after="0"/>
        <w:rPr>
          <w:sz w:val="20"/>
          <w:szCs w:val="20"/>
          <w:color w:val="auto"/>
        </w:rPr>
      </w:pPr>
      <w:r>
        <w:rPr>
          <w:rFonts w:ascii="Arial" w:cs="Arial" w:eastAsia="Arial" w:hAnsi="Arial"/>
          <w:sz w:val="18"/>
          <w:szCs w:val="18"/>
          <w:color w:val="auto"/>
        </w:rPr>
        <w:t>Kingdom"</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United Kingdom of Great Britain and Northern Ireland;</w:t>
      </w:r>
    </w:p>
    <w:p>
      <w:pPr>
        <w:spacing w:after="0" w:line="237" w:lineRule="exact"/>
        <w:rPr>
          <w:sz w:val="20"/>
          <w:szCs w:val="20"/>
          <w:color w:val="auto"/>
        </w:rPr>
      </w:pPr>
    </w:p>
    <w:p>
      <w:pPr>
        <w:sectPr>
          <w:pgSz w:w="11900" w:h="16838" w:orient="portrait"/>
          <w:cols w:equalWidth="0" w:num="2">
            <w:col w:w="2703" w:space="720"/>
            <w:col w:w="7240"/>
          </w:cols>
          <w:pgMar w:left="937" w:top="517" w:right="299" w:bottom="1440" w:gutter="0" w:footer="0" w:header="0"/>
          <w:type w:val="continuous"/>
        </w:sectPr>
      </w:pPr>
    </w:p>
    <w:p>
      <w:pPr>
        <w:spacing w:after="0" w:line="11" w:lineRule="exact"/>
        <w:rPr>
          <w:sz w:val="20"/>
          <w:szCs w:val="20"/>
          <w:color w:val="auto"/>
        </w:rPr>
      </w:pPr>
    </w:p>
    <w:p>
      <w:pPr>
        <w:ind w:left="683"/>
        <w:spacing w:after="0"/>
        <w:rPr>
          <w:sz w:val="20"/>
          <w:szCs w:val="20"/>
          <w:color w:val="auto"/>
        </w:rPr>
      </w:pPr>
      <w:r>
        <w:rPr>
          <w:rFonts w:ascii="Arial" w:cs="Arial" w:eastAsia="Arial" w:hAnsi="Arial"/>
          <w:sz w:val="16"/>
          <w:szCs w:val="16"/>
          <w:color w:val="auto"/>
        </w:rPr>
        <w:t>"warrants to</w:t>
      </w:r>
    </w:p>
    <w:p>
      <w:pPr>
        <w:spacing w:after="0" w:line="46" w:lineRule="exact"/>
        <w:rPr>
          <w:sz w:val="20"/>
          <w:szCs w:val="20"/>
          <w:color w:val="auto"/>
        </w:rPr>
      </w:pPr>
    </w:p>
    <w:p>
      <w:pPr>
        <w:ind w:left="683"/>
        <w:spacing w:after="0"/>
        <w:rPr>
          <w:sz w:val="20"/>
          <w:szCs w:val="20"/>
          <w:color w:val="auto"/>
        </w:rPr>
      </w:pPr>
      <w:r>
        <w:rPr>
          <w:rFonts w:ascii="Arial" w:cs="Arial" w:eastAsia="Arial" w:hAnsi="Arial"/>
          <w:sz w:val="18"/>
          <w:szCs w:val="18"/>
          <w:color w:val="auto"/>
        </w:rPr>
        <w:t>subscribe"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means a warrant or certificate or similar document indicating the right of the registered holder thereof (other than under a share option scheme for employees) to subscribe for Shares in the Company.</w:t>
      </w:r>
    </w:p>
    <w:p>
      <w:pPr>
        <w:spacing w:after="0" w:line="200" w:lineRule="exact"/>
        <w:rPr>
          <w:sz w:val="20"/>
          <w:szCs w:val="20"/>
          <w:color w:val="auto"/>
        </w:rPr>
      </w:pPr>
    </w:p>
    <w:p>
      <w:pPr>
        <w:sectPr>
          <w:pgSz w:w="11900" w:h="16838" w:orient="portrait"/>
          <w:cols w:equalWidth="0" w:num="2">
            <w:col w:w="2703" w:space="720"/>
            <w:col w:w="7240"/>
          </w:cols>
          <w:pgMar w:left="937" w:top="517" w:right="299" w:bottom="1440" w:gutter="0" w:footer="0" w:header="0"/>
          <w:type w:val="continuous"/>
        </w:sectPr>
      </w:pPr>
    </w:p>
    <w:p>
      <w:pPr>
        <w:spacing w:after="0" w:line="251" w:lineRule="exact"/>
        <w:rPr>
          <w:sz w:val="20"/>
          <w:szCs w:val="20"/>
          <w:color w:val="auto"/>
        </w:rPr>
      </w:pPr>
    </w:p>
    <w:p>
      <w:pPr>
        <w:jc w:val="both"/>
        <w:ind w:left="683" w:right="460" w:hanging="683"/>
        <w:spacing w:after="0" w:line="312" w:lineRule="auto"/>
        <w:tabs>
          <w:tab w:leader="none" w:pos="6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Expressions in these Articles referring to writing shall be construed, unless the contrary intention appears, as including references to printing, lithography, photography and any other modes of representing or reproducing words in a visible form. Expressions in these Articles referring to execution of any document shall include any mode of execution whether under seal or under hand.</w:t>
      </w:r>
    </w:p>
    <w:p>
      <w:pPr>
        <w:spacing w:after="0" w:line="146" w:lineRule="exact"/>
        <w:rPr>
          <w:rFonts w:ascii="Arial" w:cs="Arial" w:eastAsia="Arial" w:hAnsi="Arial"/>
          <w:sz w:val="16"/>
          <w:szCs w:val="16"/>
          <w:color w:val="auto"/>
        </w:rPr>
      </w:pPr>
    </w:p>
    <w:p>
      <w:pPr>
        <w:ind w:left="683" w:right="20" w:hanging="683"/>
        <w:spacing w:after="0" w:line="342" w:lineRule="auto"/>
        <w:tabs>
          <w:tab w:leader="none" w:pos="6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Unless specifically defined herein or the context otherwise requires, words or expressions contained in these Articles shall bear the same meaning as in the Acts but excluding any statutory modification thereof not in force when these Articles become binding on the Company.</w:t>
      </w:r>
    </w:p>
    <w:p>
      <w:pPr>
        <w:spacing w:after="0" w:line="123" w:lineRule="exact"/>
        <w:rPr>
          <w:rFonts w:ascii="Arial" w:cs="Arial" w:eastAsia="Arial" w:hAnsi="Arial"/>
          <w:sz w:val="16"/>
          <w:szCs w:val="16"/>
          <w:color w:val="auto"/>
        </w:rPr>
      </w:pPr>
    </w:p>
    <w:p>
      <w:pPr>
        <w:ind w:left="683" w:hanging="683"/>
        <w:spacing w:after="0" w:line="277" w:lineRule="auto"/>
        <w:tabs>
          <w:tab w:leader="none" w:pos="6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headings and captions included in these Articles are inserted for convenience of reference only and shall not be considered a part of or affect the construction or interpretation of these Articles.</w:t>
      </w:r>
    </w:p>
    <w:p>
      <w:pPr>
        <w:spacing w:after="0" w:line="170" w:lineRule="exact"/>
        <w:rPr>
          <w:rFonts w:ascii="Arial" w:cs="Arial" w:eastAsia="Arial" w:hAnsi="Arial"/>
          <w:sz w:val="18"/>
          <w:szCs w:val="18"/>
          <w:color w:val="auto"/>
        </w:rPr>
      </w:pPr>
    </w:p>
    <w:p>
      <w:pPr>
        <w:ind w:left="683" w:right="220" w:hanging="683"/>
        <w:spacing w:after="0" w:line="277" w:lineRule="auto"/>
        <w:tabs>
          <w:tab w:leader="none" w:pos="6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References in these Articles to any enactment or any section or provision thereof shall mean such enactment, section or provision as the same may be amended and may be from time to time and for the time being in force.</w:t>
      </w:r>
    </w:p>
    <w:p>
      <w:pPr>
        <w:spacing w:after="0" w:line="170" w:lineRule="exact"/>
        <w:rPr>
          <w:rFonts w:ascii="Arial" w:cs="Arial" w:eastAsia="Arial" w:hAnsi="Arial"/>
          <w:sz w:val="18"/>
          <w:szCs w:val="18"/>
          <w:color w:val="auto"/>
        </w:rPr>
      </w:pPr>
    </w:p>
    <w:p>
      <w:pPr>
        <w:ind w:left="683" w:right="360" w:hanging="683"/>
        <w:spacing w:after="0" w:line="277" w:lineRule="auto"/>
        <w:tabs>
          <w:tab w:leader="none" w:pos="6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these Articles the masculine gender shall include the feminine and neuter, and vice versa, and the singular number shall include the plural and vice versa, and words importing persons shall include firms and companies.</w:t>
      </w:r>
    </w:p>
    <w:p>
      <w:pPr>
        <w:spacing w:after="0" w:line="170" w:lineRule="exact"/>
        <w:rPr>
          <w:rFonts w:ascii="Arial" w:cs="Arial" w:eastAsia="Arial" w:hAnsi="Arial"/>
          <w:sz w:val="18"/>
          <w:szCs w:val="18"/>
          <w:color w:val="auto"/>
        </w:rPr>
      </w:pPr>
    </w:p>
    <w:p>
      <w:pPr>
        <w:ind w:left="683" w:hanging="683"/>
        <w:spacing w:after="0"/>
        <w:tabs>
          <w:tab w:leader="none" w:pos="6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References in these Articles to pounds or pence or IR£ or IRp shall mean the currency, for the time being, of the State.</w:t>
      </w:r>
    </w:p>
    <w:p>
      <w:pPr>
        <w:spacing w:after="0" w:line="225" w:lineRule="exact"/>
        <w:rPr>
          <w:rFonts w:ascii="Arial" w:cs="Arial" w:eastAsia="Arial" w:hAnsi="Arial"/>
          <w:sz w:val="18"/>
          <w:szCs w:val="18"/>
          <w:color w:val="auto"/>
        </w:rPr>
      </w:pPr>
    </w:p>
    <w:p>
      <w:pPr>
        <w:ind w:left="683" w:hanging="683"/>
        <w:spacing w:after="0"/>
        <w:tabs>
          <w:tab w:leader="none" w:pos="683"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References in these Articles to dollars or cents or $ shall mean the currency for the time being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431800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3"/>
          </w:cols>
          <w:pgMar w:left="937" w:top="517" w:right="29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Part II - Share Capital and Rights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share capital of the Company is €6,000,000 divided into 100,000,000 Ordinary Shares of €0.06 each.</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700" w:hanging="692"/>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Shares on issue</w:t>
      </w:r>
    </w:p>
    <w:p>
      <w:pPr>
        <w:spacing w:after="0" w:line="256" w:lineRule="exact"/>
        <w:rPr>
          <w:rFonts w:ascii="Arial" w:cs="Arial" w:eastAsia="Arial" w:hAnsi="Arial"/>
          <w:sz w:val="18"/>
          <w:szCs w:val="18"/>
          <w:b w:val="1"/>
          <w:bCs w:val="1"/>
          <w:color w:val="auto"/>
        </w:rPr>
      </w:pPr>
    </w:p>
    <w:p>
      <w:pPr>
        <w:ind w:left="700" w:right="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Without prejudice to any special rights previously conferred on the Holders of any existing Shares or class of Shares and subject to the provisions of the Acts, any Share may be issued with such rights or restrictions as the Company may by ordinary resolution determine.</w:t>
      </w:r>
    </w:p>
    <w:p>
      <w:pPr>
        <w:spacing w:after="0" w:line="200" w:lineRule="exact"/>
        <w:rPr>
          <w:rFonts w:ascii="Arial" w:cs="Arial" w:eastAsia="Arial" w:hAnsi="Arial"/>
          <w:sz w:val="18"/>
          <w:szCs w:val="18"/>
          <w:b w:val="1"/>
          <w:bCs w:val="1"/>
          <w:color w:val="auto"/>
        </w:rPr>
      </w:pPr>
    </w:p>
    <w:p>
      <w:pPr>
        <w:spacing w:after="0" w:line="212" w:lineRule="exact"/>
        <w:rPr>
          <w:rFonts w:ascii="Arial" w:cs="Arial" w:eastAsia="Arial" w:hAnsi="Arial"/>
          <w:sz w:val="18"/>
          <w:szCs w:val="18"/>
          <w:b w:val="1"/>
          <w:bCs w:val="1"/>
          <w:color w:val="auto"/>
        </w:rPr>
      </w:pPr>
    </w:p>
    <w:p>
      <w:pPr>
        <w:ind w:left="700" w:hanging="692"/>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Shares</w:t>
      </w:r>
    </w:p>
    <w:p>
      <w:pPr>
        <w:spacing w:after="0" w:line="256" w:lineRule="exact"/>
        <w:rPr>
          <w:rFonts w:ascii="Arial" w:cs="Arial" w:eastAsia="Arial" w:hAnsi="Arial"/>
          <w:sz w:val="18"/>
          <w:szCs w:val="18"/>
          <w:b w:val="1"/>
          <w:bCs w:val="1"/>
          <w:color w:val="auto"/>
        </w:rPr>
      </w:pPr>
    </w:p>
    <w:p>
      <w:pPr>
        <w:ind w:lef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Acts, any Shares may be issued on the terms that they are, or at the option of the Company are, liable to be redeemed on such terms and in such manner as the Company may by special resolution determine.</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700" w:hanging="692"/>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256" w:lineRule="exact"/>
        <w:rPr>
          <w:rFonts w:ascii="Arial" w:cs="Arial" w:eastAsia="Arial" w:hAnsi="Arial"/>
          <w:sz w:val="18"/>
          <w:szCs w:val="18"/>
          <w:b w:val="1"/>
          <w:bCs w:val="1"/>
          <w:color w:val="auto"/>
        </w:rPr>
      </w:pPr>
    </w:p>
    <w:p>
      <w:pPr>
        <w:ind w:left="1380" w:right="160" w:hanging="724"/>
        <w:spacing w:after="0" w:line="255" w:lineRule="auto"/>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Whenever the share capital is divided into different classes of shares, the rights attached to any class may be varied or abrogated with the consent in writing of the Holders of three-fourths in nominal amount of the issued Shares of that class or with the sanction of a special resolution passed at a separate general meeting of the Holders of the Shares of the class (but not otherwise), and may be so varied or abrogated either whilst the Company is a going concern or during or in contemplation of a winding-up. The quorum at any such separate general meeting, other than an adjourned meeting, shall be two persons holding or representing by proxy at least one-third in nominal amount of the issued Shares of the class in question and the quorum at an adjourned meeting shall be one person holding Shares of the class in question or his proxy.</w:t>
      </w:r>
    </w:p>
    <w:p>
      <w:pPr>
        <w:spacing w:after="0" w:line="216" w:lineRule="exact"/>
        <w:rPr>
          <w:rFonts w:ascii="Arial" w:cs="Arial" w:eastAsia="Arial" w:hAnsi="Arial"/>
          <w:sz w:val="18"/>
          <w:szCs w:val="18"/>
          <w:color w:val="auto"/>
        </w:rPr>
      </w:pPr>
    </w:p>
    <w:p>
      <w:pPr>
        <w:ind w:left="1380" w:right="100" w:hanging="724"/>
        <w:spacing w:after="0" w:line="264" w:lineRule="auto"/>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rights conferred upon the Holders of the Shares of any class issued with preferred or other rights shall not, unless otherwise expressly provided by these Articles or the terms of the issue of the Shares of that class, be deemed to be varied by the creation or issue of further Shares ranking pari passu therewith or subordinate thereto.</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700" w:hanging="692"/>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Trusts not recognised</w:t>
      </w:r>
    </w:p>
    <w:p>
      <w:pPr>
        <w:spacing w:after="0" w:line="256" w:lineRule="exact"/>
        <w:rPr>
          <w:rFonts w:ascii="Arial" w:cs="Arial" w:eastAsia="Arial" w:hAnsi="Arial"/>
          <w:sz w:val="18"/>
          <w:szCs w:val="18"/>
          <w:b w:val="1"/>
          <w:bCs w:val="1"/>
          <w:color w:val="auto"/>
        </w:rPr>
      </w:pPr>
    </w:p>
    <w:p>
      <w:pPr>
        <w:ind w:left="7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Except as required by law, no person shall be recognised by the Company as holding any Share upon any trust, and the Company shall not be bound by or be compelled in anyway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Holder.</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6" w:lineRule="exact"/>
        <w:rPr>
          <w:rFonts w:ascii="Arial" w:cs="Arial" w:eastAsia="Arial" w:hAnsi="Arial"/>
          <w:sz w:val="18"/>
          <w:szCs w:val="18"/>
          <w:b w:val="1"/>
          <w:bCs w:val="1"/>
          <w:color w:val="auto"/>
        </w:rPr>
      </w:pPr>
    </w:p>
    <w:p>
      <w:pPr>
        <w:ind w:left="700" w:hanging="692"/>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w:t>
      </w:r>
    </w:p>
    <w:p>
      <w:pPr>
        <w:spacing w:after="0" w:line="256" w:lineRule="exact"/>
        <w:rPr>
          <w:rFonts w:ascii="Arial" w:cs="Arial" w:eastAsia="Arial" w:hAnsi="Arial"/>
          <w:sz w:val="18"/>
          <w:szCs w:val="18"/>
          <w:b w:val="1"/>
          <w:bCs w:val="1"/>
          <w:color w:val="auto"/>
        </w:rPr>
      </w:pPr>
    </w:p>
    <w:p>
      <w:pPr>
        <w:ind w:left="1380" w:hanging="724"/>
        <w:spacing w:after="0"/>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 the purposes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2" w:name="page123"/>
    <w:bookmarkEnd w:id="122"/>
    <w:p>
      <w:pPr>
        <w:ind w:left="724"/>
        <w:spacing w:after="0" w:line="255" w:lineRule="auto"/>
        <w:rPr>
          <w:sz w:val="20"/>
          <w:szCs w:val="20"/>
          <w:color w:val="auto"/>
        </w:rPr>
      </w:pPr>
      <w:r>
        <w:rPr>
          <w:rFonts w:ascii="Arial" w:cs="Arial" w:eastAsia="Arial" w:hAnsi="Arial"/>
          <w:sz w:val="18"/>
          <w:szCs w:val="18"/>
          <w:i w:val="1"/>
          <w:iCs w:val="1"/>
          <w:color w:val="auto"/>
        </w:rPr>
        <w:t xml:space="preserve">"Deemed Voting Concert Party Interest" </w:t>
      </w:r>
      <w:r>
        <w:rPr>
          <w:rFonts w:ascii="Arial" w:cs="Arial" w:eastAsia="Arial" w:hAnsi="Arial"/>
          <w:sz w:val="18"/>
          <w:szCs w:val="18"/>
          <w:color w:val="auto"/>
        </w:rPr>
        <w:t>means an agreement or arrangement between two or more persons with respect to,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voting rights attaching to Shares and which is likely to result in those rights being exercised so as to influence or to control the policy of the Company or the management of its affairs which the Directors have deemed to be a Deemed Voting Concert Party Interest for the purposes of this Article 7 and, where the Directors so resolve, each of the persons who is party to such agreement or arrangement shall be deemed (for the purposes of this Article 7) to be interested in all the Shares to which the voting rights in question are attached and, in this definition, references to an arrangement include references to an understanding or mutual expectation, whether formal or informal and whether or not legally binding.</w:t>
      </w:r>
    </w:p>
    <w:p>
      <w:pPr>
        <w:spacing w:after="0" w:line="216" w:lineRule="exact"/>
        <w:rPr>
          <w:sz w:val="20"/>
          <w:szCs w:val="20"/>
          <w:color w:val="auto"/>
        </w:rPr>
      </w:pPr>
    </w:p>
    <w:p>
      <w:pPr>
        <w:ind w:left="724"/>
        <w:spacing w:after="0"/>
        <w:rPr>
          <w:sz w:val="20"/>
          <w:szCs w:val="20"/>
          <w:color w:val="auto"/>
        </w:rPr>
      </w:pPr>
      <w:r>
        <w:rPr>
          <w:rFonts w:ascii="Arial" w:cs="Arial" w:eastAsia="Arial" w:hAnsi="Arial"/>
          <w:sz w:val="18"/>
          <w:szCs w:val="18"/>
          <w:i w:val="1"/>
          <w:iCs w:val="1"/>
          <w:color w:val="auto"/>
        </w:rPr>
        <w:t xml:space="preserve">"Disclosure Notice" </w:t>
      </w:r>
      <w:r>
        <w:rPr>
          <w:rFonts w:ascii="Arial" w:cs="Arial" w:eastAsia="Arial" w:hAnsi="Arial"/>
          <w:sz w:val="18"/>
          <w:szCs w:val="18"/>
          <w:color w:val="auto"/>
        </w:rPr>
        <w:t>means a notice served pursuant to Article 7(b) below;</w:t>
      </w:r>
    </w:p>
    <w:p>
      <w:pPr>
        <w:spacing w:after="0" w:line="252" w:lineRule="exact"/>
        <w:rPr>
          <w:sz w:val="20"/>
          <w:szCs w:val="20"/>
          <w:color w:val="auto"/>
        </w:rPr>
      </w:pPr>
    </w:p>
    <w:p>
      <w:pPr>
        <w:ind w:left="724" w:right="20"/>
        <w:spacing w:after="0" w:line="255"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means an interest (of any size) in the Relevant Share Capital which would be taken into account in deciding whether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notification to the Company would be required under Chapter 2 of Part IV of the 1990 Act but shall for all purposes include (the </w:t>
      </w:r>
      <w:r>
        <w:rPr>
          <w:rFonts w:ascii="Arial" w:cs="Arial" w:eastAsia="Arial" w:hAnsi="Arial"/>
          <w:sz w:val="18"/>
          <w:szCs w:val="18"/>
          <w:i w:val="1"/>
          <w:iCs w:val="1"/>
          <w:color w:val="auto"/>
        </w:rPr>
        <w:t>"Included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Interests") </w:t>
      </w:r>
      <w:r>
        <w:rPr>
          <w:rFonts w:ascii="Arial" w:cs="Arial" w:eastAsia="Arial" w:hAnsi="Arial"/>
          <w:sz w:val="18"/>
          <w:szCs w:val="18"/>
          <w:color w:val="auto"/>
        </w:rPr>
        <w:t>(i) rights to subscribe for or convert into, or entitlements to acquire rights to subscribe for or convert into, shares which would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issue or conversion (as the case may be) be comprised in the Relevant Share Capital; (ii) the interests referred to in Section 78(l)(a), (c) and (g) of the 1990 Act except those of a bare or custodian trustee and of a simple trustee and (iii) any Deemed Voting Concert Party Interest; and </w:t>
      </w:r>
      <w:r>
        <w:rPr>
          <w:rFonts w:ascii="Arial" w:cs="Arial" w:eastAsia="Arial" w:hAnsi="Arial"/>
          <w:sz w:val="18"/>
          <w:szCs w:val="18"/>
          <w:i w:val="1"/>
          <w:iCs w:val="1"/>
          <w:color w:val="auto"/>
        </w:rPr>
        <w:t>"interested"</w:t>
      </w:r>
      <w:r>
        <w:rPr>
          <w:rFonts w:ascii="Arial" w:cs="Arial" w:eastAsia="Arial" w:hAnsi="Arial"/>
          <w:sz w:val="18"/>
          <w:szCs w:val="18"/>
          <w:color w:val="auto"/>
        </w:rPr>
        <w:t xml:space="preserve"> shall be construed accordingly;</w:t>
      </w:r>
    </w:p>
    <w:p>
      <w:pPr>
        <w:spacing w:after="0" w:line="220" w:lineRule="exact"/>
        <w:rPr>
          <w:sz w:val="20"/>
          <w:szCs w:val="20"/>
          <w:color w:val="auto"/>
        </w:rPr>
      </w:pPr>
    </w:p>
    <w:p>
      <w:pPr>
        <w:ind w:left="724"/>
        <w:spacing w:after="0"/>
        <w:rPr>
          <w:sz w:val="20"/>
          <w:szCs w:val="20"/>
          <w:color w:val="auto"/>
        </w:rPr>
      </w:pPr>
      <w:r>
        <w:rPr>
          <w:rFonts w:ascii="Arial" w:cs="Arial" w:eastAsia="Arial" w:hAnsi="Arial"/>
          <w:sz w:val="16"/>
          <w:szCs w:val="16"/>
          <w:i w:val="1"/>
          <w:iCs w:val="1"/>
          <w:color w:val="auto"/>
        </w:rPr>
        <w:t xml:space="preserve">"Relevant Share Capital" </w:t>
      </w:r>
      <w:r>
        <w:rPr>
          <w:rFonts w:ascii="Arial" w:cs="Arial" w:eastAsia="Arial" w:hAnsi="Arial"/>
          <w:sz w:val="16"/>
          <w:szCs w:val="16"/>
          <w:color w:val="auto"/>
        </w:rPr>
        <w:t>means the relevant share capital of the Company (as that expression is defined in Section 67(2) of the 1990 Act);</w:t>
      </w:r>
    </w:p>
    <w:p>
      <w:pPr>
        <w:spacing w:after="0" w:line="275" w:lineRule="exact"/>
        <w:rPr>
          <w:sz w:val="20"/>
          <w:szCs w:val="20"/>
          <w:color w:val="auto"/>
        </w:rPr>
      </w:pPr>
    </w:p>
    <w:p>
      <w:pPr>
        <w:ind w:left="724"/>
        <w:spacing w:after="0"/>
        <w:rPr>
          <w:sz w:val="20"/>
          <w:szCs w:val="20"/>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means any share comprised in Relevant Share Capital.</w:t>
      </w:r>
    </w:p>
    <w:p>
      <w:pPr>
        <w:spacing w:after="0" w:line="252" w:lineRule="exact"/>
        <w:rPr>
          <w:sz w:val="20"/>
          <w:szCs w:val="20"/>
          <w:color w:val="auto"/>
        </w:rPr>
      </w:pPr>
    </w:p>
    <w:p>
      <w:pPr>
        <w:ind w:left="724" w:hanging="724"/>
        <w:spacing w:after="0" w:line="279" w:lineRule="auto"/>
        <w:tabs>
          <w:tab w:leader="none" w:pos="72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Directors may by notice in writing require any Member, or other person appearing to be interested or to have been interested in Shares, to disclose to the Company in writing such information as the Directors shall require relating to the ownership of or any Interest in Shares as lies within the knowledge of such Member or other person (supported if the Directors so require by a statutory declaration and/or by independent evidence) including (without prejudice to the generality of the foregoing):-</w:t>
      </w:r>
    </w:p>
    <w:p>
      <w:pPr>
        <w:spacing w:after="0" w:line="198" w:lineRule="exact"/>
        <w:rPr>
          <w:rFonts w:ascii="Arial" w:cs="Arial" w:eastAsia="Arial" w:hAnsi="Arial"/>
          <w:sz w:val="17"/>
          <w:szCs w:val="17"/>
          <w:color w:val="auto"/>
        </w:rPr>
      </w:pPr>
    </w:p>
    <w:p>
      <w:pPr>
        <w:ind w:left="1424" w:hanging="748"/>
        <w:spacing w:after="0"/>
        <w:tabs>
          <w:tab w:leader="none" w:pos="14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information which the Company is entitled to seek pursuant to Section 81 of the 1990 Act.</w:t>
      </w:r>
    </w:p>
    <w:p>
      <w:pPr>
        <w:spacing w:after="0" w:line="252" w:lineRule="exact"/>
        <w:rPr>
          <w:rFonts w:ascii="Arial" w:cs="Arial" w:eastAsia="Arial" w:hAnsi="Arial"/>
          <w:sz w:val="18"/>
          <w:szCs w:val="18"/>
          <w:color w:val="auto"/>
        </w:rPr>
      </w:pPr>
    </w:p>
    <w:p>
      <w:pPr>
        <w:ind w:left="724" w:right="80" w:hanging="724"/>
        <w:spacing w:after="0" w:line="257" w:lineRule="auto"/>
        <w:tabs>
          <w:tab w:leader="none" w:pos="7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Where the Member on which a Disclosure Notice is served is a Depositary acting in its capacity as such, the obligations of the Depositary as a Member pursuant to this Article shall be limited to disclosing to the Company in accordance with this Article such information relating to the ownership of or Interests in the Shares in question as has been recorded by it pursuant to the terms entered into between the Depositary and the Company provided that nothing in this Article shall in any other way restrict the powers of the Directors under this Article.</w:t>
      </w:r>
    </w:p>
    <w:p>
      <w:pPr>
        <w:spacing w:after="0" w:line="215"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Directors may give any number of Disclosure Notices pursuant to Article 7(b) above to the same Member or other person in respect of the same Shares.</w:t>
      </w:r>
    </w:p>
    <w:p>
      <w:pPr>
        <w:spacing w:after="0" w:line="197" w:lineRule="exact"/>
        <w:rPr>
          <w:rFonts w:ascii="Arial" w:cs="Arial" w:eastAsia="Arial" w:hAnsi="Arial"/>
          <w:sz w:val="18"/>
          <w:szCs w:val="18"/>
          <w:color w:val="auto"/>
        </w:rPr>
      </w:pPr>
    </w:p>
    <w:p>
      <w:pPr>
        <w:ind w:left="724" w:right="60" w:hanging="724"/>
        <w:spacing w:after="0" w:line="291" w:lineRule="auto"/>
        <w:tabs>
          <w:tab w:leader="none" w:pos="724"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Directors may serve notice pursuant to the terms of this Article irrespective of whether or not the person on whom it shall be served may be dead, bankrupt, insolvent or otherwise incapacitated and no such incapacity or any unavailability of information or inconvenience or hardship in obtaining the same shall be a satisfactory reason for failure to comply with any such notice, provided that if the Directors in their absolute discretion think fit, they may waive compliance in whole or in part with any notice given under this Article in respect of a Share in any case of bona fide unavailability of information or genuine hardship or where they otherwise think fit but no such waiver shall prejudice or affect in any way any non-compliance not so waived whether by the person concerned or any other person appearing to the Directors to be interested in the Shares or by any person to whom a notice may be given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387350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517" w:right="259" w:bottom="1440" w:gutter="0" w:footer="0" w:header="0"/>
        </w:sectPr>
      </w:pPr>
    </w:p>
    <w:bookmarkStart w:id="123" w:name="page124"/>
    <w:bookmarkEnd w:id="123"/>
    <w:p>
      <w:pPr>
        <w:ind w:left="1372" w:hanging="724"/>
        <w:spacing w:after="0"/>
        <w:tabs>
          <w:tab w:leader="none" w:pos="1372"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provisions of Articles 125 to 132 inclusive shall apply to the service of notices required by this Article to be served.</w:t>
      </w:r>
    </w:p>
    <w:p>
      <w:pPr>
        <w:spacing w:after="0" w:line="252" w:lineRule="exact"/>
        <w:rPr>
          <w:rFonts w:ascii="Arial" w:cs="Arial" w:eastAsia="Arial" w:hAnsi="Arial"/>
          <w:sz w:val="18"/>
          <w:szCs w:val="18"/>
          <w:color w:val="auto"/>
        </w:rPr>
      </w:pPr>
    </w:p>
    <w:p>
      <w:pPr>
        <w:ind w:left="1372" w:right="80" w:hanging="724"/>
        <w:spacing w:after="0" w:line="257" w:lineRule="auto"/>
        <w:tabs>
          <w:tab w:leader="none" w:pos="137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resolution or determination of, or decision or exercise of any discretion or power by the Directors under or pursuant to the provisions of this Article shall be final and conclusive and things done by or on behalf of, or on the authority of, the Directors pursuant to the foregoing provisions of this Article shall be conclusive and binding on all persons concerned and shall not be open to challenge, whether as to validity or otherwise on any ground whatsoever. The Directors shall not be required to give any reasons for any decision, determination or declaration taken or made in accordance with this Article.</w:t>
      </w:r>
    </w:p>
    <w:p>
      <w:pPr>
        <w:spacing w:after="0" w:line="215" w:lineRule="exact"/>
        <w:rPr>
          <w:rFonts w:ascii="Arial" w:cs="Arial" w:eastAsia="Arial" w:hAnsi="Arial"/>
          <w:sz w:val="18"/>
          <w:szCs w:val="18"/>
          <w:color w:val="auto"/>
        </w:rPr>
      </w:pPr>
    </w:p>
    <w:p>
      <w:pPr>
        <w:ind w:left="1372" w:right="100" w:hanging="724"/>
        <w:spacing w:after="0" w:line="277" w:lineRule="auto"/>
        <w:tabs>
          <w:tab w:leader="none" w:pos="1372"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provisions of this Article are in addition to, and do not limit, any other right or power of the Company or the Directors, including any right vested in the Company or the Directors by the Acts.</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692" w:hanging="692"/>
        <w:spacing w:after="0"/>
        <w:tabs>
          <w:tab w:leader="none" w:pos="69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Allotment of Shares</w:t>
      </w:r>
    </w:p>
    <w:p>
      <w:pPr>
        <w:spacing w:after="0" w:line="256" w:lineRule="exact"/>
        <w:rPr>
          <w:rFonts w:ascii="Arial" w:cs="Arial" w:eastAsia="Arial" w:hAnsi="Arial"/>
          <w:sz w:val="18"/>
          <w:szCs w:val="18"/>
          <w:b w:val="1"/>
          <w:bCs w:val="1"/>
          <w:color w:val="auto"/>
        </w:rPr>
      </w:pPr>
    </w:p>
    <w:p>
      <w:pPr>
        <w:ind w:left="1372" w:right="20" w:hanging="724"/>
        <w:spacing w:after="0" w:line="255" w:lineRule="auto"/>
        <w:tabs>
          <w:tab w:leader="none" w:pos="13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unissued Shares shall be at the disposal of the Directors and (subject to the provisions of these Articles and the Acts) they may allot, grant options over, deal with or otherwise dispose (with or without conferring a right of renunciation) of them on such terms and conditions and at such times as they may consider to be in the best interests of the Company and the Members but so that no Share shall be issued at a discount and so that, unless otherwise permitted under the Acts, where Shares are to be allotted and issued, the amount payable on application on each Share shall not be less than one-quarter of the nominal amount of the Share and the whole of any premium payable thereon.</w:t>
      </w:r>
    </w:p>
    <w:p>
      <w:pPr>
        <w:spacing w:after="0" w:line="220" w:lineRule="exact"/>
        <w:rPr>
          <w:rFonts w:ascii="Arial" w:cs="Arial" w:eastAsia="Arial" w:hAnsi="Arial"/>
          <w:sz w:val="18"/>
          <w:szCs w:val="18"/>
          <w:color w:val="auto"/>
        </w:rPr>
      </w:pPr>
    </w:p>
    <w:p>
      <w:pPr>
        <w:ind w:left="1372" w:hanging="724"/>
        <w:spacing w:after="0" w:line="279" w:lineRule="auto"/>
        <w:tabs>
          <w:tab w:leader="none" w:pos="1372" w:val="left"/>
        </w:tabs>
        <w:numPr>
          <w:ilvl w:val="1"/>
          <w:numId w:val="65"/>
        </w:numPr>
        <w:rPr>
          <w:rFonts w:ascii="Arial" w:cs="Arial" w:eastAsia="Arial" w:hAnsi="Arial"/>
          <w:sz w:val="17"/>
          <w:szCs w:val="17"/>
          <w:color w:val="auto"/>
        </w:rPr>
      </w:pPr>
      <w:r>
        <w:rPr>
          <w:rFonts w:ascii="Arial" w:cs="Arial" w:eastAsia="Arial" w:hAnsi="Arial"/>
          <w:sz w:val="17"/>
          <w:szCs w:val="17"/>
          <w:color w:val="auto"/>
        </w:rPr>
        <w:t>Without prejudice to the generality of the powers conferred on the Directors by the other provisions of this Article, the Directors may grant from time to time options to subscribe for unallotted Shares in the capital of the Company to persons in the service or employment of or Directors of the Company or any subsidiary of the Company on such terms and subject to such conditions as may be approved from time to time by the Directors or any committee thereof appointed by the Directors for the purpose of such approval.</w:t>
      </w:r>
    </w:p>
    <w:p>
      <w:pPr>
        <w:spacing w:after="0" w:line="198" w:lineRule="exact"/>
        <w:rPr>
          <w:rFonts w:ascii="Arial" w:cs="Arial" w:eastAsia="Arial" w:hAnsi="Arial"/>
          <w:sz w:val="17"/>
          <w:szCs w:val="17"/>
          <w:color w:val="auto"/>
        </w:rPr>
      </w:pPr>
    </w:p>
    <w:p>
      <w:pPr>
        <w:ind w:left="1372" w:right="120" w:hanging="724"/>
        <w:spacing w:after="0" w:line="259" w:lineRule="auto"/>
        <w:tabs>
          <w:tab w:leader="none" w:pos="13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Company may issue warrants to subscribe (by whatever name they are called) to any person to whom the Company has granted the right to subscribe for Shares in the Company (other than under a share option scheme for employees) certifying the right of the registered holder thereof to subscribe for Shares in the Company upon such terms and conditions as those upon which the right may have been granted.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92" w:hanging="692"/>
        <w:spacing w:after="0"/>
        <w:tabs>
          <w:tab w:leader="none" w:pos="69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commission</w:t>
      </w:r>
    </w:p>
    <w:p>
      <w:pPr>
        <w:spacing w:after="0" w:line="256" w:lineRule="exact"/>
        <w:rPr>
          <w:rFonts w:ascii="Arial" w:cs="Arial" w:eastAsia="Arial" w:hAnsi="Arial"/>
          <w:sz w:val="18"/>
          <w:szCs w:val="18"/>
          <w:b w:val="1"/>
          <w:bCs w:val="1"/>
          <w:color w:val="auto"/>
        </w:rPr>
      </w:pPr>
    </w:p>
    <w:p>
      <w:pPr>
        <w:ind w:left="692"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may exercise the powers of paying commissions conferred or permitted by the Acts. Subject to the provisions of the Acts, any such commission may be satisfied by the payment of cash or by the allotment of fully or partly paid Shares or partly in one way and partly in the other. On any issue of Shares the Company may also pay such brokerage as may be 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24" w:name="page125"/>
    <w:bookmarkEnd w:id="124"/>
    <w:p>
      <w:pPr>
        <w:ind w:left="700" w:hanging="692"/>
        <w:spacing w:after="0"/>
        <w:tabs>
          <w:tab w:leader="none" w:pos="7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Payment by instalments</w:t>
      </w:r>
    </w:p>
    <w:p>
      <w:pPr>
        <w:spacing w:after="0" w:line="256" w:lineRule="exact"/>
        <w:rPr>
          <w:rFonts w:ascii="Arial" w:cs="Arial" w:eastAsia="Arial" w:hAnsi="Arial"/>
          <w:sz w:val="18"/>
          <w:szCs w:val="18"/>
          <w:b w:val="1"/>
          <w:bCs w:val="1"/>
          <w:color w:val="auto"/>
        </w:rPr>
      </w:pPr>
    </w:p>
    <w:p>
      <w:pPr>
        <w:ind w:left="700" w:right="4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If by the conditions of allotment of any Share the whole or part of the amount or issue price thereof shall be payable by instalments, every such installment when due shall be paid to the Company by the person who for the time being shall be the Holder of the Share.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Share Certificates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Issue of certificates</w:t>
      </w:r>
    </w:p>
    <w:p>
      <w:pPr>
        <w:spacing w:after="0" w:line="256" w:lineRule="exact"/>
        <w:rPr>
          <w:rFonts w:ascii="Arial" w:cs="Arial" w:eastAsia="Arial" w:hAnsi="Arial"/>
          <w:sz w:val="18"/>
          <w:szCs w:val="18"/>
          <w:b w:val="1"/>
          <w:bCs w:val="1"/>
          <w:color w:val="auto"/>
        </w:rPr>
      </w:pPr>
    </w:p>
    <w:p>
      <w:pPr>
        <w:ind w:left="7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Every Member (except a Stock Exchange Nominee in respect of whom the Company is not by law required to complete and have ready for delivery a certificate) shall be entitled without payment to receive within two months after allotment or lodgement of a transfer to him of the Shares in respect of which he is so registered (or within such other period as the conditions of issue shall provide) one certificate for all the Shares of each class held by him or several certificates each for one or more of his Shares upon payment for every certificate after the first of such reasonable out of pocket expenses as the Directors may determine provided that the Company shall not be bound to issue more than one certificate for Shares held jointly by several persons and delivery of a certificate to one joint Holder shall be a sufficient delivery to all of them. The Company shall not be bound to register more than four persons as joint Holders of any Share (except in the case of executors or trustees of a deceased Member). Every certificate shall be sealed with the Seal and shall specify the number, class and distinguishing number (if any) of the Shares to which it relates and the amount or respective amounts paid up thereon.</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700" w:hanging="692"/>
        <w:spacing w:after="0"/>
        <w:tabs>
          <w:tab w:leader="none" w:pos="7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Balance and exchange certificates</w:t>
      </w:r>
    </w:p>
    <w:p>
      <w:pPr>
        <w:spacing w:after="0" w:line="256" w:lineRule="exact"/>
        <w:rPr>
          <w:rFonts w:ascii="Arial" w:cs="Arial" w:eastAsia="Arial" w:hAnsi="Arial"/>
          <w:sz w:val="18"/>
          <w:szCs w:val="18"/>
          <w:b w:val="1"/>
          <w:bCs w:val="1"/>
          <w:color w:val="auto"/>
        </w:rPr>
      </w:pPr>
    </w:p>
    <w:p>
      <w:pPr>
        <w:ind w:left="1380" w:right="80" w:hanging="724"/>
        <w:spacing w:after="0" w:line="277"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Where some only of the Shares comprised in a share certificate are transferred the old certificate shall be cancelled and the new certificate for the balance of such Shares shall be issued in lieu without charge.</w:t>
      </w:r>
    </w:p>
    <w:p>
      <w:pPr>
        <w:spacing w:after="0" w:line="197" w:lineRule="exact"/>
        <w:rPr>
          <w:rFonts w:ascii="Arial" w:cs="Arial" w:eastAsia="Arial" w:hAnsi="Arial"/>
          <w:sz w:val="18"/>
          <w:szCs w:val="18"/>
          <w:color w:val="auto"/>
        </w:rPr>
      </w:pPr>
    </w:p>
    <w:p>
      <w:pPr>
        <w:ind w:left="1380" w:right="220" w:hanging="724"/>
        <w:spacing w:after="0" w:line="276" w:lineRule="auto"/>
        <w:tabs>
          <w:tab w:leader="none" w:pos="13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two or more certificates representing Shares of any one class held by any Member at his request may be cancelled and a single new certificate for such Shares issued in lieu, without charge unless the Directors otherwise determine. If any Member shall surrender for cancellation a share certificate representing shares held by him and request the Company to issue in lieu two or more Share certificates representing such Shares in such proportions as he may specify, the Directors may comply, if they think fit, with such request, subject to the payment by him of such charge as may be determined by the Directors.</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700" w:hanging="692"/>
        <w:spacing w:after="0"/>
        <w:tabs>
          <w:tab w:leader="none" w:pos="7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certificates</w:t>
      </w:r>
    </w:p>
    <w:p>
      <w:pPr>
        <w:spacing w:after="0" w:line="256" w:lineRule="exact"/>
        <w:rPr>
          <w:rFonts w:ascii="Arial" w:cs="Arial" w:eastAsia="Arial" w:hAnsi="Arial"/>
          <w:sz w:val="18"/>
          <w:szCs w:val="18"/>
          <w:b w:val="1"/>
          <w:bCs w:val="1"/>
          <w:color w:val="auto"/>
        </w:rPr>
      </w:pPr>
    </w:p>
    <w:p>
      <w:pPr>
        <w:ind w:left="70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 share certificate is defaced, worn out, lost, stolen or destroyed, it may be replaced on such terms (if any) as to evidence and indemnity and payment of any exceptional expenses incurred by the Company as the Directors may determine but otherwise free of charge, and (in the case of defacement or wearing out) on delivery up of the old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Part IV - Lien on Shares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lien</w:t>
      </w:r>
    </w:p>
    <w:p>
      <w:pPr>
        <w:spacing w:after="0" w:line="256" w:lineRule="exact"/>
        <w:rPr>
          <w:rFonts w:ascii="Arial" w:cs="Arial" w:eastAsia="Arial" w:hAnsi="Arial"/>
          <w:sz w:val="18"/>
          <w:szCs w:val="18"/>
          <w:b w:val="1"/>
          <w:bCs w:val="1"/>
          <w:color w:val="auto"/>
        </w:rPr>
      </w:pPr>
    </w:p>
    <w:p>
      <w:pPr>
        <w:jc w:val="both"/>
        <w:ind w:left="7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shall have a first and paramount lien on every Share (not being a fully paid Share) for all moneys (whether presently payable or not) payable at a fixed time or called in respect of that Share. The Directors, at any time, may declare any Share to be wholly or in part exempt from the provisions of this Article. The Company's lien on a Share shall extend to all moneys payable in respect of it.</w:t>
      </w:r>
    </w:p>
    <w:p>
      <w:pPr>
        <w:spacing w:after="0" w:line="200" w:lineRule="exact"/>
        <w:rPr>
          <w:rFonts w:ascii="Arial" w:cs="Arial" w:eastAsia="Arial" w:hAnsi="Arial"/>
          <w:sz w:val="18"/>
          <w:szCs w:val="18"/>
          <w:b w:val="1"/>
          <w:bCs w:val="1"/>
          <w:color w:val="auto"/>
        </w:rPr>
      </w:pPr>
    </w:p>
    <w:p>
      <w:pPr>
        <w:spacing w:after="0" w:line="231" w:lineRule="exact"/>
        <w:rPr>
          <w:rFonts w:ascii="Arial" w:cs="Arial" w:eastAsia="Arial" w:hAnsi="Arial"/>
          <w:sz w:val="18"/>
          <w:szCs w:val="18"/>
          <w:b w:val="1"/>
          <w:bCs w:val="1"/>
          <w:color w:val="auto"/>
        </w:rPr>
      </w:pPr>
    </w:p>
    <w:p>
      <w:pPr>
        <w:ind w:left="700" w:hanging="692"/>
        <w:spacing w:after="0"/>
        <w:tabs>
          <w:tab w:leader="none" w:pos="7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Power of sale</w:t>
      </w:r>
    </w:p>
    <w:p>
      <w:pPr>
        <w:spacing w:after="0" w:line="256" w:lineRule="exact"/>
        <w:rPr>
          <w:rFonts w:ascii="Arial" w:cs="Arial" w:eastAsia="Arial" w:hAnsi="Arial"/>
          <w:sz w:val="18"/>
          <w:szCs w:val="18"/>
          <w:b w:val="1"/>
          <w:bCs w:val="1"/>
          <w:color w:val="auto"/>
        </w:rPr>
      </w:pPr>
    </w:p>
    <w:p>
      <w:pPr>
        <w:ind w:left="70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Shares may be sold, has been given to the Holder of the Share or to the person entitled to it by reason of the death or bankruptcy of the Holder.</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700" w:hanging="692"/>
        <w:spacing w:after="0"/>
        <w:tabs>
          <w:tab w:leader="none" w:pos="7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Power to effect transfer</w:t>
      </w:r>
    </w:p>
    <w:p>
      <w:pPr>
        <w:spacing w:after="0" w:line="256" w:lineRule="exact"/>
        <w:rPr>
          <w:rFonts w:ascii="Arial" w:cs="Arial" w:eastAsia="Arial" w:hAnsi="Arial"/>
          <w:sz w:val="18"/>
          <w:szCs w:val="18"/>
          <w:b w:val="1"/>
          <w:bCs w:val="1"/>
          <w:color w:val="auto"/>
        </w:rPr>
      </w:pPr>
    </w:p>
    <w:p>
      <w:pPr>
        <w:ind w:left="7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To give effect to a sale the Directors may take such steps as the Directors consider are necessary or desirable in order to effect such sale and, for this purpose, may authorise some person to execute an instrument of transfer of the Shares sold to, or in accordance with the directions of, the purchaser. The transferee shall be entered in the Register as the Holder of the Shares comprised in any such transfer and he shall not be bound to see to the application of the purchase moneys nor shall his title to the Shares be affected by any irregularity in or invalidity of the proceedings in reference to the sale, and after the name of the transferee has been entered in the Register, the remedy of any person aggrieved by the sale shall be in damages only and against the Company exclusively.</w:t>
      </w:r>
    </w:p>
    <w:p>
      <w:pPr>
        <w:spacing w:after="0" w:line="200" w:lineRule="exact"/>
        <w:rPr>
          <w:rFonts w:ascii="Arial" w:cs="Arial" w:eastAsia="Arial" w:hAnsi="Arial"/>
          <w:sz w:val="18"/>
          <w:szCs w:val="18"/>
          <w:b w:val="1"/>
          <w:bCs w:val="1"/>
          <w:color w:val="auto"/>
        </w:rPr>
      </w:pPr>
    </w:p>
    <w:p>
      <w:pPr>
        <w:spacing w:after="0" w:line="259" w:lineRule="exact"/>
        <w:rPr>
          <w:rFonts w:ascii="Arial" w:cs="Arial" w:eastAsia="Arial" w:hAnsi="Arial"/>
          <w:sz w:val="18"/>
          <w:szCs w:val="18"/>
          <w:b w:val="1"/>
          <w:bCs w:val="1"/>
          <w:color w:val="auto"/>
        </w:rPr>
      </w:pPr>
    </w:p>
    <w:p>
      <w:pPr>
        <w:ind w:left="700" w:hanging="692"/>
        <w:spacing w:after="0"/>
        <w:tabs>
          <w:tab w:leader="none" w:pos="7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Proceeds of sale</w:t>
      </w:r>
    </w:p>
    <w:p>
      <w:pPr>
        <w:spacing w:after="0" w:line="256" w:lineRule="exact"/>
        <w:rPr>
          <w:rFonts w:ascii="Arial" w:cs="Arial" w:eastAsia="Arial" w:hAnsi="Arial"/>
          <w:sz w:val="18"/>
          <w:szCs w:val="18"/>
          <w:b w:val="1"/>
          <w:bCs w:val="1"/>
          <w:color w:val="auto"/>
        </w:rPr>
      </w:pPr>
    </w:p>
    <w:p>
      <w:pPr>
        <w:ind w:left="70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net proceeds of the sale, after payment of the costs relating thereto, shall be applied in payment of so much of the sum for which the lien exists as is presently payable and any residue (upon surrender to the Company for cancellation of the certificate for the Shares sold or an indemnity in a form which is satisfactory to the Directors and subject to a like lien for any moneys not presently payable as existed upon the Shares before the sale) shall be paid to the person entitled to the Shares at the date of the sale.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 - Calls on Shares and Forfeiture</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Making of calls</w:t>
      </w:r>
    </w:p>
    <w:p>
      <w:pPr>
        <w:spacing w:after="0" w:line="256" w:lineRule="exact"/>
        <w:rPr>
          <w:rFonts w:ascii="Arial" w:cs="Arial" w:eastAsia="Arial" w:hAnsi="Arial"/>
          <w:sz w:val="18"/>
          <w:szCs w:val="18"/>
          <w:b w:val="1"/>
          <w:bCs w:val="1"/>
          <w:color w:val="auto"/>
        </w:rPr>
      </w:pPr>
    </w:p>
    <w:p>
      <w:pPr>
        <w:ind w:left="70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Subject to the terms of allotment, the Directors may make calls upon the Members in respect of any moneys unpaid on their Shares and each Member (subject to receiving at least fourteen Clear Days' notice specifying when and where payment is to be made) shall pay to the Company as required by the notice the amount called on his Shares. A call may be required to be paid by instalments. A call may be revoked before receipt by the Company of a sum due thereunder, in whole or in part, and payment of a call may be postponed in whole or in part. A person upon whom a call is made shall remain liable for such call notwithstanding the subsequent transfer of the Shares in respect of which the call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6" w:name="page127"/>
    <w:bookmarkEnd w:id="126"/>
    <w:p>
      <w:pPr>
        <w:ind w:left="692" w:hanging="692"/>
        <w:spacing w:after="0"/>
        <w:tabs>
          <w:tab w:leader="none" w:pos="69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Time of call</w:t>
      </w:r>
    </w:p>
    <w:p>
      <w:pPr>
        <w:spacing w:after="0" w:line="256" w:lineRule="exact"/>
        <w:rPr>
          <w:rFonts w:ascii="Arial" w:cs="Arial" w:eastAsia="Arial" w:hAnsi="Arial"/>
          <w:sz w:val="18"/>
          <w:szCs w:val="18"/>
          <w:b w:val="1"/>
          <w:bCs w:val="1"/>
          <w:color w:val="auto"/>
        </w:rPr>
      </w:pPr>
    </w:p>
    <w:p>
      <w:pPr>
        <w:ind w:left="692"/>
        <w:spacing w:after="0"/>
        <w:rPr>
          <w:rFonts w:ascii="Arial" w:cs="Arial" w:eastAsia="Arial" w:hAnsi="Arial"/>
          <w:sz w:val="18"/>
          <w:szCs w:val="18"/>
          <w:b w:val="1"/>
          <w:bCs w:val="1"/>
          <w:color w:val="auto"/>
        </w:rPr>
      </w:pPr>
      <w:r>
        <w:rPr>
          <w:rFonts w:ascii="Arial" w:cs="Arial" w:eastAsia="Arial" w:hAnsi="Arial"/>
          <w:sz w:val="18"/>
          <w:szCs w:val="18"/>
          <w:color w:val="auto"/>
        </w:rPr>
        <w:t>A call shall be deemed to have been made at the time when the resolution of the Directors authorising the call was passed.</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92" w:hanging="692"/>
        <w:spacing w:after="0"/>
        <w:tabs>
          <w:tab w:leader="none" w:pos="69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joint Holders</w:t>
      </w:r>
    </w:p>
    <w:p>
      <w:pPr>
        <w:spacing w:after="0" w:line="256" w:lineRule="exact"/>
        <w:rPr>
          <w:rFonts w:ascii="Arial" w:cs="Arial" w:eastAsia="Arial" w:hAnsi="Arial"/>
          <w:sz w:val="18"/>
          <w:szCs w:val="18"/>
          <w:b w:val="1"/>
          <w:bCs w:val="1"/>
          <w:color w:val="auto"/>
        </w:rPr>
      </w:pPr>
    </w:p>
    <w:p>
      <w:pPr>
        <w:ind w:left="692"/>
        <w:spacing w:after="0"/>
        <w:rPr>
          <w:rFonts w:ascii="Arial" w:cs="Arial" w:eastAsia="Arial" w:hAnsi="Arial"/>
          <w:sz w:val="18"/>
          <w:szCs w:val="18"/>
          <w:b w:val="1"/>
          <w:bCs w:val="1"/>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92" w:hanging="692"/>
        <w:spacing w:after="0"/>
        <w:tabs>
          <w:tab w:leader="none" w:pos="69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Interest on calls</w:t>
      </w:r>
    </w:p>
    <w:p>
      <w:pPr>
        <w:spacing w:after="0" w:line="256" w:lineRule="exact"/>
        <w:rPr>
          <w:rFonts w:ascii="Arial" w:cs="Arial" w:eastAsia="Arial" w:hAnsi="Arial"/>
          <w:sz w:val="18"/>
          <w:szCs w:val="18"/>
          <w:b w:val="1"/>
          <w:bCs w:val="1"/>
          <w:color w:val="auto"/>
        </w:rPr>
      </w:pPr>
    </w:p>
    <w:p>
      <w:pPr>
        <w:jc w:val="both"/>
        <w:ind w:left="692"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until it is paid at the rate fixed by the terms of allotment of the Share or in the notice of the call but the Directors may waive payment of the interest wholly or in part.</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692" w:hanging="692"/>
        <w:spacing w:after="0"/>
        <w:tabs>
          <w:tab w:leader="none" w:pos="69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Amounts treated as calls</w:t>
      </w:r>
    </w:p>
    <w:p>
      <w:pPr>
        <w:spacing w:after="0" w:line="256" w:lineRule="exact"/>
        <w:rPr>
          <w:rFonts w:ascii="Arial" w:cs="Arial" w:eastAsia="Arial" w:hAnsi="Arial"/>
          <w:sz w:val="18"/>
          <w:szCs w:val="18"/>
          <w:b w:val="1"/>
          <w:bCs w:val="1"/>
          <w:color w:val="auto"/>
        </w:rPr>
      </w:pPr>
    </w:p>
    <w:p>
      <w:pPr>
        <w:ind w:left="692"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 amount payable in respect of a Share on allotment or at any fixed date, whether in respect of nominal value or by way of premium, shall be deemed to be a call and if it is not paid the provisions of these Articles shall apply as if that amount had become due and payable by virtue of a call duly made and notified.</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692" w:hanging="692"/>
        <w:spacing w:after="0"/>
        <w:tabs>
          <w:tab w:leader="none" w:pos="69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differentiate</w:t>
      </w:r>
    </w:p>
    <w:p>
      <w:pPr>
        <w:spacing w:after="0" w:line="256" w:lineRule="exact"/>
        <w:rPr>
          <w:rFonts w:ascii="Arial" w:cs="Arial" w:eastAsia="Arial" w:hAnsi="Arial"/>
          <w:sz w:val="18"/>
          <w:szCs w:val="18"/>
          <w:b w:val="1"/>
          <w:bCs w:val="1"/>
          <w:color w:val="auto"/>
        </w:rPr>
      </w:pPr>
    </w:p>
    <w:p>
      <w:pPr>
        <w:ind w:left="69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terms of allotment, the Directors may make arrangements on the issue of Shares for different terms to apply as between the Holders in relation to the amounts and times of payment of calls on their Shares.</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692" w:hanging="692"/>
        <w:spacing w:after="0"/>
        <w:tabs>
          <w:tab w:leader="none" w:pos="69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Interest on moneys advanced</w:t>
      </w:r>
    </w:p>
    <w:p>
      <w:pPr>
        <w:spacing w:after="0" w:line="256" w:lineRule="exact"/>
        <w:rPr>
          <w:rFonts w:ascii="Arial" w:cs="Arial" w:eastAsia="Arial" w:hAnsi="Arial"/>
          <w:sz w:val="18"/>
          <w:szCs w:val="18"/>
          <w:b w:val="1"/>
          <w:bCs w:val="1"/>
          <w:color w:val="auto"/>
        </w:rPr>
      </w:pPr>
    </w:p>
    <w:p>
      <w:pPr>
        <w:ind w:left="69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Directors, if they think fit, may receive from any Member willing to advance same all or any part of the moneys uncalled and unpaid upon any Shares held by him, and upon all or any of the moneys so advanced may pay (until the same would, but for such advance, become payable) interest at such rate, not exceeding (unless the Company in general meeting otherwise directs) 15 per cent. per annum, as may be agreed upon between the Directors and the Member paying such sum in advance.</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692" w:hanging="692"/>
        <w:spacing w:after="0"/>
        <w:tabs>
          <w:tab w:leader="none" w:pos="69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Notice requiring payment</w:t>
      </w:r>
    </w:p>
    <w:p>
      <w:pPr>
        <w:spacing w:after="0" w:line="256" w:lineRule="exact"/>
        <w:rPr>
          <w:rFonts w:ascii="Arial" w:cs="Arial" w:eastAsia="Arial" w:hAnsi="Arial"/>
          <w:sz w:val="18"/>
          <w:szCs w:val="18"/>
          <w:b w:val="1"/>
          <w:bCs w:val="1"/>
          <w:color w:val="auto"/>
        </w:rPr>
      </w:pPr>
    </w:p>
    <w:p>
      <w:pPr>
        <w:ind w:left="1372" w:hanging="724"/>
        <w:spacing w:after="0" w:line="264" w:lineRule="auto"/>
        <w:tabs>
          <w:tab w:leader="none" w:pos="1372"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a Member fails to pay any call or installment of a call on the day appointed for payment thereof, the Directors, at any time thereafter during such times as any part of the call or installment remains unpaid, may serve a notice on him requiring payment of so much of the call or installment as is unpaid together with any interest which may have accrued.</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1372" w:right="360" w:hanging="724"/>
        <w:spacing w:after="0" w:line="264" w:lineRule="auto"/>
        <w:tabs>
          <w:tab w:leader="none" w:pos="137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27" w:name="page128"/>
    <w:bookmarkEnd w:id="127"/>
    <w:p>
      <w:pPr>
        <w:ind w:left="1372" w:right="200" w:hanging="724"/>
        <w:spacing w:after="0" w:line="279" w:lineRule="auto"/>
        <w:tabs>
          <w:tab w:leader="none" w:pos="1372"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moneys payable in respect of the forfeited Shares and not paid before forfeiture. The Directors may accept a surrender of any Share liable to be forfeited hereunder.</w:t>
      </w:r>
    </w:p>
    <w:p>
      <w:pPr>
        <w:spacing w:after="0" w:line="198" w:lineRule="exact"/>
        <w:rPr>
          <w:rFonts w:ascii="Arial" w:cs="Arial" w:eastAsia="Arial" w:hAnsi="Arial"/>
          <w:sz w:val="17"/>
          <w:szCs w:val="17"/>
          <w:color w:val="auto"/>
        </w:rPr>
      </w:pPr>
    </w:p>
    <w:p>
      <w:pPr>
        <w:ind w:left="1372" w:right="140" w:hanging="724"/>
        <w:spacing w:after="0" w:line="276" w:lineRule="auto"/>
        <w:tabs>
          <w:tab w:leader="none" w:pos="1372" w:val="left"/>
        </w:tabs>
        <w:numPr>
          <w:ilvl w:val="1"/>
          <w:numId w:val="71"/>
        </w:numPr>
        <w:rPr>
          <w:rFonts w:ascii="Arial" w:cs="Arial" w:eastAsia="Arial" w:hAnsi="Arial"/>
          <w:sz w:val="17"/>
          <w:szCs w:val="17"/>
          <w:color w:val="auto"/>
        </w:rPr>
      </w:pPr>
      <w:r>
        <w:rPr>
          <w:rFonts w:ascii="Arial" w:cs="Arial" w:eastAsia="Arial" w:hAnsi="Arial"/>
          <w:sz w:val="17"/>
          <w:szCs w:val="17"/>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accordance with these Articles, and it shall not be necessary to prove the appointment of the Directors who made such call nor any other matters whatsoever, but the proof of the matters aforesaid shall be conclusive evidence of the debt.</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692" w:hanging="692"/>
        <w:spacing w:after="0"/>
        <w:tabs>
          <w:tab w:leader="none" w:pos="69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Power of disposal</w:t>
      </w:r>
    </w:p>
    <w:p>
      <w:pPr>
        <w:spacing w:after="0" w:line="256" w:lineRule="exact"/>
        <w:rPr>
          <w:rFonts w:ascii="Arial" w:cs="Arial" w:eastAsia="Arial" w:hAnsi="Arial"/>
          <w:sz w:val="18"/>
          <w:szCs w:val="18"/>
          <w:b w:val="1"/>
          <w:bCs w:val="1"/>
          <w:color w:val="auto"/>
        </w:rPr>
      </w:pPr>
    </w:p>
    <w:p>
      <w:pPr>
        <w:ind w:left="69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 forfeited Share may be sold or otherwise disposed of on such terms and in such manner as the Directors think fit and at any time before a sale or disposal the forfeiture may be cancelled on such terms as the Directors think fit. Where for the purposes of its disposal such a Share is to be transferred to any person, the Directors may take such steps as the Directors consider are necessary or desirable in order to effect such sale and, for this purpose, may authorise some person to execute an instrument of transfer of the Share to that person. The Company may receive the consideration, if any, given for the Share on any sale or disposal thereof and may execute a transfer of the Share in favour of the person to whom the Share is sold or disposed of and thereupon he shall be registered as the Holder of the Share and shall not be bound to see to the application of the purchase moneys, nor shall his title to the Share be affected by any irregularity or invalidity in the proceedings in reference to the forfeiture, sale or disposal of the Share and after the name of the transferee has been entered in the Register the remedy of any person aggrieved by the sale shall be in damages only and against the Company exclusively.</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692" w:hanging="692"/>
        <w:spacing w:after="0"/>
        <w:tabs>
          <w:tab w:leader="none" w:pos="69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forfeiture</w:t>
      </w:r>
    </w:p>
    <w:p>
      <w:pPr>
        <w:spacing w:after="0" w:line="256" w:lineRule="exact"/>
        <w:rPr>
          <w:rFonts w:ascii="Arial" w:cs="Arial" w:eastAsia="Arial" w:hAnsi="Arial"/>
          <w:sz w:val="18"/>
          <w:szCs w:val="18"/>
          <w:b w:val="1"/>
          <w:bCs w:val="1"/>
          <w:color w:val="auto"/>
        </w:rPr>
      </w:pPr>
    </w:p>
    <w:p>
      <w:pPr>
        <w:ind w:left="692"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person whose Shares have been forfeited shall cease to be a Member in respect of the forfeited Shares, but nevertheless shall remain liable to pay to the Company all moneys which, at the date of forfeiture, were payable by him to the Company in respect of the Shares, but his liability shall cease if and when the Company shall have received payment in full of all such moneys in respect of the Shares.</w:t>
      </w:r>
    </w:p>
    <w:p>
      <w:pPr>
        <w:spacing w:after="0" w:line="200" w:lineRule="exact"/>
        <w:rPr>
          <w:rFonts w:ascii="Arial" w:cs="Arial" w:eastAsia="Arial" w:hAnsi="Arial"/>
          <w:sz w:val="18"/>
          <w:szCs w:val="18"/>
          <w:b w:val="1"/>
          <w:bCs w:val="1"/>
          <w:color w:val="auto"/>
        </w:rPr>
      </w:pPr>
    </w:p>
    <w:p>
      <w:pPr>
        <w:spacing w:after="0" w:line="231" w:lineRule="exact"/>
        <w:rPr>
          <w:rFonts w:ascii="Arial" w:cs="Arial" w:eastAsia="Arial" w:hAnsi="Arial"/>
          <w:sz w:val="18"/>
          <w:szCs w:val="18"/>
          <w:b w:val="1"/>
          <w:bCs w:val="1"/>
          <w:color w:val="auto"/>
        </w:rPr>
      </w:pPr>
    </w:p>
    <w:p>
      <w:pPr>
        <w:ind w:left="692" w:hanging="692"/>
        <w:spacing w:after="0"/>
        <w:tabs>
          <w:tab w:leader="none" w:pos="69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declaration</w:t>
      </w:r>
    </w:p>
    <w:p>
      <w:pPr>
        <w:spacing w:after="0" w:line="256" w:lineRule="exact"/>
        <w:rPr>
          <w:rFonts w:ascii="Arial" w:cs="Arial" w:eastAsia="Arial" w:hAnsi="Arial"/>
          <w:sz w:val="18"/>
          <w:szCs w:val="18"/>
          <w:b w:val="1"/>
          <w:bCs w:val="1"/>
          <w:color w:val="auto"/>
        </w:rPr>
      </w:pPr>
    </w:p>
    <w:p>
      <w:pPr>
        <w:ind w:left="692"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 statutory declaration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spacing w:after="0" w:line="389" w:lineRule="exact"/>
        <w:rPr>
          <w:rFonts w:ascii="Arial" w:cs="Arial" w:eastAsia="Arial" w:hAnsi="Arial"/>
          <w:sz w:val="18"/>
          <w:szCs w:val="18"/>
          <w:b w:val="1"/>
          <w:bCs w:val="1"/>
          <w:color w:val="auto"/>
        </w:rPr>
      </w:pPr>
    </w:p>
    <w:p>
      <w:pPr>
        <w:ind w:left="692" w:hanging="692"/>
        <w:spacing w:after="0"/>
        <w:tabs>
          <w:tab w:leader="none" w:pos="69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Non-payment of sums due on Share issues</w:t>
      </w:r>
    </w:p>
    <w:p>
      <w:pPr>
        <w:spacing w:after="0" w:line="256" w:lineRule="exact"/>
        <w:rPr>
          <w:rFonts w:ascii="Arial" w:cs="Arial" w:eastAsia="Arial" w:hAnsi="Arial"/>
          <w:sz w:val="18"/>
          <w:szCs w:val="18"/>
          <w:b w:val="1"/>
          <w:bCs w:val="1"/>
          <w:color w:val="auto"/>
        </w:rPr>
      </w:pPr>
    </w:p>
    <w:p>
      <w:pPr>
        <w:jc w:val="both"/>
        <w:ind w:left="692"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Part VI - Conversion of Shares into Stock</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Shares into stock</w:t>
      </w:r>
    </w:p>
    <w:p>
      <w:pPr>
        <w:spacing w:after="0" w:line="25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6"/>
          <w:szCs w:val="16"/>
          <w:color w:val="auto"/>
        </w:rPr>
        <w:t>The Company by ordinary resolution may convert any paid up Shares into stock and reconvert any stock into paid up Shares of any denomination.</w:t>
      </w:r>
    </w:p>
    <w:p>
      <w:pPr>
        <w:spacing w:after="0" w:line="200" w:lineRule="exact"/>
        <w:rPr>
          <w:rFonts w:ascii="Arial" w:cs="Arial" w:eastAsia="Arial" w:hAnsi="Arial"/>
          <w:sz w:val="18"/>
          <w:szCs w:val="18"/>
          <w:b w:val="1"/>
          <w:bCs w:val="1"/>
          <w:color w:val="auto"/>
        </w:rPr>
      </w:pPr>
    </w:p>
    <w:p>
      <w:pPr>
        <w:spacing w:after="0" w:line="314" w:lineRule="exact"/>
        <w:rPr>
          <w:rFonts w:ascii="Arial" w:cs="Arial" w:eastAsia="Arial" w:hAnsi="Arial"/>
          <w:sz w:val="18"/>
          <w:szCs w:val="18"/>
          <w:b w:val="1"/>
          <w:bCs w:val="1"/>
          <w:color w:val="auto"/>
        </w:rPr>
      </w:pPr>
    </w:p>
    <w:p>
      <w:pPr>
        <w:ind w:left="700" w:hanging="692"/>
        <w:spacing w:after="0"/>
        <w:tabs>
          <w:tab w:leader="none" w:pos="7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stock</w:t>
      </w:r>
    </w:p>
    <w:p>
      <w:pPr>
        <w:spacing w:after="0" w:line="256" w:lineRule="exact"/>
        <w:rPr>
          <w:rFonts w:ascii="Arial" w:cs="Arial" w:eastAsia="Arial" w:hAnsi="Arial"/>
          <w:sz w:val="18"/>
          <w:szCs w:val="18"/>
          <w:b w:val="1"/>
          <w:bCs w:val="1"/>
          <w:color w:val="auto"/>
        </w:rPr>
      </w:pPr>
    </w:p>
    <w:p>
      <w:pPr>
        <w:jc w:val="both"/>
        <w:ind w:left="7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holders of stock may transfer the same or any part thereof, in the same manner, and subject to the same regulations, as and subject to which the Shares from which the stock arose might have been transferred before conversion, or as near thereto as circumstances admit; and the Directors may fix from time to time the minimum amount of stock transferable but so that such minimum shall not exceed the nominal amount of each Share from which the stock arose.</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700" w:hanging="692"/>
        <w:spacing w:after="0"/>
        <w:tabs>
          <w:tab w:leader="none" w:pos="7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stockholders</w:t>
      </w:r>
    </w:p>
    <w:p>
      <w:pPr>
        <w:spacing w:after="0" w:line="256" w:lineRule="exact"/>
        <w:rPr>
          <w:rFonts w:ascii="Arial" w:cs="Arial" w:eastAsia="Arial" w:hAnsi="Arial"/>
          <w:sz w:val="18"/>
          <w:szCs w:val="18"/>
          <w:b w:val="1"/>
          <w:bCs w:val="1"/>
          <w:color w:val="auto"/>
        </w:rPr>
      </w:pPr>
    </w:p>
    <w:p>
      <w:pPr>
        <w:ind w:left="1380" w:right="220" w:hanging="724"/>
        <w:spacing w:after="0" w:line="302" w:lineRule="auto"/>
        <w:tabs>
          <w:tab w:leader="none" w:pos="13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holders of stock shall have, according to the amount of stock held by them, the same rights, privileges and advantages in relation to dividends, voting at meetings of the Company and other matters as if they held the Shares from which the stock arose, but no such right, privilege or advantage (except participation in the dividends and profits of the Company and in the assets on winding up) shall be conferred by an amount of stock which, if existing in Shares, would not have conferred that right, privilege or advantage.</w:t>
      </w:r>
    </w:p>
    <w:p>
      <w:pPr>
        <w:spacing w:after="0" w:line="181" w:lineRule="exact"/>
        <w:rPr>
          <w:rFonts w:ascii="Arial" w:cs="Arial" w:eastAsia="Arial" w:hAnsi="Arial"/>
          <w:sz w:val="16"/>
          <w:szCs w:val="16"/>
          <w:color w:val="auto"/>
        </w:rPr>
      </w:pPr>
    </w:p>
    <w:p>
      <w:pPr>
        <w:ind w:left="1380" w:right="480" w:hanging="724"/>
        <w:spacing w:after="0" w:line="277" w:lineRule="auto"/>
        <w:tabs>
          <w:tab w:leader="none" w:pos="13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of these Articles as are applicable to paid up Shares shall apply to stock, and the words "Share" and "Shareholder" therein shall include "stock" and "stockholder".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VII - Transfer of Shares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Form of instrument of transfer</w:t>
      </w:r>
    </w:p>
    <w:p>
      <w:pPr>
        <w:spacing w:after="0" w:line="256" w:lineRule="exact"/>
        <w:rPr>
          <w:rFonts w:ascii="Arial" w:cs="Arial" w:eastAsia="Arial" w:hAnsi="Arial"/>
          <w:sz w:val="18"/>
          <w:szCs w:val="18"/>
          <w:b w:val="1"/>
          <w:bCs w:val="1"/>
          <w:color w:val="auto"/>
        </w:rPr>
      </w:pPr>
    </w:p>
    <w:p>
      <w:pPr>
        <w:ind w:left="70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Subject to such of the restrictions of these Articles and to such of the conditions of issue or transfer as may be applicable, the Shares of any Member may be transferred by instrument in writing (including writing in electronic form) in any usual or common form or any other form which the Directors may approve.</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700" w:hanging="692"/>
        <w:spacing w:after="0"/>
        <w:tabs>
          <w:tab w:leader="none" w:pos="7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instrument of transfer</w:t>
      </w:r>
    </w:p>
    <w:p>
      <w:pPr>
        <w:spacing w:after="0" w:line="256" w:lineRule="exact"/>
        <w:rPr>
          <w:rFonts w:ascii="Arial" w:cs="Arial" w:eastAsia="Arial" w:hAnsi="Arial"/>
          <w:sz w:val="18"/>
          <w:szCs w:val="18"/>
          <w:b w:val="1"/>
          <w:bCs w:val="1"/>
          <w:color w:val="auto"/>
        </w:rPr>
      </w:pPr>
    </w:p>
    <w:p>
      <w:pPr>
        <w:ind w:left="70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instrument of transfer of any Share shall be executed by or on behalf of the transferor and, in cases where the Share is not fully paid, by or on behalf of the transferee. The transferor shall be deemed to remain the Holder of the Share until the name of the transferee is entered in the Register in respect thereof.</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700" w:hanging="692"/>
        <w:spacing w:after="0"/>
        <w:tabs>
          <w:tab w:leader="none" w:pos="7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Refusal to register transfers</w:t>
      </w:r>
    </w:p>
    <w:p>
      <w:pPr>
        <w:spacing w:after="0" w:line="256" w:lineRule="exact"/>
        <w:rPr>
          <w:rFonts w:ascii="Arial" w:cs="Arial" w:eastAsia="Arial" w:hAnsi="Arial"/>
          <w:sz w:val="18"/>
          <w:szCs w:val="18"/>
          <w:b w:val="1"/>
          <w:bCs w:val="1"/>
          <w:color w:val="auto"/>
        </w:rPr>
      </w:pPr>
    </w:p>
    <w:p>
      <w:pPr>
        <w:ind w:left="1380" w:hanging="724"/>
        <w:spacing w:after="0" w:line="312" w:lineRule="auto"/>
        <w:tabs>
          <w:tab w:leader="none" w:pos="13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Directors in their absolute discretion and without assigning any reason therefor may decline to register any transfer of a Share which is not fully paid save and however, that in the case of such a Share which is admitted to listing on any of The Stock Exchanges such restriction shall not operate so as to prevent dealings in such a Share of the Company from taking place on an open and proper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9" w:name="page130"/>
    <w:bookmarkEnd w:id="129"/>
    <w:p>
      <w:pPr>
        <w:ind w:left="1372" w:right="40" w:hanging="724"/>
        <w:spacing w:after="0" w:line="285" w:lineRule="auto"/>
        <w:tabs>
          <w:tab w:leader="none" w:pos="1372"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Directors shall not register any person as a Holder of any Share in the Company (other than an allottee under an issue of Shares by way of capitalisation of profits or reserves made pursuant to these Articles or a Stock Exchange Nominee or a Depositary) unless such person has furnished to the Directors a declaration (in such form as the Directors may from time to time prescribe) signed by him or on his behalf (or, in the case of a corporation, sealed by the corporation or signed on its behalf by an attorney or duly authorised officer of the corporation), together with such evidence as the Directors may require of the authority of any signatory on behalf of such person, stating</w:t>
      </w:r>
    </w:p>
    <w:p>
      <w:pPr>
        <w:spacing w:after="0" w:line="2" w:lineRule="exact"/>
        <w:rPr>
          <w:rFonts w:ascii="Arial" w:cs="Arial" w:eastAsia="Arial" w:hAnsi="Arial"/>
          <w:sz w:val="16"/>
          <w:szCs w:val="16"/>
          <w:color w:val="auto"/>
        </w:rPr>
      </w:pPr>
    </w:p>
    <w:p>
      <w:pPr>
        <w:ind w:left="1372" w:firstLine="6"/>
        <w:spacing w:after="0" w:line="252" w:lineRule="auto"/>
        <w:tabs>
          <w:tab w:leader="none" w:pos="1587"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name and nationality of any person who has an Interest in any such Share and (if such declaration or the Directors so require) the nature and extent of the Interest of each such person or (ii) such other information as the Directors may from time to time determine. The Directors shall in any case where they may consider it appropriate require such person to provide such evidence or give such information as to the matters referred to in the declaration as they think fit. The Directors shall decline to register any person as a Holder of a Share if such further evidence or information is not provided or given. The Directors shall, so long as they act reasonably and in good faith, be under no liability to the Company or to any other person if they register any person as the Holder of a Share on the basis of a declaration or other evidence or information provided pursuant to this Article which declaration, evidence or information appears on its face to be correct.</w:t>
      </w:r>
    </w:p>
    <w:p>
      <w:pPr>
        <w:spacing w:after="0" w:line="218" w:lineRule="exact"/>
        <w:rPr>
          <w:rFonts w:ascii="Arial" w:cs="Arial" w:eastAsia="Arial" w:hAnsi="Arial"/>
          <w:sz w:val="18"/>
          <w:szCs w:val="18"/>
          <w:color w:val="auto"/>
        </w:rPr>
      </w:pPr>
    </w:p>
    <w:p>
      <w:pPr>
        <w:ind w:left="1372" w:hanging="724"/>
        <w:spacing w:after="0"/>
        <w:tabs>
          <w:tab w:leader="none" w:pos="1372"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Directors may decline to recognise any instrument of transfer unless:-</w:t>
      </w:r>
    </w:p>
    <w:p>
      <w:pPr>
        <w:spacing w:after="0" w:line="252" w:lineRule="exact"/>
        <w:rPr>
          <w:rFonts w:ascii="Arial" w:cs="Arial" w:eastAsia="Arial" w:hAnsi="Arial"/>
          <w:sz w:val="18"/>
          <w:szCs w:val="18"/>
          <w:color w:val="auto"/>
        </w:rPr>
      </w:pPr>
    </w:p>
    <w:p>
      <w:pPr>
        <w:ind w:left="2072" w:right="320" w:hanging="694"/>
        <w:spacing w:after="0" w:line="264" w:lineRule="auto"/>
        <w:tabs>
          <w:tab w:leader="none" w:pos="2072"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instrument of transfer is accompanied by the certificate of the Shares to which it relates and such other evidence as the Directors may reasonably require to show the right of the transferor to make the transfer (save where the transferor is a Stock Exchange Nominee);</w:t>
      </w:r>
    </w:p>
    <w:p>
      <w:pPr>
        <w:spacing w:after="0" w:line="208" w:lineRule="exact"/>
        <w:rPr>
          <w:rFonts w:ascii="Arial" w:cs="Arial" w:eastAsia="Arial" w:hAnsi="Arial"/>
          <w:sz w:val="18"/>
          <w:szCs w:val="18"/>
          <w:color w:val="auto"/>
        </w:rPr>
      </w:pPr>
    </w:p>
    <w:p>
      <w:pPr>
        <w:ind w:left="2072" w:hanging="694"/>
        <w:spacing w:after="0"/>
        <w:tabs>
          <w:tab w:leader="none" w:pos="2072"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instrument of transfer is in respect of one class of Share only;</w:t>
      </w:r>
    </w:p>
    <w:p>
      <w:pPr>
        <w:spacing w:after="0" w:line="252" w:lineRule="exact"/>
        <w:rPr>
          <w:rFonts w:ascii="Arial" w:cs="Arial" w:eastAsia="Arial" w:hAnsi="Arial"/>
          <w:sz w:val="18"/>
          <w:szCs w:val="18"/>
          <w:color w:val="auto"/>
        </w:rPr>
      </w:pPr>
    </w:p>
    <w:p>
      <w:pPr>
        <w:ind w:left="2072" w:hanging="694"/>
        <w:spacing w:after="0"/>
        <w:tabs>
          <w:tab w:leader="none" w:pos="2072"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instrument of transfer is in favour of not more than four transferees; and</w:t>
      </w:r>
    </w:p>
    <w:p>
      <w:pPr>
        <w:spacing w:after="0" w:line="252" w:lineRule="exact"/>
        <w:rPr>
          <w:rFonts w:ascii="Arial" w:cs="Arial" w:eastAsia="Arial" w:hAnsi="Arial"/>
          <w:sz w:val="18"/>
          <w:szCs w:val="18"/>
          <w:color w:val="auto"/>
        </w:rPr>
      </w:pPr>
    </w:p>
    <w:p>
      <w:pPr>
        <w:ind w:left="2072" w:hanging="694"/>
        <w:spacing w:after="0"/>
        <w:tabs>
          <w:tab w:leader="none" w:pos="2072" w:val="left"/>
        </w:tabs>
        <w:numPr>
          <w:ilvl w:val="2"/>
          <w:numId w:val="75"/>
        </w:numPr>
        <w:rPr>
          <w:rFonts w:ascii="Arial" w:cs="Arial" w:eastAsia="Arial" w:hAnsi="Arial"/>
          <w:sz w:val="18"/>
          <w:szCs w:val="18"/>
          <w:color w:val="auto"/>
        </w:rPr>
      </w:pPr>
      <w:r>
        <w:rPr>
          <w:rFonts w:ascii="Arial" w:cs="Arial" w:eastAsia="Arial" w:hAnsi="Arial"/>
          <w:sz w:val="18"/>
          <w:szCs w:val="18"/>
          <w:color w:val="auto"/>
        </w:rPr>
        <w:t>it is lodged at the Office or at such other place as the Directors may appoint.</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ind w:left="692" w:hanging="692"/>
        <w:spacing w:after="0"/>
        <w:tabs>
          <w:tab w:leader="none" w:pos="69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on refusal</w:t>
      </w:r>
    </w:p>
    <w:p>
      <w:pPr>
        <w:spacing w:after="0" w:line="256" w:lineRule="exact"/>
        <w:rPr>
          <w:rFonts w:ascii="Arial" w:cs="Arial" w:eastAsia="Arial" w:hAnsi="Arial"/>
          <w:sz w:val="18"/>
          <w:szCs w:val="18"/>
          <w:b w:val="1"/>
          <w:bCs w:val="1"/>
          <w:color w:val="auto"/>
        </w:rPr>
      </w:pPr>
    </w:p>
    <w:p>
      <w:pPr>
        <w:ind w:left="69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the Directors refuse to register a transfer then, within two months after the date on which the transfer was lodged with the Company, they shall send to the transferee notice of the refusal.</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692" w:hanging="692"/>
        <w:spacing w:after="0"/>
        <w:tabs>
          <w:tab w:leader="none" w:pos="69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Closing of transfer books</w:t>
      </w:r>
    </w:p>
    <w:p>
      <w:pPr>
        <w:spacing w:after="0" w:line="256" w:lineRule="exact"/>
        <w:rPr>
          <w:rFonts w:ascii="Arial" w:cs="Arial" w:eastAsia="Arial" w:hAnsi="Arial"/>
          <w:sz w:val="18"/>
          <w:szCs w:val="18"/>
          <w:b w:val="1"/>
          <w:bCs w:val="1"/>
          <w:color w:val="auto"/>
        </w:rPr>
      </w:pPr>
    </w:p>
    <w:p>
      <w:pPr>
        <w:ind w:left="69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registration of transfers of Shares either generally or in respect of any class of Shares may be suspended at such times and for such periods (not exceeding thirty days in each year) as the Directors may determine.</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692" w:hanging="692"/>
        <w:spacing w:after="0"/>
        <w:tabs>
          <w:tab w:leader="none" w:pos="69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Absence of registration fees</w:t>
      </w:r>
    </w:p>
    <w:p>
      <w:pPr>
        <w:spacing w:after="0" w:line="256" w:lineRule="exact"/>
        <w:rPr>
          <w:rFonts w:ascii="Arial" w:cs="Arial" w:eastAsia="Arial" w:hAnsi="Arial"/>
          <w:sz w:val="18"/>
          <w:szCs w:val="18"/>
          <w:b w:val="1"/>
          <w:bCs w:val="1"/>
          <w:color w:val="auto"/>
        </w:rPr>
      </w:pPr>
    </w:p>
    <w:p>
      <w:pPr>
        <w:ind w:left="692"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fee shall be charged for the registration of any instrument of transfer or other document or instructions relating to or affecting the title to any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30" w:name="page131"/>
    <w:bookmarkEnd w:id="130"/>
    <w:p>
      <w:pPr>
        <w:ind w:left="700" w:hanging="692"/>
        <w:spacing w:after="0"/>
        <w:tabs>
          <w:tab w:leader="none" w:pos="7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Retention of transfer instruments</w:t>
      </w:r>
    </w:p>
    <w:p>
      <w:pPr>
        <w:spacing w:after="0" w:line="256" w:lineRule="exact"/>
        <w:rPr>
          <w:rFonts w:ascii="Arial" w:cs="Arial" w:eastAsia="Arial" w:hAnsi="Arial"/>
          <w:sz w:val="18"/>
          <w:szCs w:val="18"/>
          <w:b w:val="1"/>
          <w:bCs w:val="1"/>
          <w:color w:val="auto"/>
        </w:rPr>
      </w:pPr>
    </w:p>
    <w:p>
      <w:pPr>
        <w:ind w:left="7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be entitled to retain any instrument of transfer which is registered, but any instrument of transfer which the Directors refuse to register shall be returned to the person lodging it when notice of the refusal is given.</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700" w:hanging="692"/>
        <w:spacing w:after="0"/>
        <w:tabs>
          <w:tab w:leader="none" w:pos="7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Renunciation of allotment</w:t>
      </w:r>
    </w:p>
    <w:p>
      <w:pPr>
        <w:spacing w:after="0" w:line="256" w:lineRule="exact"/>
        <w:rPr>
          <w:rFonts w:ascii="Arial" w:cs="Arial" w:eastAsia="Arial" w:hAnsi="Arial"/>
          <w:sz w:val="18"/>
          <w:szCs w:val="18"/>
          <w:b w:val="1"/>
          <w:bCs w:val="1"/>
          <w:color w:val="auto"/>
        </w:rPr>
      </w:pPr>
    </w:p>
    <w:p>
      <w:pPr>
        <w:ind w:left="70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Nothing in these Articles shall preclude the Directors from recognising a renunciation of the allotment of any Shares by the allottee in favour of some other person.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VIII - Bearer Warrants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Power to Issue Share Warrants to Bearer</w:t>
      </w:r>
    </w:p>
    <w:p>
      <w:pPr>
        <w:spacing w:after="0" w:line="256" w:lineRule="exact"/>
        <w:rPr>
          <w:rFonts w:ascii="Arial" w:cs="Arial" w:eastAsia="Arial" w:hAnsi="Arial"/>
          <w:sz w:val="18"/>
          <w:szCs w:val="18"/>
          <w:b w:val="1"/>
          <w:bCs w:val="1"/>
          <w:color w:val="auto"/>
        </w:rPr>
      </w:pPr>
    </w:p>
    <w:p>
      <w:pPr>
        <w:ind w:left="1380" w:right="40" w:hanging="683"/>
        <w:spacing w:after="0" w:line="279" w:lineRule="auto"/>
        <w:tabs>
          <w:tab w:leader="none" w:pos="13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Subject to the provisions of the 1963 Act the Directors may with respect to paid up Ordinary Shares issue under the seal of the Company Share Warrants to bearer stating that the bearer is entitled to the Shares therein specified (a "Warrantholder") and may provide, by coupons or otherwise, for the payment of future dividends or any other rights arising in the Shares included in such Warrant. All Shares while represented by Warrants shall be transferable by delivery of the Warrants relating thereto.</w:t>
      </w:r>
    </w:p>
    <w:p>
      <w:pPr>
        <w:spacing w:after="0" w:line="198" w:lineRule="exact"/>
        <w:rPr>
          <w:rFonts w:ascii="Arial" w:cs="Arial" w:eastAsia="Arial" w:hAnsi="Arial"/>
          <w:sz w:val="17"/>
          <w:szCs w:val="17"/>
          <w:color w:val="auto"/>
        </w:rPr>
      </w:pPr>
    </w:p>
    <w:p>
      <w:pPr>
        <w:ind w:left="1380" w:right="60" w:hanging="683"/>
        <w:spacing w:after="0" w:line="312" w:lineRule="auto"/>
        <w:tabs>
          <w:tab w:leader="none" w:pos="13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Directors may determine, and from time to time vary, the conditions upon which Share Warrants may be issued and in particular upon which a new Share Warrant or coupon will be issued in place of one worn out, defaced or destroyed provided that no new Share Warrant shall be issued unless the Directors are satisfied beyond reasonable doubt that the original Warrant has been destroyed.</w:t>
      </w:r>
    </w:p>
    <w:p>
      <w:pPr>
        <w:spacing w:after="0" w:line="173" w:lineRule="exact"/>
        <w:rPr>
          <w:rFonts w:ascii="Arial" w:cs="Arial" w:eastAsia="Arial" w:hAnsi="Arial"/>
          <w:sz w:val="16"/>
          <w:szCs w:val="16"/>
          <w:color w:val="auto"/>
        </w:rPr>
      </w:pPr>
    </w:p>
    <w:p>
      <w:pPr>
        <w:ind w:left="1380" w:right="80" w:hanging="683"/>
        <w:spacing w:after="0" w:line="277" w:lineRule="auto"/>
        <w:tabs>
          <w:tab w:leader="none" w:pos="13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Subject to the provisions of the Acts, the bearer of a Share Warrant shall be deemed to be a Member of the Company to the full extent and shall be subject to the conditions relevant thereto for the time being enforced.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IX - Transmission of Shares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Death of Member</w:t>
      </w:r>
    </w:p>
    <w:p>
      <w:pPr>
        <w:spacing w:after="0" w:line="256" w:lineRule="exact"/>
        <w:rPr>
          <w:rFonts w:ascii="Arial" w:cs="Arial" w:eastAsia="Arial" w:hAnsi="Arial"/>
          <w:sz w:val="18"/>
          <w:szCs w:val="18"/>
          <w:b w:val="1"/>
          <w:bCs w:val="1"/>
          <w:color w:val="auto"/>
        </w:rPr>
      </w:pPr>
    </w:p>
    <w:p>
      <w:pPr>
        <w:ind w:left="700" w:right="2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If a Member dies the survivor or survivors where he was a joint Holder, and his personal representatives where he was a sole Holder or the only survivor of joint Holders, shall be the only persons recognised by the Company as having any title to his interest in the Shares; but nothing herein contained shall release the estate of a deceased Member from any liability in respect of any Share which had been jointly held by him.</w:t>
      </w:r>
    </w:p>
    <w:p>
      <w:pPr>
        <w:spacing w:after="0" w:line="200" w:lineRule="exact"/>
        <w:rPr>
          <w:rFonts w:ascii="Arial" w:cs="Arial" w:eastAsia="Arial" w:hAnsi="Arial"/>
          <w:sz w:val="18"/>
          <w:szCs w:val="18"/>
          <w:b w:val="1"/>
          <w:bCs w:val="1"/>
          <w:color w:val="auto"/>
        </w:rPr>
      </w:pPr>
    </w:p>
    <w:p>
      <w:pPr>
        <w:spacing w:after="0" w:line="212" w:lineRule="exact"/>
        <w:rPr>
          <w:rFonts w:ascii="Arial" w:cs="Arial" w:eastAsia="Arial" w:hAnsi="Arial"/>
          <w:sz w:val="18"/>
          <w:szCs w:val="18"/>
          <w:b w:val="1"/>
          <w:bCs w:val="1"/>
          <w:color w:val="auto"/>
        </w:rPr>
      </w:pPr>
    </w:p>
    <w:p>
      <w:pPr>
        <w:ind w:left="700" w:hanging="692"/>
        <w:spacing w:after="0"/>
        <w:tabs>
          <w:tab w:leader="none" w:pos="7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on death or bankruptcy</w:t>
      </w:r>
    </w:p>
    <w:p>
      <w:pPr>
        <w:spacing w:after="0" w:line="256" w:lineRule="exact"/>
        <w:rPr>
          <w:rFonts w:ascii="Arial" w:cs="Arial" w:eastAsia="Arial" w:hAnsi="Arial"/>
          <w:sz w:val="18"/>
          <w:szCs w:val="18"/>
          <w:b w:val="1"/>
          <w:bCs w:val="1"/>
          <w:color w:val="auto"/>
        </w:rPr>
      </w:pPr>
    </w:p>
    <w:p>
      <w:pPr>
        <w:ind w:left="7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 person becoming entitled to a Share in consequence of the death or bankruptcy of a Member may elect, upon such evidence being produced as the Directors may properly require, either to become the Holder of the Share or to have some person nominated by him registered as the transferee. If he elects to become the Holder he shall give notice to the Company to that effect. If he elects to have another person registered he shall execute an instrument of transfer of the Share to that person. All of the provisions of these Articles relating to the transfer of Shares shall apply to the notice or instrument of transfer as if it were an instrument of transfer executed by the Member and the death or bankruptcy of the Member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1" w:name="page132"/>
    <w:bookmarkEnd w:id="131"/>
    <w:p>
      <w:pPr>
        <w:ind w:left="700" w:hanging="692"/>
        <w:spacing w:after="0"/>
        <w:tabs>
          <w:tab w:leader="none" w:pos="7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Rights before registration</w:t>
      </w:r>
    </w:p>
    <w:p>
      <w:pPr>
        <w:spacing w:after="0" w:line="256" w:lineRule="exact"/>
        <w:rPr>
          <w:rFonts w:ascii="Arial" w:cs="Arial" w:eastAsia="Arial" w:hAnsi="Arial"/>
          <w:sz w:val="18"/>
          <w:szCs w:val="18"/>
          <w:b w:val="1"/>
          <w:bCs w:val="1"/>
          <w:color w:val="auto"/>
        </w:rPr>
      </w:pPr>
    </w:p>
    <w:p>
      <w:pPr>
        <w:ind w:left="70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 person becoming entitled to a Share by reason of the death or bankruptcy of a Member (upon supplying to the Company such evidence as the Directors may reasonably require to show his title to the Share) shall (notwithstanding that he is not entered on the Register as the holder of the Share) have the rights to which he would be entitled if he were the Holder of the Share, except that, before being registered as the Holder of the Share, he shall not be entitled in respect of it to attend or vote at any meeting of the Company or at any separate meeting of the Holders of any class of Shares in the Company, so, however, that the Directors, at any time, may give notice requiring any such person to elect either to be registered himself or to transfer the Share and, if the notice is not complied with within ninety days, the Directors thereupon may withhold payment of all dividends, bonuses or other moneys payable in respect of the Share until the requirements of the notice have been complied with.</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 - Alteration of Share Capital</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Increase of capital</w:t>
      </w:r>
    </w:p>
    <w:p>
      <w:pPr>
        <w:spacing w:after="0" w:line="256" w:lineRule="exact"/>
        <w:rPr>
          <w:rFonts w:ascii="Arial" w:cs="Arial" w:eastAsia="Arial" w:hAnsi="Arial"/>
          <w:sz w:val="18"/>
          <w:szCs w:val="18"/>
          <w:b w:val="1"/>
          <w:bCs w:val="1"/>
          <w:color w:val="auto"/>
        </w:rPr>
      </w:pPr>
    </w:p>
    <w:p>
      <w:pPr>
        <w:ind w:left="1380" w:right="420" w:hanging="724"/>
        <w:spacing w:after="0" w:line="277"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 from time to time by ordinary resolution may increase the share capital by such sum, to be divided into Shares of such amount, as the resolution shall prescribe.</w:t>
      </w:r>
    </w:p>
    <w:p>
      <w:pPr>
        <w:spacing w:after="0" w:line="197" w:lineRule="exact"/>
        <w:rPr>
          <w:rFonts w:ascii="Arial" w:cs="Arial" w:eastAsia="Arial" w:hAnsi="Arial"/>
          <w:sz w:val="18"/>
          <w:szCs w:val="18"/>
          <w:color w:val="auto"/>
        </w:rPr>
      </w:pPr>
    </w:p>
    <w:p>
      <w:pPr>
        <w:ind w:left="1380" w:right="80" w:hanging="724"/>
        <w:spacing w:after="0" w:line="279" w:lineRule="auto"/>
        <w:tabs>
          <w:tab w:leader="none" w:pos="13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Subject to the provisions of the Acts, the new Shares shall be issued to such persons, upon such terms and conditions and with such rights and privileges annexed thereto as the general meeting resolving upon the creation thereof shall direct and, if no direction be given, as the Directors shall determine and in particular such Shares may be issued with a preferential or qualified right to dividends and in the distribution of the assets of the Company and with a special, or without any, right of voting.</w:t>
      </w:r>
    </w:p>
    <w:p>
      <w:pPr>
        <w:spacing w:after="0" w:line="198" w:lineRule="exact"/>
        <w:rPr>
          <w:rFonts w:ascii="Arial" w:cs="Arial" w:eastAsia="Arial" w:hAnsi="Arial"/>
          <w:sz w:val="17"/>
          <w:szCs w:val="17"/>
          <w:color w:val="auto"/>
        </w:rPr>
      </w:pPr>
    </w:p>
    <w:p>
      <w:pPr>
        <w:ind w:left="1380" w:right="180" w:hanging="724"/>
        <w:spacing w:after="0" w:line="264"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Except so far as otherwise provided by the conditions of issue or by these Articles, any capital raised by the creation of new Shares shall be considered part of the pre-existing ordinary capital and shall be subject to the provisions herein contained with reference to calls and instalments, transfer and transmission, forfeiture, lien and otherwise.</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700" w:right="6540" w:hanging="692"/>
        <w:spacing w:after="0" w:line="534" w:lineRule="auto"/>
        <w:tabs>
          <w:tab w:leader="none" w:pos="7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Consolidation, sub-division and cancellation of capital </w:t>
      </w:r>
      <w:r>
        <w:rPr>
          <w:rFonts w:ascii="Arial" w:cs="Arial" w:eastAsia="Arial" w:hAnsi="Arial"/>
          <w:sz w:val="18"/>
          <w:szCs w:val="18"/>
          <w:color w:val="auto"/>
        </w:rPr>
        <w:t>The Company, by ordinary resolution, may:-</w:t>
      </w:r>
    </w:p>
    <w:p>
      <w:pPr>
        <w:spacing w:after="0" w:line="1" w:lineRule="exact"/>
        <w:rPr>
          <w:rFonts w:ascii="Arial" w:cs="Arial" w:eastAsia="Arial" w:hAnsi="Arial"/>
          <w:sz w:val="18"/>
          <w:szCs w:val="18"/>
          <w:b w:val="1"/>
          <w:bCs w:val="1"/>
          <w:color w:val="auto"/>
        </w:rPr>
      </w:pPr>
    </w:p>
    <w:p>
      <w:pPr>
        <w:ind w:left="1380" w:hanging="724"/>
        <w:spacing w:after="0"/>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w:t>
      </w:r>
    </w:p>
    <w:p>
      <w:pPr>
        <w:spacing w:after="0" w:line="252" w:lineRule="exact"/>
        <w:rPr>
          <w:rFonts w:ascii="Arial" w:cs="Arial" w:eastAsia="Arial" w:hAnsi="Arial"/>
          <w:sz w:val="18"/>
          <w:szCs w:val="18"/>
          <w:color w:val="auto"/>
        </w:rPr>
      </w:pPr>
    </w:p>
    <w:p>
      <w:pPr>
        <w:ind w:left="1380" w:hanging="724"/>
        <w:spacing w:after="0" w:line="255"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subject to the provisions of the Acts, subdivide its Shares, or any of them, into Shares of smaller amount, so however that in the sub-division the proportion between the amount paid and the amount, if any, unpaid on each reduced Share shall be the same as it was in the case of the Share from which the reduced Share is derived (and so that the resolution whereby any Share is sub-divided may determine that, as between the Holders of the Shares resulting from such sub-division, one or more of the Shares may have, as compared with the others, any such preferred, deferred or other rights or be subject to any such restrictions as the Company has power to attach to unissued or new Shares); or</w:t>
      </w:r>
    </w:p>
    <w:p>
      <w:pPr>
        <w:spacing w:after="0" w:line="220" w:lineRule="exact"/>
        <w:rPr>
          <w:rFonts w:ascii="Arial" w:cs="Arial" w:eastAsia="Arial" w:hAnsi="Arial"/>
          <w:sz w:val="18"/>
          <w:szCs w:val="18"/>
          <w:color w:val="auto"/>
        </w:rPr>
      </w:pPr>
    </w:p>
    <w:p>
      <w:pPr>
        <w:ind w:left="1380" w:right="160" w:hanging="724"/>
        <w:spacing w:after="0" w:line="277"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reduce the amount of its authorised share capital by the amount of the Shares so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32" w:name="page133"/>
    <w:bookmarkEnd w:id="132"/>
    <w:p>
      <w:pPr>
        <w:ind w:left="700" w:hanging="692"/>
        <w:spacing w:after="0"/>
        <w:tabs>
          <w:tab w:leader="none" w:pos="7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Fractions on consolidation</w:t>
      </w:r>
    </w:p>
    <w:p>
      <w:pPr>
        <w:spacing w:after="0" w:line="256" w:lineRule="exact"/>
        <w:rPr>
          <w:rFonts w:ascii="Arial" w:cs="Arial" w:eastAsia="Arial" w:hAnsi="Arial"/>
          <w:sz w:val="18"/>
          <w:szCs w:val="18"/>
          <w:b w:val="1"/>
          <w:bCs w:val="1"/>
          <w:color w:val="auto"/>
        </w:rPr>
      </w:pPr>
    </w:p>
    <w:p>
      <w:pPr>
        <w:ind w:left="700"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these Articles, whenever as a result of a consolidation of Shares any Members would become entitled to fractions of a Share, the Directors may sell, on behalf of those Members, the Shares representing the fraction for the best price reasonably obtainable to any person and distribute the proceeds of sale in due proportion among those Members, and the Directors may take such steps as the Directors consider are necessary or desirable in order to effect such sale and, for this purpose, may authorise any person to execute an instrument of transfer of the Shares to, or in accordance with the directions of, the purchaser. The transferee shall not be bound to see to the application of the purchase money nor shall his title to the Shares be affected by any irregularity in or invalidity of the proceedings in reference to the sale.</w:t>
      </w:r>
    </w:p>
    <w:p>
      <w:pPr>
        <w:spacing w:after="0" w:line="200" w:lineRule="exact"/>
        <w:rPr>
          <w:rFonts w:ascii="Arial" w:cs="Arial" w:eastAsia="Arial" w:hAnsi="Arial"/>
          <w:sz w:val="18"/>
          <w:szCs w:val="18"/>
          <w:b w:val="1"/>
          <w:bCs w:val="1"/>
          <w:color w:val="auto"/>
        </w:rPr>
      </w:pPr>
    </w:p>
    <w:p>
      <w:pPr>
        <w:spacing w:after="0" w:line="230" w:lineRule="exact"/>
        <w:rPr>
          <w:rFonts w:ascii="Arial" w:cs="Arial" w:eastAsia="Arial" w:hAnsi="Arial"/>
          <w:sz w:val="18"/>
          <w:szCs w:val="18"/>
          <w:b w:val="1"/>
          <w:bCs w:val="1"/>
          <w:color w:val="auto"/>
        </w:rPr>
      </w:pPr>
    </w:p>
    <w:p>
      <w:pPr>
        <w:ind w:left="700" w:hanging="692"/>
        <w:spacing w:after="0"/>
        <w:tabs>
          <w:tab w:leader="none" w:pos="7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Reduction of capital</w:t>
      </w:r>
    </w:p>
    <w:p>
      <w:pPr>
        <w:spacing w:after="0" w:line="256" w:lineRule="exact"/>
        <w:rPr>
          <w:rFonts w:ascii="Arial" w:cs="Arial" w:eastAsia="Arial" w:hAnsi="Arial"/>
          <w:sz w:val="18"/>
          <w:szCs w:val="18"/>
          <w:b w:val="1"/>
          <w:bCs w:val="1"/>
          <w:color w:val="auto"/>
        </w:rPr>
      </w:pPr>
    </w:p>
    <w:p>
      <w:pPr>
        <w:ind w:lef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by special resolution, may reduce its share capital, any capital redemption reserve fund or any share premium account in any manner and with, and subject to, any incident authorised, and consent required, by law.</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700" w:hanging="692"/>
        <w:spacing w:after="0"/>
        <w:tabs>
          <w:tab w:leader="none" w:pos="7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own Shares</w:t>
      </w:r>
    </w:p>
    <w:p>
      <w:pPr>
        <w:spacing w:after="0" w:line="256" w:lineRule="exact"/>
        <w:rPr>
          <w:rFonts w:ascii="Arial" w:cs="Arial" w:eastAsia="Arial" w:hAnsi="Arial"/>
          <w:sz w:val="18"/>
          <w:szCs w:val="18"/>
          <w:b w:val="1"/>
          <w:bCs w:val="1"/>
          <w:color w:val="auto"/>
        </w:rPr>
      </w:pPr>
    </w:p>
    <w:p>
      <w:pPr>
        <w:ind w:left="70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 Acts and to any rights conferred on the Holders of any class of Shares, the Company may purchase all or any of its Shares of any class (including any redeemable Shares). Every contract for the purchase of, or under which the Company may become entitled or obliged to purchase, Shares in the Company shall be authorised by a special resolution of the Company. Neither the Company nor the Directors shall be required to select the Shares to be purchased rateably or in any particular manner as between the Holders of Shares of the same class or as between them and the Holders of Shares of any other class or in accordance with the rights as to dividends or capital conferred by any class of Shares. Subject as aforesaid, the Company may cancel any Shares so purchased or may hold them as treasury Shares and issue any such treasury Shares as Shares of any class or classes or cancel them. Notwithstanding anything to the contrary contained in these Articles, the rights attached to any class of Shares shall be deemed not to be varied by anything done by the Company pursuant to this Article.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 - General Meetings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Annual general meetings</w:t>
      </w:r>
    </w:p>
    <w:p>
      <w:pPr>
        <w:spacing w:after="0" w:line="256" w:lineRule="exact"/>
        <w:rPr>
          <w:rFonts w:ascii="Arial" w:cs="Arial" w:eastAsia="Arial" w:hAnsi="Arial"/>
          <w:sz w:val="18"/>
          <w:szCs w:val="18"/>
          <w:b w:val="1"/>
          <w:bCs w:val="1"/>
          <w:color w:val="auto"/>
        </w:rPr>
      </w:pPr>
    </w:p>
    <w:p>
      <w:pPr>
        <w:ind w:left="7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shall hold in each year a general meeting as its annual general meeting in addition to any other meeting in that year and shall specify the meeting as such in the notices calling it. Not more than fifteen months shall elapse between the date of one annual general meeting and that of the next.</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700" w:hanging="692"/>
        <w:spacing w:after="0"/>
        <w:tabs>
          <w:tab w:leader="none" w:pos="7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Extraordinary general meetings</w:t>
      </w:r>
    </w:p>
    <w:p>
      <w:pPr>
        <w:spacing w:after="0" w:line="25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All general meetings other than annual general meetings shall be called extraordinary general meetings.</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700" w:hanging="692"/>
        <w:spacing w:after="0"/>
        <w:tabs>
          <w:tab w:leader="none" w:pos="7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Convening general meetings</w:t>
      </w:r>
    </w:p>
    <w:p>
      <w:pPr>
        <w:spacing w:after="0" w:line="256" w:lineRule="exact"/>
        <w:rPr>
          <w:rFonts w:ascii="Arial" w:cs="Arial" w:eastAsia="Arial" w:hAnsi="Arial"/>
          <w:sz w:val="18"/>
          <w:szCs w:val="18"/>
          <w:b w:val="1"/>
          <w:bCs w:val="1"/>
          <w:color w:val="auto"/>
        </w:rPr>
      </w:pPr>
    </w:p>
    <w:p>
      <w:pPr>
        <w:jc w:val="both"/>
        <w:ind w:left="70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Directors may convene general meetings. Extraordinary general meetings may also be convened by the Directors on such requisition, or in the event of default by the Directors may be convened by such requisitionists and in such manner, as may be provided by the Acts. If at any time there are not within the State sufficient Directors capable of acting to form a quorum, any Director or any two Members of the Company may convene an extraordinary general meeting in the same manner as nearly as possible as that in which general meetings may be convened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33" w:name="page134"/>
    <w:bookmarkEnd w:id="133"/>
    <w:p>
      <w:pPr>
        <w:ind w:left="692" w:hanging="692"/>
        <w:spacing w:after="0"/>
        <w:tabs>
          <w:tab w:leader="none" w:pos="69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general meetings</w:t>
      </w:r>
    </w:p>
    <w:p>
      <w:pPr>
        <w:spacing w:after="0" w:line="256" w:lineRule="exact"/>
        <w:rPr>
          <w:rFonts w:ascii="Arial" w:cs="Arial" w:eastAsia="Arial" w:hAnsi="Arial"/>
          <w:sz w:val="18"/>
          <w:szCs w:val="18"/>
          <w:b w:val="1"/>
          <w:bCs w:val="1"/>
          <w:color w:val="auto"/>
        </w:rPr>
      </w:pPr>
    </w:p>
    <w:p>
      <w:pPr>
        <w:ind w:left="1372" w:right="20" w:hanging="724"/>
        <w:spacing w:after="0" w:line="264" w:lineRule="auto"/>
        <w:tabs>
          <w:tab w:leader="none" w:pos="13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Subject to the provisions of the Acts allowing a general meeting to be called by shorter notice, an annual general meeting and an extraordinary general meeting called for the passing of a special resolution shall be called by at least twenty-one Clear Days' notice and all other extraordinary general meetings shall be called by at least fourteen Clear Days' notice.</w:t>
      </w:r>
    </w:p>
    <w:p>
      <w:pPr>
        <w:spacing w:after="0" w:line="208" w:lineRule="exact"/>
        <w:rPr>
          <w:rFonts w:ascii="Arial" w:cs="Arial" w:eastAsia="Arial" w:hAnsi="Arial"/>
          <w:sz w:val="18"/>
          <w:szCs w:val="18"/>
          <w:color w:val="auto"/>
        </w:rPr>
      </w:pPr>
    </w:p>
    <w:p>
      <w:pPr>
        <w:ind w:left="1372" w:hanging="724"/>
        <w:spacing w:after="0" w:line="272" w:lineRule="auto"/>
        <w:tabs>
          <w:tab w:leader="none" w:pos="1372" w:val="left"/>
        </w:tabs>
        <w:numPr>
          <w:ilvl w:val="1"/>
          <w:numId w:val="84"/>
        </w:numPr>
        <w:rPr>
          <w:rFonts w:ascii="Arial" w:cs="Arial" w:eastAsia="Arial" w:hAnsi="Arial"/>
          <w:sz w:val="17"/>
          <w:szCs w:val="17"/>
          <w:color w:val="auto"/>
        </w:rPr>
      </w:pPr>
      <w:r>
        <w:rPr>
          <w:rFonts w:ascii="Arial" w:cs="Arial" w:eastAsia="Arial" w:hAnsi="Arial"/>
          <w:sz w:val="17"/>
          <w:szCs w:val="17"/>
          <w:color w:val="auto"/>
        </w:rPr>
        <w:t>Any notice convening a general meeting shall specify the time and place of the meeting and, in the case of special business, the general nature of that business and, in reasonable prominence, that a Member entitled to attend and vote is entitled to appoint a proxy to attend, speak and vote in his place and that a proxy need not be a Member of the Company. It shall also give particulars of any Directors who are to retire by rotation or otherwise at the meeting and of any persons who are recommended by the Directors for appointment or re-appointment as Directors at the meeting, or in respect of whom notice has been duly given to the Company of the intention to propose them for appointment or re-appointment as Directors at the meeting. Subject to any restrictions imposed on any Shares, the notice shall be given to all the Members and to the Directors and the Auditors.</w:t>
      </w:r>
    </w:p>
    <w:p>
      <w:pPr>
        <w:spacing w:after="0" w:line="204" w:lineRule="exact"/>
        <w:rPr>
          <w:rFonts w:ascii="Arial" w:cs="Arial" w:eastAsia="Arial" w:hAnsi="Arial"/>
          <w:sz w:val="17"/>
          <w:szCs w:val="17"/>
          <w:color w:val="auto"/>
        </w:rPr>
      </w:pPr>
    </w:p>
    <w:p>
      <w:pPr>
        <w:ind w:left="1372" w:right="180" w:hanging="724"/>
        <w:spacing w:after="0" w:line="277" w:lineRule="auto"/>
        <w:tabs>
          <w:tab w:leader="none" w:pos="13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notice of a meeting by, any person entitled to receive notice shall not invalidate the proceedings at the meeting.</w:t>
      </w:r>
    </w:p>
    <w:p>
      <w:pPr>
        <w:spacing w:after="0" w:line="197" w:lineRule="exact"/>
        <w:rPr>
          <w:rFonts w:ascii="Arial" w:cs="Arial" w:eastAsia="Arial" w:hAnsi="Arial"/>
          <w:sz w:val="18"/>
          <w:szCs w:val="18"/>
          <w:color w:val="auto"/>
        </w:rPr>
      </w:pPr>
    </w:p>
    <w:p>
      <w:pPr>
        <w:ind w:left="1372" w:right="40" w:hanging="724"/>
        <w:spacing w:after="0" w:line="279" w:lineRule="auto"/>
        <w:tabs>
          <w:tab w:leader="none" w:pos="1372" w:val="left"/>
        </w:tabs>
        <w:numPr>
          <w:ilvl w:val="1"/>
          <w:numId w:val="84"/>
        </w:numPr>
        <w:rPr>
          <w:rFonts w:ascii="Arial" w:cs="Arial" w:eastAsia="Arial" w:hAnsi="Arial"/>
          <w:sz w:val="17"/>
          <w:szCs w:val="17"/>
          <w:color w:val="auto"/>
        </w:rPr>
      </w:pPr>
      <w:r>
        <w:rPr>
          <w:rFonts w:ascii="Arial" w:cs="Arial" w:eastAsia="Arial" w:hAnsi="Arial"/>
          <w:sz w:val="17"/>
          <w:szCs w:val="17"/>
          <w:color w:val="auto"/>
        </w:rPr>
        <w:t>Where, by any provision contained in the Acts, extended notice is required of a resolution, the resolution shall not be effective (except where the Directors of the Company have resolved to submit it) unless notice of the intention to move it has been given to the Company not less than such number of days as the Acts permit before the meeting at which it is moved, and the Company shall give to the Members notice of any such resolution as required by and in accordance with the provisions of the Acts.</w:t>
      </w:r>
    </w:p>
    <w:p>
      <w:pPr>
        <w:spacing w:after="0" w:line="198" w:lineRule="exact"/>
        <w:rPr>
          <w:rFonts w:ascii="Arial" w:cs="Arial" w:eastAsia="Arial" w:hAnsi="Arial"/>
          <w:sz w:val="17"/>
          <w:szCs w:val="17"/>
          <w:color w:val="auto"/>
        </w:rPr>
      </w:pPr>
    </w:p>
    <w:p>
      <w:pPr>
        <w:ind w:left="1372" w:right="20" w:hanging="724"/>
        <w:spacing w:after="0" w:line="268" w:lineRule="auto"/>
        <w:tabs>
          <w:tab w:leader="none" w:pos="1372"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Directors may, for the purpose of controlling the level of attendance at any place specified for the holding of a general meeting, from time to time make such arrangements whether involving the issue of tickets (on a basis intended to afford to all Members otherwise entitled to attend such meeting an equal opportunity of being admitted to the meeting) or the imposition of some random means of selection or otherwise as they shall in their absolute discretion consider to be appropriate, and may from time to time vary any such arrangements or make new arrangements in place therefor and the entitlement of any Member or proxy to attend a general meeting at such place shall be subject to any such arrangements as may be for the time being in force and by the notice of meeting stated to apply to that meeting. In the case of any general meeting to which such arrangements apply the Directors shall, and in the case of any other general meeting the Directors may, when specifying the place of the general meeting, direct that the meeting shall be held at a place specified in the notice at which the Chairman of the meeting shall preside ("the Principal Place") and make arrangements for simultaneous attendance and participation at other places by members otherwise entitled to attend the general meeting but excluded therefrom under the provisions of this Article or who wish to attend at any of such other places provided that persons attending at the Principal Place and at any of such other places shall be able to see and hear and be seen and heard by persons attending at the Principal Place and at such other places. Such arrangements for simultaneous attendance may include arrangements for controlling the level of attendance in any manner aforesaid at such other places provided that they shall operate so that any such excluded members as aforesaid are able to attend at one of such other places. For the purposes of all other provisions of these Articles any such meeting shall be treated as being held and taking place at the Principal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396240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3" w:right="27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Part XII - Proceedings at General Meetings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general meetings</w:t>
      </w:r>
    </w:p>
    <w:p>
      <w:pPr>
        <w:spacing w:after="0" w:line="256" w:lineRule="exact"/>
        <w:rPr>
          <w:rFonts w:ascii="Arial" w:cs="Arial" w:eastAsia="Arial" w:hAnsi="Arial"/>
          <w:sz w:val="18"/>
          <w:szCs w:val="18"/>
          <w:b w:val="1"/>
          <w:bCs w:val="1"/>
          <w:color w:val="auto"/>
        </w:rPr>
      </w:pPr>
    </w:p>
    <w:p>
      <w:pPr>
        <w:ind w:left="1380" w:hanging="724"/>
        <w:spacing w:after="0" w:line="286" w:lineRule="auto"/>
        <w:tabs>
          <w:tab w:leader="none" w:pos="13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No business other than the appointment of a Chairman shall be transacted at any general meeting unless a quorum of Members is present at the time when the meeting proceeds to business. Except as provided in relation to an adjourned meeting, three Members, present in person or by proxy, entitled to vote upon the business to be transacted, shall be a quorum.</w:t>
      </w:r>
    </w:p>
    <w:p>
      <w:pPr>
        <w:spacing w:after="0" w:line="192" w:lineRule="exact"/>
        <w:rPr>
          <w:rFonts w:ascii="Arial" w:cs="Arial" w:eastAsia="Arial" w:hAnsi="Arial"/>
          <w:sz w:val="17"/>
          <w:szCs w:val="17"/>
          <w:color w:val="auto"/>
        </w:rPr>
      </w:pPr>
    </w:p>
    <w:p>
      <w:pPr>
        <w:ind w:left="1380" w:right="160" w:hanging="724"/>
        <w:spacing w:after="0" w:line="297" w:lineRule="auto"/>
        <w:tabs>
          <w:tab w:leader="none" w:pos="13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If such a quorum is not present within half an hour from the time appointed for the meeting, or if during a meeting a quorum ceases to be present, the meeting shall stand adjourned to the same day in the next week at the same time and place, or to such time and place as the Directors may determine. If at the adjourned meeting such a quorum is not present within half an hour from the time appointed for the meeting, the meeting, if convened otherwise than by resolution of the Directors, shall be dissolved, but if the meeting shall have been convened by resolution of the Directors, two persons entitled to be counted in a quorum present at the meeting shall be a quorum.</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ind w:left="700" w:hanging="692"/>
        <w:spacing w:after="0"/>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Special business</w:t>
      </w:r>
    </w:p>
    <w:p>
      <w:pPr>
        <w:spacing w:after="0" w:line="256" w:lineRule="exact"/>
        <w:rPr>
          <w:rFonts w:ascii="Arial" w:cs="Arial" w:eastAsia="Arial" w:hAnsi="Arial"/>
          <w:sz w:val="18"/>
          <w:szCs w:val="18"/>
          <w:b w:val="1"/>
          <w:bCs w:val="1"/>
          <w:color w:val="auto"/>
        </w:rPr>
      </w:pPr>
    </w:p>
    <w:p>
      <w:pPr>
        <w:ind w:left="70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All business shall be deemed special that is transacted at an extraordinary general meeting. All business that is transacted at an annual general meeting shall also be deemed special with the exception of declaring a dividend, the consideration of the accounts, balance sheets and reports of the Directors and Auditors, the election of Directors in the place of those retiring (whether by rotation or otherwise), the fixing of the remuneration of the Directors, the re-appointment of the retiring Auditors and the fixing of the remuneration of the Auditors.</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700" w:hanging="692"/>
        <w:spacing w:after="0"/>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Chairman of general meetings</w:t>
      </w:r>
    </w:p>
    <w:p>
      <w:pPr>
        <w:spacing w:after="0" w:line="256" w:lineRule="exact"/>
        <w:rPr>
          <w:rFonts w:ascii="Arial" w:cs="Arial" w:eastAsia="Arial" w:hAnsi="Arial"/>
          <w:sz w:val="18"/>
          <w:szCs w:val="18"/>
          <w:b w:val="1"/>
          <w:bCs w:val="1"/>
          <w:color w:val="auto"/>
        </w:rPr>
      </w:pPr>
    </w:p>
    <w:p>
      <w:pPr>
        <w:jc w:val="both"/>
        <w:ind w:left="1380" w:right="40" w:hanging="724"/>
        <w:spacing w:after="0" w:line="302" w:lineRule="auto"/>
        <w:tabs>
          <w:tab w:leader="none" w:pos="13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Chairman of the board of Directors or, in his absence, the deputy Chairman (if any) or, in his absence, some other Director nominated by the Directors shall preside as Chairman at every general meeting of the Company. If at any general meeting none of such persons shall be present within fifteen minutes after the time appointed for the holding of the meeting and willing to act, the Directors present shall elect one of their number to be Chairman of the meeting and, if there is only one Director present and willing to act, he shall be Chairman.</w:t>
      </w:r>
    </w:p>
    <w:p>
      <w:pPr>
        <w:spacing w:after="0" w:line="181" w:lineRule="exact"/>
        <w:rPr>
          <w:rFonts w:ascii="Arial" w:cs="Arial" w:eastAsia="Arial" w:hAnsi="Arial"/>
          <w:sz w:val="16"/>
          <w:szCs w:val="16"/>
          <w:color w:val="auto"/>
        </w:rPr>
      </w:pPr>
    </w:p>
    <w:p>
      <w:pPr>
        <w:ind w:left="1380" w:right="180" w:hanging="724"/>
        <w:spacing w:after="0" w:line="264" w:lineRule="auto"/>
        <w:tabs>
          <w:tab w:leader="none" w:pos="13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at any meeting no Director is willing to act as Chairman or if no Director is present within fifteen minutes after the time appointed for holding the meeting, the Members present and entitled to vote shall choose one of the Members personally present to be Chairman of the meeting.</w:t>
      </w:r>
    </w:p>
    <w:p>
      <w:pPr>
        <w:spacing w:after="0" w:line="200" w:lineRule="exact"/>
        <w:rPr>
          <w:sz w:val="20"/>
          <w:szCs w:val="20"/>
          <w:color w:val="auto"/>
        </w:rPr>
      </w:pPr>
    </w:p>
    <w:p>
      <w:pPr>
        <w:spacing w:after="0" w:line="24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56A</w:t>
      </w:r>
      <w:r>
        <w:rPr>
          <w:sz w:val="20"/>
          <w:szCs w:val="20"/>
          <w:color w:val="auto"/>
        </w:rPr>
        <w:tab/>
      </w:r>
      <w:r>
        <w:rPr>
          <w:rFonts w:ascii="Arial" w:cs="Arial" w:eastAsia="Arial" w:hAnsi="Arial"/>
          <w:sz w:val="18"/>
          <w:szCs w:val="18"/>
          <w:b w:val="1"/>
          <w:bCs w:val="1"/>
          <w:color w:val="auto"/>
        </w:rPr>
        <w:t>Tabling resolutions at general meetings</w:t>
      </w:r>
    </w:p>
    <w:p>
      <w:pPr>
        <w:spacing w:after="0" w:line="256" w:lineRule="exact"/>
        <w:rPr>
          <w:sz w:val="20"/>
          <w:szCs w:val="20"/>
          <w:color w:val="auto"/>
        </w:rPr>
      </w:pPr>
    </w:p>
    <w:p>
      <w:pPr>
        <w:ind w:left="700" w:right="20"/>
        <w:spacing w:after="0" w:line="302" w:lineRule="auto"/>
        <w:rPr>
          <w:sz w:val="20"/>
          <w:szCs w:val="20"/>
          <w:color w:val="auto"/>
        </w:rPr>
      </w:pPr>
      <w:r>
        <w:rPr>
          <w:rFonts w:ascii="Arial" w:cs="Arial" w:eastAsia="Arial" w:hAnsi="Arial"/>
          <w:sz w:val="16"/>
          <w:szCs w:val="16"/>
          <w:color w:val="auto"/>
        </w:rPr>
        <w:t>Where any Members seek to exercise their right, pursuant to Section 133B(1)(b) of the 1963 Act, to table a draft resolution for an item on the agenda of a general meeting of the Company, the draft resolution and sufficient evidence of their shareholding (by virtue of which the Members may exercise their right under Section 133B(1)(b) of the 1963 Act) must be received by the Secretary by post at the Company’s registered office or by electronic means in either case at least fourteen Clear Days prior to the general meeting to which the draft resolution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5" w:name="page136"/>
    <w:bookmarkEnd w:id="135"/>
    <w:p>
      <w:pPr>
        <w:ind w:left="692" w:hanging="692"/>
        <w:spacing w:after="0"/>
        <w:tabs>
          <w:tab w:leader="none" w:pos="69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Auditors' right to attend general meetings</w:t>
      </w:r>
    </w:p>
    <w:p>
      <w:pPr>
        <w:spacing w:after="0" w:line="256" w:lineRule="exact"/>
        <w:rPr>
          <w:rFonts w:ascii="Arial" w:cs="Arial" w:eastAsia="Arial" w:hAnsi="Arial"/>
          <w:sz w:val="18"/>
          <w:szCs w:val="18"/>
          <w:b w:val="1"/>
          <w:bCs w:val="1"/>
          <w:color w:val="auto"/>
        </w:rPr>
      </w:pPr>
    </w:p>
    <w:p>
      <w:pPr>
        <w:ind w:left="692"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Director shall be entitled, notwithstanding that he is not a Member, to attend and speak at any general meeting and at any separate meeting of the Holders of any class of Shares in the Company. The Auditors shall be entitled to attend any general meeting and to be heard on any part of the business of the meeting which concerns them as the Auditors.</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692" w:hanging="692"/>
        <w:spacing w:after="0"/>
        <w:tabs>
          <w:tab w:leader="none" w:pos="69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Adjournment of general meetings</w:t>
      </w:r>
    </w:p>
    <w:p>
      <w:pPr>
        <w:spacing w:after="0" w:line="256" w:lineRule="exact"/>
        <w:rPr>
          <w:rFonts w:ascii="Arial" w:cs="Arial" w:eastAsia="Arial" w:hAnsi="Arial"/>
          <w:sz w:val="18"/>
          <w:szCs w:val="18"/>
          <w:b w:val="1"/>
          <w:bCs w:val="1"/>
          <w:color w:val="auto"/>
        </w:rPr>
      </w:pPr>
    </w:p>
    <w:p>
      <w:pPr>
        <w:ind w:left="692"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Chairman, with the consent of a meeting at which a quorum is present, may (and if so directed by the meeting, shall) adjourn the meeting from time to time (or sine die) and from place to place, but no business shall be transacted at any adjourned meeting other than business which might properly have been transacted at the meeting had the adjournment not taken place. Where a meeting is adjourned sine die, the time and place for the adjourned meeting shall be fixed by the Directors. When a meeting is adjourned for fourteen days or more or sine die, at least seven Clear Days' notice shall be given, in the same manner as it was given for the meeting, specifying the time and place of the adjourned meeting and the general nature of the business to be transacted. Save as aforesaid it shall not be necessary to give any notice of an adjourned meeting.</w:t>
      </w:r>
    </w:p>
    <w:p>
      <w:pPr>
        <w:spacing w:after="0" w:line="200" w:lineRule="exact"/>
        <w:rPr>
          <w:rFonts w:ascii="Arial" w:cs="Arial" w:eastAsia="Arial" w:hAnsi="Arial"/>
          <w:sz w:val="18"/>
          <w:szCs w:val="18"/>
          <w:b w:val="1"/>
          <w:bCs w:val="1"/>
          <w:color w:val="auto"/>
        </w:rPr>
      </w:pPr>
    </w:p>
    <w:p>
      <w:pPr>
        <w:spacing w:after="0" w:line="230" w:lineRule="exact"/>
        <w:rPr>
          <w:rFonts w:ascii="Arial" w:cs="Arial" w:eastAsia="Arial" w:hAnsi="Arial"/>
          <w:sz w:val="18"/>
          <w:szCs w:val="18"/>
          <w:b w:val="1"/>
          <w:bCs w:val="1"/>
          <w:color w:val="auto"/>
        </w:rPr>
      </w:pPr>
    </w:p>
    <w:p>
      <w:pPr>
        <w:ind w:left="692" w:hanging="692"/>
        <w:spacing w:after="0"/>
        <w:tabs>
          <w:tab w:leader="none" w:pos="69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resolutions</w:t>
      </w:r>
    </w:p>
    <w:p>
      <w:pPr>
        <w:spacing w:after="0" w:line="256" w:lineRule="exact"/>
        <w:rPr>
          <w:rFonts w:ascii="Arial" w:cs="Arial" w:eastAsia="Arial" w:hAnsi="Arial"/>
          <w:sz w:val="18"/>
          <w:szCs w:val="18"/>
          <w:b w:val="1"/>
          <w:bCs w:val="1"/>
          <w:color w:val="auto"/>
        </w:rPr>
      </w:pPr>
    </w:p>
    <w:p>
      <w:pPr>
        <w:ind w:left="69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At any general meeting a resolution put to the vote of the meeting shall be decided on a show of hands unless before, or on the declaration of the result of, the show of hands a poll is duly demanded. Unless a poll is so demanded a declaration by the Chairman that a resolution has been carried or carried unanimously, or by a particular majority, or lost, or not carried by a particular majority and an entry to that effect in the minutes of the meeting shall be conclusive evidence of the fact without proof of the number or proportion of the votes recorded in favour of or against the resolution. The demand for a poll may be withdrawn before the poll is taken but only with the consent of the Chairman, and a demand so withdrawn shall not be taken to have invalidated the result of a show of hands declared before the demand was made. Voting may also be undertaken by way of such electronic devices as are for the time being and from time to time approved by the Directors in their absolute discretion and all of the provisions of these Articles relating to voting shall be interpreted accordingly.</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692" w:hanging="692"/>
        <w:spacing w:after="0"/>
        <w:tabs>
          <w:tab w:leader="none" w:pos="69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resolutions</w:t>
      </w:r>
    </w:p>
    <w:p>
      <w:pPr>
        <w:spacing w:after="0" w:line="256" w:lineRule="exact"/>
        <w:rPr>
          <w:rFonts w:ascii="Arial" w:cs="Arial" w:eastAsia="Arial" w:hAnsi="Arial"/>
          <w:sz w:val="18"/>
          <w:szCs w:val="18"/>
          <w:b w:val="1"/>
          <w:bCs w:val="1"/>
          <w:color w:val="auto"/>
        </w:rPr>
      </w:pPr>
    </w:p>
    <w:p>
      <w:pPr>
        <w:jc w:val="both"/>
        <w:ind w:left="69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Acts, if an amendment shall be proposed to any resolution under consideration but shall be ruled out of order by the Chairman of the meeting, the proceedings on the substantive resolution shall not be invalidated by any error in such ruling. Subject to the Acts and the other provisions of these Articles, in the case of a resolution duly proposed, no amendment thereto may be considered or voted upon unless the Chairman in his absolute discretion decides that it may be considered or voted upon.</w:t>
      </w:r>
    </w:p>
    <w:p>
      <w:pPr>
        <w:spacing w:after="0" w:line="209" w:lineRule="exact"/>
        <w:rPr>
          <w:rFonts w:ascii="Arial" w:cs="Arial" w:eastAsia="Arial" w:hAnsi="Arial"/>
          <w:sz w:val="18"/>
          <w:szCs w:val="18"/>
          <w:b w:val="1"/>
          <w:bCs w:val="1"/>
          <w:color w:val="auto"/>
        </w:rPr>
      </w:pPr>
    </w:p>
    <w:p>
      <w:pPr>
        <w:ind w:left="692" w:hanging="692"/>
        <w:spacing w:after="0"/>
        <w:tabs>
          <w:tab w:leader="none" w:pos="69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demand poll</w:t>
      </w:r>
    </w:p>
    <w:p>
      <w:pPr>
        <w:spacing w:after="0" w:line="256" w:lineRule="exact"/>
        <w:rPr>
          <w:rFonts w:ascii="Arial" w:cs="Arial" w:eastAsia="Arial" w:hAnsi="Arial"/>
          <w:sz w:val="18"/>
          <w:szCs w:val="18"/>
          <w:b w:val="1"/>
          <w:bCs w:val="1"/>
          <w:color w:val="auto"/>
        </w:rPr>
      </w:pPr>
    </w:p>
    <w:p>
      <w:pPr>
        <w:ind w:left="692"/>
        <w:spacing w:after="0"/>
        <w:rPr>
          <w:rFonts w:ascii="Arial" w:cs="Arial" w:eastAsia="Arial" w:hAnsi="Arial"/>
          <w:sz w:val="18"/>
          <w:szCs w:val="18"/>
          <w:b w:val="1"/>
          <w:bCs w:val="1"/>
          <w:color w:val="auto"/>
        </w:rPr>
      </w:pPr>
      <w:r>
        <w:rPr>
          <w:rFonts w:ascii="Arial" w:cs="Arial" w:eastAsia="Arial" w:hAnsi="Arial"/>
          <w:sz w:val="18"/>
          <w:szCs w:val="18"/>
          <w:color w:val="auto"/>
        </w:rPr>
        <w:t>Subject to the provisions of the Acts, a poll may be demanded:-</w:t>
      </w:r>
    </w:p>
    <w:p>
      <w:pPr>
        <w:spacing w:after="0" w:line="252" w:lineRule="exact"/>
        <w:rPr>
          <w:rFonts w:ascii="Arial" w:cs="Arial" w:eastAsia="Arial" w:hAnsi="Arial"/>
          <w:sz w:val="18"/>
          <w:szCs w:val="18"/>
          <w:b w:val="1"/>
          <w:bCs w:val="1"/>
          <w:color w:val="auto"/>
        </w:rPr>
      </w:pPr>
    </w:p>
    <w:p>
      <w:pPr>
        <w:ind w:left="1372" w:hanging="724"/>
        <w:spacing w:after="0"/>
        <w:tabs>
          <w:tab w:leader="none" w:pos="1372" w:val="left"/>
        </w:tabs>
        <w:numPr>
          <w:ilvl w:val="1"/>
          <w:numId w:val="86"/>
        </w:numPr>
        <w:rPr>
          <w:rFonts w:ascii="Arial" w:cs="Arial" w:eastAsia="Arial" w:hAnsi="Arial"/>
          <w:sz w:val="18"/>
          <w:szCs w:val="18"/>
          <w:color w:val="auto"/>
        </w:rPr>
      </w:pPr>
      <w:r>
        <w:rPr>
          <w:rFonts w:ascii="Arial" w:cs="Arial" w:eastAsia="Arial" w:hAnsi="Arial"/>
          <w:sz w:val="18"/>
          <w:szCs w:val="18"/>
          <w:color w:val="auto"/>
        </w:rPr>
        <w:t>by the Chairman of the meeting;</w:t>
      </w:r>
    </w:p>
    <w:p>
      <w:pPr>
        <w:spacing w:after="0" w:line="252" w:lineRule="exact"/>
        <w:rPr>
          <w:rFonts w:ascii="Arial" w:cs="Arial" w:eastAsia="Arial" w:hAnsi="Arial"/>
          <w:sz w:val="18"/>
          <w:szCs w:val="18"/>
          <w:color w:val="auto"/>
        </w:rPr>
      </w:pPr>
    </w:p>
    <w:p>
      <w:pPr>
        <w:ind w:left="1372" w:hanging="724"/>
        <w:spacing w:after="0"/>
        <w:tabs>
          <w:tab w:leader="none" w:pos="1372" w:val="left"/>
        </w:tabs>
        <w:numPr>
          <w:ilvl w:val="1"/>
          <w:numId w:val="86"/>
        </w:numPr>
        <w:rPr>
          <w:rFonts w:ascii="Arial" w:cs="Arial" w:eastAsia="Arial" w:hAnsi="Arial"/>
          <w:sz w:val="18"/>
          <w:szCs w:val="18"/>
          <w:color w:val="auto"/>
        </w:rPr>
      </w:pPr>
      <w:r>
        <w:rPr>
          <w:rFonts w:ascii="Arial" w:cs="Arial" w:eastAsia="Arial" w:hAnsi="Arial"/>
          <w:sz w:val="18"/>
          <w:szCs w:val="18"/>
          <w:color w:val="auto"/>
        </w:rPr>
        <w:t>by at least three Members present (in person or by proxy) having the right to attend and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424180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36" w:name="page137"/>
    <w:bookmarkEnd w:id="136"/>
    <w:p>
      <w:pPr>
        <w:ind w:left="1372" w:right="160" w:hanging="724"/>
        <w:spacing w:after="0" w:line="277" w:lineRule="auto"/>
        <w:tabs>
          <w:tab w:leader="none" w:pos="1372" w:val="left"/>
        </w:tabs>
        <w:numPr>
          <w:ilvl w:val="1"/>
          <w:numId w:val="87"/>
        </w:numPr>
        <w:rPr>
          <w:rFonts w:ascii="Arial" w:cs="Arial" w:eastAsia="Arial" w:hAnsi="Arial"/>
          <w:sz w:val="18"/>
          <w:szCs w:val="18"/>
          <w:color w:val="auto"/>
        </w:rPr>
      </w:pPr>
      <w:r>
        <w:rPr>
          <w:rFonts w:ascii="Arial" w:cs="Arial" w:eastAsia="Arial" w:hAnsi="Arial"/>
          <w:sz w:val="18"/>
          <w:szCs w:val="18"/>
          <w:color w:val="auto"/>
        </w:rPr>
        <w:t>by any Member or Members present (in person or by proxy) representing in aggregate not less than one-tenth of the total voting rights of all the Members having the right to attend and vote at the meeting; or</w:t>
      </w:r>
    </w:p>
    <w:p>
      <w:pPr>
        <w:spacing w:after="0" w:line="197" w:lineRule="exact"/>
        <w:rPr>
          <w:rFonts w:ascii="Arial" w:cs="Arial" w:eastAsia="Arial" w:hAnsi="Arial"/>
          <w:sz w:val="18"/>
          <w:szCs w:val="18"/>
          <w:color w:val="auto"/>
        </w:rPr>
      </w:pPr>
    </w:p>
    <w:p>
      <w:pPr>
        <w:ind w:left="1372" w:right="320" w:hanging="724"/>
        <w:spacing w:after="0" w:line="264" w:lineRule="auto"/>
        <w:tabs>
          <w:tab w:leader="none" w:pos="1372" w:val="left"/>
        </w:tabs>
        <w:numPr>
          <w:ilvl w:val="1"/>
          <w:numId w:val="87"/>
        </w:numPr>
        <w:rPr>
          <w:rFonts w:ascii="Arial" w:cs="Arial" w:eastAsia="Arial" w:hAnsi="Arial"/>
          <w:sz w:val="18"/>
          <w:szCs w:val="18"/>
          <w:color w:val="auto"/>
        </w:rPr>
      </w:pPr>
      <w:r>
        <w:rPr>
          <w:rFonts w:ascii="Arial" w:cs="Arial" w:eastAsia="Arial" w:hAnsi="Arial"/>
          <w:sz w:val="18"/>
          <w:szCs w:val="18"/>
          <w:color w:val="auto"/>
        </w:rPr>
        <w:t>by a Member or Members present (in person or by proxy) holding Shares in the Company conferring the right to attend and vote at the meeting being Shares on which an aggregate sum has been paid up equal to not less than one-tenth of the total sum paid up on all the Shares conferring that right.</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692" w:hanging="692"/>
        <w:spacing w:after="0"/>
        <w:tabs>
          <w:tab w:leader="none" w:pos="69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Taking of a poll</w:t>
      </w:r>
    </w:p>
    <w:p>
      <w:pPr>
        <w:spacing w:after="0" w:line="256" w:lineRule="exact"/>
        <w:rPr>
          <w:rFonts w:ascii="Arial" w:cs="Arial" w:eastAsia="Arial" w:hAnsi="Arial"/>
          <w:sz w:val="18"/>
          <w:szCs w:val="18"/>
          <w:b w:val="1"/>
          <w:bCs w:val="1"/>
          <w:color w:val="auto"/>
        </w:rPr>
      </w:pPr>
    </w:p>
    <w:p>
      <w:pPr>
        <w:ind w:left="1372" w:right="80" w:hanging="683"/>
        <w:spacing w:after="0" w:line="259" w:lineRule="auto"/>
        <w:tabs>
          <w:tab w:leader="none" w:pos="1372" w:val="left"/>
        </w:tabs>
        <w:numPr>
          <w:ilvl w:val="2"/>
          <w:numId w:val="88"/>
        </w:numPr>
        <w:rPr>
          <w:rFonts w:ascii="Arial" w:cs="Arial" w:eastAsia="Arial" w:hAnsi="Arial"/>
          <w:sz w:val="18"/>
          <w:szCs w:val="18"/>
          <w:color w:val="auto"/>
        </w:rPr>
      </w:pPr>
      <w:r>
        <w:rPr>
          <w:rFonts w:ascii="Arial" w:cs="Arial" w:eastAsia="Arial" w:hAnsi="Arial"/>
          <w:sz w:val="18"/>
          <w:szCs w:val="18"/>
          <w:color w:val="auto"/>
        </w:rPr>
        <w:t>Save as provided in paragraph (b) of this Article and subject to compliance with the requirements of the Acts, a poll shall be taken in such manner (including by the use of a ballot, electronic devices, voting papers or tickets) as the Chairman in his discretion may direct and he may appoint scrutineers (who need not be Members) and fix a time and place for declaring the result of the poll. The result of the poll shall be deemed to be the resolution of the meeting at which the poll was demanded.</w:t>
      </w:r>
    </w:p>
    <w:p>
      <w:pPr>
        <w:spacing w:after="0" w:line="213" w:lineRule="exact"/>
        <w:rPr>
          <w:rFonts w:ascii="Arial" w:cs="Arial" w:eastAsia="Arial" w:hAnsi="Arial"/>
          <w:sz w:val="18"/>
          <w:szCs w:val="18"/>
          <w:color w:val="auto"/>
        </w:rPr>
      </w:pPr>
    </w:p>
    <w:p>
      <w:pPr>
        <w:ind w:left="1372" w:right="180" w:hanging="724"/>
        <w:spacing w:after="0" w:line="297" w:lineRule="auto"/>
        <w:tabs>
          <w:tab w:leader="none" w:pos="1372"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poll demanded on the election of a Chairman or on a question of adjournment shall be taken forthwith. A poll demanded on any other question shall be taken either forthwith or at such time (not being more than thirty days after the poll is demanded) and place as the Chairman of the meeting may direct. The demand for a poll shall not prevent the continuance of a meeting for the transaction of any business other than the question on which the poll was demanded. If a poll is demanded before the declaration of the result of a show of hands and the demand is duly withdrawn, the meeting shall continue as if the demand had not been made.</w:t>
      </w:r>
    </w:p>
    <w:p>
      <w:pPr>
        <w:spacing w:after="0" w:line="185" w:lineRule="exact"/>
        <w:rPr>
          <w:rFonts w:ascii="Arial" w:cs="Arial" w:eastAsia="Arial" w:hAnsi="Arial"/>
          <w:sz w:val="16"/>
          <w:szCs w:val="16"/>
          <w:color w:val="auto"/>
        </w:rPr>
      </w:pPr>
    </w:p>
    <w:p>
      <w:pPr>
        <w:ind w:left="1372" w:right="60" w:hanging="724"/>
        <w:spacing w:after="0" w:line="264" w:lineRule="auto"/>
        <w:tabs>
          <w:tab w:leader="none" w:pos="1372"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 notice need be given of a poll not taken forthwith if the time and place at which it is to be taken are announced at the meeting at which it is demanded. In any other case at least seven Clear Days' notice shall be given specifying the time and place at which the poll is to be taken.</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692" w:hanging="692"/>
        <w:spacing w:after="0"/>
        <w:tabs>
          <w:tab w:leader="none" w:pos="69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256" w:lineRule="exact"/>
        <w:rPr>
          <w:rFonts w:ascii="Arial" w:cs="Arial" w:eastAsia="Arial" w:hAnsi="Arial"/>
          <w:sz w:val="18"/>
          <w:szCs w:val="18"/>
          <w:b w:val="1"/>
          <w:bCs w:val="1"/>
          <w:color w:val="auto"/>
        </w:rPr>
      </w:pPr>
    </w:p>
    <w:p>
      <w:pPr>
        <w:ind w:left="1372" w:right="260" w:hanging="724"/>
        <w:spacing w:after="0" w:line="264" w:lineRule="auto"/>
        <w:tabs>
          <w:tab w:leader="none" w:pos="1372"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person shall be entered on the Register by the Record Date specified in respect of a general meeting in order to exercise the right of a member to participate and vote at the general meeting and any change to an entry on the Register after the Record Date shall be disregarded in determining the right of any person to attend and vote at the meeting.</w:t>
      </w:r>
    </w:p>
    <w:p>
      <w:pPr>
        <w:spacing w:after="0" w:line="208" w:lineRule="exact"/>
        <w:rPr>
          <w:rFonts w:ascii="Arial" w:cs="Arial" w:eastAsia="Arial" w:hAnsi="Arial"/>
          <w:sz w:val="18"/>
          <w:szCs w:val="18"/>
          <w:color w:val="auto"/>
        </w:rPr>
      </w:pPr>
    </w:p>
    <w:p>
      <w:pPr>
        <w:jc w:val="both"/>
        <w:ind w:left="1372" w:hanging="724"/>
        <w:spacing w:after="0" w:line="312" w:lineRule="auto"/>
        <w:tabs>
          <w:tab w:leader="none" w:pos="1372" w:val="left"/>
        </w:tabs>
        <w:numPr>
          <w:ilvl w:val="1"/>
          <w:numId w:val="88"/>
        </w:numPr>
        <w:rPr>
          <w:rFonts w:ascii="Arial" w:cs="Arial" w:eastAsia="Arial" w:hAnsi="Arial"/>
          <w:sz w:val="16"/>
          <w:szCs w:val="16"/>
          <w:color w:val="auto"/>
        </w:rPr>
      </w:pPr>
      <w:r>
        <w:rPr>
          <w:rFonts w:ascii="Arial" w:cs="Arial" w:eastAsia="Arial" w:hAnsi="Arial"/>
          <w:sz w:val="16"/>
          <w:szCs w:val="16"/>
          <w:color w:val="auto"/>
        </w:rPr>
        <w:t>Votes may be given either personally or by proxy. Subject to any rights or restrictions for the time being attached to any class or classes of Shares on a show of hands every Member present in person and every proxy shall have one vote, so, however, that no individual shall have more than one vote, and on a poll every Member shall have one vote for every Share carrying voting rights of which he is the Holder.</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692" w:hanging="692"/>
        <w:spacing w:after="0"/>
        <w:tabs>
          <w:tab w:leader="none" w:pos="69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Chairman's casting vote</w:t>
      </w:r>
    </w:p>
    <w:p>
      <w:pPr>
        <w:spacing w:after="0" w:line="256" w:lineRule="exact"/>
        <w:rPr>
          <w:rFonts w:ascii="Arial" w:cs="Arial" w:eastAsia="Arial" w:hAnsi="Arial"/>
          <w:sz w:val="18"/>
          <w:szCs w:val="18"/>
          <w:b w:val="1"/>
          <w:bCs w:val="1"/>
          <w:color w:val="auto"/>
        </w:rPr>
      </w:pPr>
    </w:p>
    <w:p>
      <w:pPr>
        <w:ind w:left="692"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Where there is an equality of votes, whether on a show of hands or on a poll the Chairman of the meeting at which the show of hands takes place or at which the poll is demanded shall be entitled to a casting vote in addition to any other vote he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389890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37" w:name="page138"/>
    <w:bookmarkEnd w:id="137"/>
    <w:p>
      <w:pPr>
        <w:ind w:left="692" w:hanging="692"/>
        <w:spacing w:after="0"/>
        <w:tabs>
          <w:tab w:leader="none" w:pos="69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Voting by joint Holders</w:t>
      </w:r>
    </w:p>
    <w:p>
      <w:pPr>
        <w:spacing w:after="0" w:line="256" w:lineRule="exact"/>
        <w:rPr>
          <w:rFonts w:ascii="Arial" w:cs="Arial" w:eastAsia="Arial" w:hAnsi="Arial"/>
          <w:sz w:val="18"/>
          <w:szCs w:val="18"/>
          <w:b w:val="1"/>
          <w:bCs w:val="1"/>
          <w:color w:val="auto"/>
        </w:rPr>
      </w:pPr>
    </w:p>
    <w:p>
      <w:pPr>
        <w:jc w:val="both"/>
        <w:ind w:left="692"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Where there are joint Holders of a Share, the vote of the senior who tenders a vote, whether in person or by proxy, in respect of such Share shall be accepted to the exclusion of the votes of the other joint Holders; and for this purpose seniority shall be determined by the order in which the names of the Holders stand in the Register in respect of the Share.</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692" w:hanging="692"/>
        <w:spacing w:after="0"/>
        <w:tabs>
          <w:tab w:leader="none" w:pos="69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Voting by incapacitated Holders</w:t>
      </w:r>
    </w:p>
    <w:p>
      <w:pPr>
        <w:spacing w:after="0" w:line="256" w:lineRule="exact"/>
        <w:rPr>
          <w:rFonts w:ascii="Arial" w:cs="Arial" w:eastAsia="Arial" w:hAnsi="Arial"/>
          <w:sz w:val="18"/>
          <w:szCs w:val="18"/>
          <w:b w:val="1"/>
          <w:bCs w:val="1"/>
          <w:color w:val="auto"/>
        </w:rPr>
      </w:pPr>
    </w:p>
    <w:p>
      <w:pPr>
        <w:ind w:left="692"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 Member of unsound mind, or in respect of whom an order has been made by any court having jurisdiction (whether in the State or elsewhere) in matters concerning mental disorder, may vote, whether on a show of hands or on a poll, by his committee, receiver, guardian or other person appointed by that court and any such committee, receiver, guardian or other person may vote by proxy on a show of hands or on a poll.</w:t>
      </w:r>
    </w:p>
    <w:p>
      <w:pPr>
        <w:spacing w:after="0" w:line="173" w:lineRule="exact"/>
        <w:rPr>
          <w:rFonts w:ascii="Arial" w:cs="Arial" w:eastAsia="Arial" w:hAnsi="Arial"/>
          <w:sz w:val="18"/>
          <w:szCs w:val="18"/>
          <w:b w:val="1"/>
          <w:bCs w:val="1"/>
          <w:color w:val="auto"/>
        </w:rPr>
      </w:pPr>
    </w:p>
    <w:p>
      <w:pPr>
        <w:ind w:left="692"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Evidence to the satisfaction of the Directors of the authority of the person claiming to exercise the right to vote pursuant to this Article shall be deposited at the Office or at such other place as is specified in accordance with these Articles for the deposit of instruments of proxy, not less than forty-eight hours before the time appointed for holding the meeting or adjourned meeting at which the right to vote is to be exercised and in default the right to vote shall not be exercisable.</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692" w:hanging="692"/>
        <w:spacing w:after="0"/>
        <w:tabs>
          <w:tab w:leader="none" w:pos="69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 payment of calls</w:t>
      </w:r>
    </w:p>
    <w:p>
      <w:pPr>
        <w:spacing w:after="0" w:line="256" w:lineRule="exact"/>
        <w:rPr>
          <w:rFonts w:ascii="Arial" w:cs="Arial" w:eastAsia="Arial" w:hAnsi="Arial"/>
          <w:sz w:val="18"/>
          <w:szCs w:val="18"/>
          <w:b w:val="1"/>
          <w:bCs w:val="1"/>
          <w:color w:val="auto"/>
        </w:rPr>
      </w:pPr>
    </w:p>
    <w:p>
      <w:pPr>
        <w:jc w:val="both"/>
        <w:ind w:left="69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determine, no Member shall be entitled to vote at any general meeting or any separate meeting of the Holders of any class of Shares in the Company, either in person or by proxy, or to exercise any privilege as a Member in respect of any Share held by him unless all moneys then payable by him in respect of that Share have been paid.</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692" w:hanging="692"/>
        <w:spacing w:after="0"/>
        <w:tabs>
          <w:tab w:leader="none" w:pos="69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of voting and other rights</w:t>
      </w:r>
    </w:p>
    <w:p>
      <w:pPr>
        <w:spacing w:after="0" w:line="256" w:lineRule="exact"/>
        <w:rPr>
          <w:rFonts w:ascii="Arial" w:cs="Arial" w:eastAsia="Arial" w:hAnsi="Arial"/>
          <w:sz w:val="18"/>
          <w:szCs w:val="18"/>
          <w:b w:val="1"/>
          <w:bCs w:val="1"/>
          <w:color w:val="auto"/>
        </w:rPr>
      </w:pPr>
    </w:p>
    <w:p>
      <w:pPr>
        <w:ind w:left="1372" w:hanging="724"/>
        <w:spacing w:after="0" w:line="255" w:lineRule="auto"/>
        <w:tabs>
          <w:tab w:leader="none" w:pos="1372"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at any time the Directors shall determine that a Specified Event (as defined in paragraph (h)) shall have occurred in relation to any Share or Shares the Directors may serve a notice to such effect on the Holder or Holders thereof. Upon the expiry of a period of 14 days following the service of any such notice (in these Articles referred to as a "Restriction Notice") and for so long as such Restriction Notice shall remain in force, no Holder or Holders of the Share or Shares specified in such Restriction Notice ("the Relevant Shares") shall be entitled to attend or vote at any general meeting, either personally or by proxy in respect of such Relevant Shares; and the Directors shall, where the Restricted Shares represent not less than 0.25 per cent. of the total number of issued Shares of the same class of Shares as the Relevant Shares, be entitled:</w:t>
      </w:r>
    </w:p>
    <w:p>
      <w:pPr>
        <w:spacing w:after="0" w:line="216" w:lineRule="exact"/>
        <w:rPr>
          <w:rFonts w:ascii="Arial" w:cs="Arial" w:eastAsia="Arial" w:hAnsi="Arial"/>
          <w:sz w:val="18"/>
          <w:szCs w:val="18"/>
          <w:color w:val="auto"/>
        </w:rPr>
      </w:pPr>
    </w:p>
    <w:p>
      <w:pPr>
        <w:ind w:left="2072" w:right="440" w:hanging="694"/>
        <w:spacing w:after="0" w:line="277" w:lineRule="auto"/>
        <w:tabs>
          <w:tab w:leader="none" w:pos="2072" w:val="left"/>
        </w:tabs>
        <w:numPr>
          <w:ilvl w:val="2"/>
          <w:numId w:val="89"/>
        </w:numPr>
        <w:rPr>
          <w:rFonts w:ascii="Arial" w:cs="Arial" w:eastAsia="Arial" w:hAnsi="Arial"/>
          <w:sz w:val="18"/>
          <w:szCs w:val="18"/>
          <w:color w:val="auto"/>
        </w:rPr>
      </w:pPr>
      <w:r>
        <w:rPr>
          <w:rFonts w:ascii="Arial" w:cs="Arial" w:eastAsia="Arial" w:hAnsi="Arial"/>
          <w:sz w:val="18"/>
          <w:szCs w:val="18"/>
          <w:color w:val="auto"/>
        </w:rPr>
        <w:t>to withhold payment of any dividend or other amount payable in respect of the Relevant Shares without any liability to pay interest thereon when such money is paid to the Member; and/or</w:t>
      </w:r>
    </w:p>
    <w:p>
      <w:pPr>
        <w:spacing w:after="0" w:line="197" w:lineRule="exact"/>
        <w:rPr>
          <w:rFonts w:ascii="Arial" w:cs="Arial" w:eastAsia="Arial" w:hAnsi="Arial"/>
          <w:sz w:val="18"/>
          <w:szCs w:val="18"/>
          <w:color w:val="auto"/>
        </w:rPr>
      </w:pPr>
    </w:p>
    <w:p>
      <w:pPr>
        <w:ind w:left="2072" w:right="40" w:hanging="694"/>
        <w:spacing w:after="0" w:line="312" w:lineRule="auto"/>
        <w:tabs>
          <w:tab w:leader="none" w:pos="2072" w:val="left"/>
        </w:tabs>
        <w:numPr>
          <w:ilvl w:val="2"/>
          <w:numId w:val="89"/>
        </w:numPr>
        <w:rPr>
          <w:rFonts w:ascii="Arial" w:cs="Arial" w:eastAsia="Arial" w:hAnsi="Arial"/>
          <w:sz w:val="16"/>
          <w:szCs w:val="16"/>
          <w:color w:val="auto"/>
        </w:rPr>
      </w:pPr>
      <w:r>
        <w:rPr>
          <w:rFonts w:ascii="Arial" w:cs="Arial" w:eastAsia="Arial" w:hAnsi="Arial"/>
          <w:sz w:val="16"/>
          <w:szCs w:val="16"/>
          <w:color w:val="auto"/>
        </w:rPr>
        <w:t>to refuse to register any transfer of the Relevant Shares (other than a transfer made as part of a sale to a bona fide unconnected third party where evidence that such is the case has been provided to the Directors upon a request being made by them in writing to the Holder or Holders of the Relevant Shares) or any renunciation of new Shares or debentures made in respect thereof.</w:t>
      </w:r>
    </w:p>
    <w:p>
      <w:pPr>
        <w:spacing w:after="0" w:line="173" w:lineRule="exact"/>
        <w:rPr>
          <w:rFonts w:ascii="Arial" w:cs="Arial" w:eastAsia="Arial" w:hAnsi="Arial"/>
          <w:sz w:val="16"/>
          <w:szCs w:val="16"/>
          <w:color w:val="auto"/>
        </w:rPr>
      </w:pPr>
    </w:p>
    <w:p>
      <w:pPr>
        <w:jc w:val="both"/>
        <w:ind w:left="1372" w:right="40" w:hanging="724"/>
        <w:spacing w:after="0" w:line="264" w:lineRule="auto"/>
        <w:tabs>
          <w:tab w:leader="none" w:pos="1372"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Restriction Notice shall be cancelled by the Directors as soon as reasonably practicable, but in any event not later than forty-eight hours after the Holder or Holders concerned or any other relevant person shall have remedied the default by virtue of which the Specified Event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3" w:right="279" w:bottom="1440" w:gutter="0" w:footer="0" w:header="0"/>
        </w:sectPr>
      </w:pPr>
    </w:p>
    <w:bookmarkStart w:id="138" w:name="page139"/>
    <w:bookmarkEnd w:id="138"/>
    <w:p>
      <w:pPr>
        <w:ind w:left="1372" w:right="60" w:hanging="724"/>
        <w:spacing w:after="0" w:line="276" w:lineRule="auto"/>
        <w:tabs>
          <w:tab w:leader="none" w:pos="1372" w:val="left"/>
        </w:tabs>
        <w:numPr>
          <w:ilvl w:val="1"/>
          <w:numId w:val="90"/>
        </w:numPr>
        <w:rPr>
          <w:rFonts w:ascii="Arial" w:cs="Arial" w:eastAsia="Arial" w:hAnsi="Arial"/>
          <w:sz w:val="17"/>
          <w:szCs w:val="17"/>
          <w:color w:val="auto"/>
        </w:rPr>
      </w:pPr>
      <w:r>
        <w:rPr>
          <w:rFonts w:ascii="Arial" w:cs="Arial" w:eastAsia="Arial" w:hAnsi="Arial"/>
          <w:sz w:val="17"/>
          <w:szCs w:val="17"/>
          <w:color w:val="auto"/>
        </w:rPr>
        <w:t>A Restriction Notice shall automatically cease to have effect in respect of any Share transferred upon registration of the relevant transfer provided that a Restriction Notice shall not cease to have effect in respect of any transfer where no change in the beneficial ownership of the Share shall occur and for this purpose it shall be assumed that no such change has occurred where a transfer form in respect of the Share is presented for registration having been stamped at a reduced rate of stamp duty by virtue of the transferor or transferee claiming to be entitled to such reduced rate as a result of the transfer being one where no beneficial interest passes.</w:t>
      </w:r>
    </w:p>
    <w:p>
      <w:pPr>
        <w:spacing w:after="0" w:line="199" w:lineRule="exact"/>
        <w:rPr>
          <w:rFonts w:ascii="Arial" w:cs="Arial" w:eastAsia="Arial" w:hAnsi="Arial"/>
          <w:sz w:val="17"/>
          <w:szCs w:val="17"/>
          <w:color w:val="auto"/>
        </w:rPr>
      </w:pPr>
    </w:p>
    <w:p>
      <w:pPr>
        <w:ind w:left="1372" w:hanging="724"/>
        <w:spacing w:after="0" w:line="264" w:lineRule="auto"/>
        <w:tabs>
          <w:tab w:leader="none" w:pos="137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Directors shall cause a notation to be made in the Register against the name of any Holder or Holders in respect of whom a Restriction Notice shall have been served indicating the number of Shares specified in such Restriction Notice and shall cause such notation to be deleted upon cancellation or cesser of such Restriction Notice.</w:t>
      </w:r>
    </w:p>
    <w:p>
      <w:pPr>
        <w:spacing w:after="0" w:line="208" w:lineRule="exact"/>
        <w:rPr>
          <w:rFonts w:ascii="Arial" w:cs="Arial" w:eastAsia="Arial" w:hAnsi="Arial"/>
          <w:sz w:val="18"/>
          <w:szCs w:val="18"/>
          <w:color w:val="auto"/>
        </w:rPr>
      </w:pPr>
    </w:p>
    <w:p>
      <w:pPr>
        <w:ind w:left="1372" w:right="140" w:hanging="724"/>
        <w:spacing w:after="0" w:line="277" w:lineRule="auto"/>
        <w:tabs>
          <w:tab w:leader="none" w:pos="137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Where dividends or other payments are not paid as a result of restrictions imposed on Relevant Shares, such dividends or other payments shall accrue and shall be payable (without interest) upon the cancellation of the Restriction Notice.</w:t>
      </w:r>
    </w:p>
    <w:p>
      <w:pPr>
        <w:spacing w:after="0" w:line="197" w:lineRule="exact"/>
        <w:rPr>
          <w:rFonts w:ascii="Arial" w:cs="Arial" w:eastAsia="Arial" w:hAnsi="Arial"/>
          <w:sz w:val="18"/>
          <w:szCs w:val="18"/>
          <w:color w:val="auto"/>
        </w:rPr>
      </w:pPr>
    </w:p>
    <w:p>
      <w:pPr>
        <w:jc w:val="both"/>
        <w:ind w:left="1372" w:right="100" w:hanging="724"/>
        <w:spacing w:after="0" w:line="264" w:lineRule="auto"/>
        <w:tabs>
          <w:tab w:leader="none" w:pos="1372"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determination of the Directors and any notice or request served by them pursuant to the provisions of this Article shall be conclusive as against the Holder or Holders of any Share and the validity of any notice or request served by the Directors in pursuance of this Article shall not be questioned by any person.</w:t>
      </w:r>
    </w:p>
    <w:p>
      <w:pPr>
        <w:spacing w:after="0" w:line="208" w:lineRule="exact"/>
        <w:rPr>
          <w:rFonts w:ascii="Arial" w:cs="Arial" w:eastAsia="Arial" w:hAnsi="Arial"/>
          <w:sz w:val="18"/>
          <w:szCs w:val="18"/>
          <w:color w:val="auto"/>
        </w:rPr>
      </w:pPr>
    </w:p>
    <w:p>
      <w:pPr>
        <w:ind w:left="1372" w:right="20" w:hanging="724"/>
        <w:spacing w:after="0" w:line="257" w:lineRule="auto"/>
        <w:tabs>
          <w:tab w:leader="none" w:pos="1372"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while any Restriction Notice shall remain in force in respect of any Holder or Holders of any Shares, such Holder or Holders shall be issued with any further Shares as a result of such Holder or Holders not renouncing any allotment of Shares made to him or them pursuant to a capitalisation issue under Articles 122 to 124, the Restriction Notice shall be deemed also to apply to such Holder or Holders in respect of such further Shares on the same terms and conditions as were applicable to the said Holder or Holders immediately prior to such issue of further Shares.</w:t>
      </w:r>
    </w:p>
    <w:p>
      <w:pPr>
        <w:spacing w:after="0" w:line="215" w:lineRule="exact"/>
        <w:rPr>
          <w:rFonts w:ascii="Arial" w:cs="Arial" w:eastAsia="Arial" w:hAnsi="Arial"/>
          <w:sz w:val="18"/>
          <w:szCs w:val="18"/>
          <w:color w:val="auto"/>
        </w:rPr>
      </w:pPr>
    </w:p>
    <w:p>
      <w:pPr>
        <w:ind w:left="1372" w:hanging="724"/>
        <w:spacing w:after="0"/>
        <w:tabs>
          <w:tab w:leader="none" w:pos="1372" w:val="left"/>
        </w:tabs>
        <w:numPr>
          <w:ilvl w:val="1"/>
          <w:numId w:val="90"/>
        </w:numPr>
        <w:rPr>
          <w:rFonts w:ascii="Arial" w:cs="Arial" w:eastAsia="Arial" w:hAnsi="Arial"/>
          <w:sz w:val="17"/>
          <w:szCs w:val="17"/>
          <w:color w:val="auto"/>
        </w:rPr>
      </w:pPr>
      <w:r>
        <w:rPr>
          <w:rFonts w:ascii="Arial" w:cs="Arial" w:eastAsia="Arial" w:hAnsi="Arial"/>
          <w:sz w:val="17"/>
          <w:szCs w:val="17"/>
          <w:color w:val="auto"/>
        </w:rPr>
        <w:t>For the purpose of these Articles the expression "Specified Event" in relation to any Share shall mean either of the following events:-</w:t>
      </w:r>
    </w:p>
    <w:p>
      <w:pPr>
        <w:spacing w:after="0" w:line="263" w:lineRule="exact"/>
        <w:rPr>
          <w:rFonts w:ascii="Arial" w:cs="Arial" w:eastAsia="Arial" w:hAnsi="Arial"/>
          <w:sz w:val="17"/>
          <w:szCs w:val="17"/>
          <w:color w:val="auto"/>
        </w:rPr>
      </w:pPr>
    </w:p>
    <w:p>
      <w:pPr>
        <w:ind w:left="2072" w:right="280" w:hanging="694"/>
        <w:spacing w:after="0" w:line="277" w:lineRule="auto"/>
        <w:tabs>
          <w:tab w:leader="none" w:pos="2072"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failure by the Holder or Holders thereof to pay any call or installment of a call in the manner and at the time appointed for payment thereof; or</w:t>
      </w:r>
    </w:p>
    <w:p>
      <w:pPr>
        <w:spacing w:after="0" w:line="197" w:lineRule="exact"/>
        <w:rPr>
          <w:rFonts w:ascii="Arial" w:cs="Arial" w:eastAsia="Arial" w:hAnsi="Arial"/>
          <w:sz w:val="18"/>
          <w:szCs w:val="18"/>
          <w:color w:val="auto"/>
        </w:rPr>
      </w:pPr>
    </w:p>
    <w:p>
      <w:pPr>
        <w:ind w:left="2072" w:right="160" w:hanging="694"/>
        <w:spacing w:after="0" w:line="264" w:lineRule="auto"/>
        <w:tabs>
          <w:tab w:leader="none" w:pos="2072"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failure by the Holder thereof or any of the Holders thereof or any other relevant person to comply, to the satisfaction of the Directors, with all or any of the terms of Section 81 of the 1990 Act and/or Article 7 in respect of any notice or notices given to him or any of them thereunder.</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692" w:hanging="692"/>
        <w:spacing w:after="0"/>
        <w:tabs>
          <w:tab w:leader="none" w:pos="69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Time for objection to voting</w:t>
      </w:r>
    </w:p>
    <w:p>
      <w:pPr>
        <w:spacing w:after="0" w:line="256" w:lineRule="exact"/>
        <w:rPr>
          <w:rFonts w:ascii="Arial" w:cs="Arial" w:eastAsia="Arial" w:hAnsi="Arial"/>
          <w:sz w:val="18"/>
          <w:szCs w:val="18"/>
          <w:b w:val="1"/>
          <w:bCs w:val="1"/>
          <w:color w:val="auto"/>
        </w:rPr>
      </w:pPr>
    </w:p>
    <w:p>
      <w:pPr>
        <w:ind w:left="69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 objection shall be raised to the qualification of any voter except at the meeting or adjourned meeting at which the vote objected to is tendered and every vote not disallowed at such meeting shall be valid. Any such objection made in due time shall be referred to the Chairman of the meeting whose decision shall be final and conclusive.</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692" w:hanging="692"/>
        <w:spacing w:after="0"/>
        <w:tabs>
          <w:tab w:leader="none" w:pos="69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proxy</w:t>
      </w:r>
    </w:p>
    <w:p>
      <w:pPr>
        <w:spacing w:after="0" w:line="256" w:lineRule="exact"/>
        <w:rPr>
          <w:rFonts w:ascii="Arial" w:cs="Arial" w:eastAsia="Arial" w:hAnsi="Arial"/>
          <w:sz w:val="18"/>
          <w:szCs w:val="18"/>
          <w:b w:val="1"/>
          <w:bCs w:val="1"/>
          <w:color w:val="auto"/>
        </w:rPr>
      </w:pPr>
    </w:p>
    <w:p>
      <w:pPr>
        <w:ind w:left="692"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Every Member entitled to attend and vote at a general meeting may appoint a proxy (or, where Shares are held in different securities accounts more than one proxy, but so that the number of proxies appointed shall not exceed the number of securities accounts in which Shares are held by that Member) to attend, speak and vote on his behalf. A Member acting as an intermediary on behalf of a client may grant a proxy to each of his clients, or to any third party designated by a client to attend, speak and vote on his behalf. The appointment of a proxy shall be in writing in any usual form or in any other form which the Directors may approve and shall be executed by or on behalf of the appointor (or otherwise authenticated in such manner or form as the Directors may approve). Any signature on such appointment of a proxy need not be witnessed. A body corporate may execute a form of proxy under its common seal or under the hand of a duly authorised officer thereof. A proxy need not be a Member of the Company. No appointment of a proxy shall be valid after twelve months have elapsed from the date named in it as the date of its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39" w:name="page140"/>
    <w:bookmarkEnd w:id="139"/>
    <w:p>
      <w:pPr>
        <w:ind w:left="692" w:hanging="692"/>
        <w:spacing w:after="0"/>
        <w:tabs>
          <w:tab w:leader="none" w:pos="69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Bodies corporate acting by representatives at meetings</w:t>
      </w:r>
    </w:p>
    <w:p>
      <w:pPr>
        <w:spacing w:after="0" w:line="256" w:lineRule="exact"/>
        <w:rPr>
          <w:rFonts w:ascii="Arial" w:cs="Arial" w:eastAsia="Arial" w:hAnsi="Arial"/>
          <w:sz w:val="18"/>
          <w:szCs w:val="18"/>
          <w:b w:val="1"/>
          <w:bCs w:val="1"/>
          <w:color w:val="auto"/>
        </w:rPr>
      </w:pPr>
    </w:p>
    <w:p>
      <w:pPr>
        <w:ind w:left="692"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Any body corporate which is a Member of the Company may by resolution of its Directors or other governing body authorise such person as it thinks fit to act as its representative at any meeting of the Company or of any class of Members of the Company and the person so authorised shall be entitled to exercise the same powers on behalf of the body corporate which he represents as that body corporate could exercise if it were an individual Member of the Company.</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692" w:hanging="692"/>
        <w:spacing w:after="0"/>
        <w:tabs>
          <w:tab w:leader="none" w:pos="69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Deposit of proxy instruments</w:t>
      </w:r>
    </w:p>
    <w:p>
      <w:pPr>
        <w:spacing w:after="0" w:line="256" w:lineRule="exact"/>
        <w:rPr>
          <w:rFonts w:ascii="Arial" w:cs="Arial" w:eastAsia="Arial" w:hAnsi="Arial"/>
          <w:sz w:val="18"/>
          <w:szCs w:val="18"/>
          <w:b w:val="1"/>
          <w:bCs w:val="1"/>
          <w:color w:val="auto"/>
        </w:rPr>
      </w:pPr>
    </w:p>
    <w:p>
      <w:pPr>
        <w:ind w:left="692"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appointment of a proxy and any authority under which it is executed (or otherwise authenticated in a manner approved by the Directors) or a copy of such authority or appointment (or the information contained therein), certified notarially or in some other way authenticated in a manner approved by the Directors, shall be delivered to or lodged at the Office or (at the option of the Member) at such other place or places (if any) as may be specified for that purpose in or by way of note to the notice convening the meeting not later than the Record Date in respect of the meeting or adjourned meeting or (in the case of a poll taken otherwise than at or on the same day as the meeting or adjourned meeting) for the taking of the poll at which it is to be used, and in default shall not be treated as valid. Provided that:</w:t>
      </w:r>
    </w:p>
    <w:p>
      <w:pPr>
        <w:spacing w:after="0" w:line="205" w:lineRule="exact"/>
        <w:rPr>
          <w:rFonts w:ascii="Arial" w:cs="Arial" w:eastAsia="Arial" w:hAnsi="Arial"/>
          <w:sz w:val="18"/>
          <w:szCs w:val="18"/>
          <w:b w:val="1"/>
          <w:bCs w:val="1"/>
          <w:color w:val="auto"/>
        </w:rPr>
      </w:pPr>
    </w:p>
    <w:p>
      <w:pPr>
        <w:ind w:left="1372" w:right="60" w:hanging="683"/>
        <w:spacing w:after="0" w:line="259" w:lineRule="auto"/>
        <w:tabs>
          <w:tab w:leader="none" w:pos="1372" w:val="left"/>
        </w:tabs>
        <w:numPr>
          <w:ilvl w:val="2"/>
          <w:numId w:val="92"/>
        </w:numPr>
        <w:rPr>
          <w:rFonts w:ascii="Arial" w:cs="Arial" w:eastAsia="Arial" w:hAnsi="Arial"/>
          <w:sz w:val="18"/>
          <w:szCs w:val="18"/>
          <w:color w:val="auto"/>
        </w:rPr>
      </w:pPr>
      <w:r>
        <w:rPr>
          <w:rFonts w:ascii="Arial" w:cs="Arial" w:eastAsia="Arial" w:hAnsi="Arial"/>
          <w:sz w:val="18"/>
          <w:szCs w:val="18"/>
          <w:color w:val="auto"/>
        </w:rPr>
        <w:t>in the case of a meeting which is adjourned to, or a poll which is to be taken on, a date not later than the Record Date applicable to the meeting which was adjourned or at which the poll was demanded, it shall be sufficient if the appointment of a proxy and any such authority and certification thereof as aforesaid is delivered to or lodged with the Secretary at the commencement of the adjourned meeting or the taking of the poll;</w:t>
      </w:r>
    </w:p>
    <w:p>
      <w:pPr>
        <w:spacing w:after="0" w:line="213" w:lineRule="exact"/>
        <w:rPr>
          <w:rFonts w:ascii="Arial" w:cs="Arial" w:eastAsia="Arial" w:hAnsi="Arial"/>
          <w:sz w:val="18"/>
          <w:szCs w:val="18"/>
          <w:color w:val="auto"/>
        </w:rPr>
      </w:pPr>
    </w:p>
    <w:p>
      <w:pPr>
        <w:ind w:left="1372" w:right="240" w:hanging="724"/>
        <w:spacing w:after="0" w:line="342" w:lineRule="auto"/>
        <w:tabs>
          <w:tab w:leader="none" w:pos="1372"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 appointment of a proxy relating to more than one meeting (including any adjournment thereof) having once been so delivered for the purposes of any meeting shall not require to be delivered again for the purposes of any subsequent meeting to which it relates;</w:t>
      </w:r>
    </w:p>
    <w:p>
      <w:pPr>
        <w:spacing w:after="0" w:line="150" w:lineRule="exact"/>
        <w:rPr>
          <w:rFonts w:ascii="Arial" w:cs="Arial" w:eastAsia="Arial" w:hAnsi="Arial"/>
          <w:sz w:val="16"/>
          <w:szCs w:val="16"/>
          <w:color w:val="auto"/>
        </w:rPr>
      </w:pPr>
    </w:p>
    <w:p>
      <w:pPr>
        <w:ind w:left="1372" w:hanging="724"/>
        <w:spacing w:after="0" w:line="264" w:lineRule="auto"/>
        <w:tabs>
          <w:tab w:leader="none" w:pos="137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appointments of proxy may, provided they are received in legible form, be submitted by telefax to such telefax number as may be specified by the Secretary for such purpose provided that in the case of such telefax appointment of proxy, the Secretary shall have endorsed the same with a certificate stating that he is satisfied as to the authenticity thereof; and</w:t>
      </w:r>
    </w:p>
    <w:p>
      <w:pPr>
        <w:spacing w:after="0" w:line="208" w:lineRule="exact"/>
        <w:rPr>
          <w:rFonts w:ascii="Arial" w:cs="Arial" w:eastAsia="Arial" w:hAnsi="Arial"/>
          <w:sz w:val="18"/>
          <w:szCs w:val="18"/>
          <w:color w:val="auto"/>
        </w:rPr>
      </w:pPr>
    </w:p>
    <w:p>
      <w:pPr>
        <w:jc w:val="both"/>
        <w:ind w:left="1372" w:right="120" w:hanging="670"/>
        <w:spacing w:after="0" w:line="302" w:lineRule="auto"/>
        <w:tabs>
          <w:tab w:leader="none" w:pos="1372" w:val="left"/>
        </w:tabs>
        <w:numPr>
          <w:ilvl w:val="3"/>
          <w:numId w:val="92"/>
        </w:numPr>
        <w:rPr>
          <w:rFonts w:ascii="Arial" w:cs="Arial" w:eastAsia="Arial" w:hAnsi="Arial"/>
          <w:sz w:val="16"/>
          <w:szCs w:val="16"/>
          <w:color w:val="auto"/>
        </w:rPr>
      </w:pPr>
      <w:r>
        <w:rPr>
          <w:rFonts w:ascii="Arial" w:cs="Arial" w:eastAsia="Arial" w:hAnsi="Arial"/>
          <w:sz w:val="16"/>
          <w:szCs w:val="16"/>
          <w:color w:val="auto"/>
        </w:rPr>
        <w:t>when two or more valid but differing appointments of a proxy are received in respect of the same shares for use at the same meeting, the one bearing the later date shall be treated as replacing and revoking the other; if the appointments are undated the last one received shall be treated as valid; and if the Company is unable to determine which was the last received, none shall be treated as valid, and a certificate endorsed by the Secretary stating that the appointment is valid or invalid, as the case may be, shall be conclusive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40" w:name="page141"/>
    <w:bookmarkEnd w:id="140"/>
    <w:p>
      <w:pPr>
        <w:spacing w:after="0"/>
        <w:tabs>
          <w:tab w:leader="none" w:pos="680" w:val="left"/>
        </w:tabs>
        <w:rPr>
          <w:sz w:val="20"/>
          <w:szCs w:val="20"/>
          <w:color w:val="auto"/>
        </w:rPr>
      </w:pPr>
      <w:r>
        <w:rPr>
          <w:rFonts w:ascii="Arial" w:cs="Arial" w:eastAsia="Arial" w:hAnsi="Arial"/>
          <w:sz w:val="18"/>
          <w:szCs w:val="18"/>
          <w:b w:val="1"/>
          <w:bCs w:val="1"/>
          <w:color w:val="auto"/>
        </w:rPr>
        <w:t>72A</w:t>
      </w:r>
      <w:r>
        <w:rPr>
          <w:sz w:val="20"/>
          <w:szCs w:val="20"/>
          <w:color w:val="auto"/>
        </w:rPr>
        <w:tab/>
      </w:r>
      <w:r>
        <w:rPr>
          <w:rFonts w:ascii="Arial" w:cs="Arial" w:eastAsia="Arial" w:hAnsi="Arial"/>
          <w:sz w:val="18"/>
          <w:szCs w:val="18"/>
          <w:b w:val="1"/>
          <w:bCs w:val="1"/>
          <w:color w:val="auto"/>
        </w:rPr>
        <w:t>Electronic proxy</w:t>
      </w:r>
    </w:p>
    <w:p>
      <w:pPr>
        <w:spacing w:after="0" w:line="229" w:lineRule="exact"/>
        <w:rPr>
          <w:sz w:val="20"/>
          <w:szCs w:val="20"/>
          <w:color w:val="auto"/>
        </w:rPr>
      </w:pPr>
    </w:p>
    <w:p>
      <w:pPr>
        <w:ind w:left="700" w:right="40"/>
        <w:spacing w:after="0" w:line="288" w:lineRule="auto"/>
        <w:rPr>
          <w:sz w:val="20"/>
          <w:szCs w:val="20"/>
          <w:color w:val="auto"/>
        </w:rPr>
      </w:pPr>
      <w:r>
        <w:rPr>
          <w:rFonts w:ascii="Arial" w:cs="Arial" w:eastAsia="Arial" w:hAnsi="Arial"/>
          <w:sz w:val="16"/>
          <w:szCs w:val="16"/>
          <w:color w:val="auto"/>
        </w:rPr>
        <w:t>Notwithstanding anything contained in these Articles, in relation to any Shares, the Directors may from time to time permit appointments of proxies to be made by electronic means (including without limitation by means of Electronic Communication generated and sent by Members to the Company via a website for this purpose using identification numbers communicated by or on behalf of the Company to each Member) in such manner or form and subject to such terms, conditions or restrictions as the Directors may, subject to and in accordance with the Acts, determine or approve from time to time in their absolute discretion. Subject as aforesaid, the Company and its Directors, Secretary or officers shall not be compelled to accept or receive any instrument appointing a proxy in accordance with this Article until such time as the Directors shall have advised (pursuant to any terms and conditions of Electronic Communication or otherwise) the Members in writing of the manner, form and restrictions (if any) by which such appointment may be made. The Directors may prescribe the method of determining the time at which any such appointment of a proxy is to be treated as received by the Company. The Directors may treat any such appointment which purports to be or is expressed to be sent on behalf of a Member as sufficient evidence of the authority of the person sending that instruction to send it on behalf of that Member.</w:t>
      </w:r>
    </w:p>
    <w:p>
      <w:pPr>
        <w:spacing w:after="0" w:line="196" w:lineRule="exact"/>
        <w:rPr>
          <w:sz w:val="20"/>
          <w:szCs w:val="20"/>
          <w:color w:val="auto"/>
        </w:rPr>
      </w:pPr>
    </w:p>
    <w:p>
      <w:pPr>
        <w:ind w:left="700" w:right="300"/>
        <w:spacing w:after="0" w:line="259" w:lineRule="auto"/>
        <w:rPr>
          <w:sz w:val="20"/>
          <w:szCs w:val="20"/>
          <w:color w:val="auto"/>
        </w:rPr>
      </w:pPr>
      <w:r>
        <w:rPr>
          <w:rFonts w:ascii="Arial" w:cs="Arial" w:eastAsia="Arial" w:hAnsi="Arial"/>
          <w:sz w:val="18"/>
          <w:szCs w:val="18"/>
          <w:color w:val="auto"/>
        </w:rPr>
        <w:t>For the purposes of Article 72, the place to which the appointment of proxy should be delivered by the Member shall be such number or address (including any number or address used for the purpose of communication by way of electronic mail or other Electronic Communication) or identification number of a Member as is notified by the Directors to the Members whether by way of note to the notice convening the meeting or otherwise.</w:t>
      </w:r>
    </w:p>
    <w:p>
      <w:pPr>
        <w:spacing w:after="0" w:line="200" w:lineRule="exact"/>
        <w:rPr>
          <w:sz w:val="20"/>
          <w:szCs w:val="20"/>
          <w:color w:val="auto"/>
        </w:rPr>
      </w:pPr>
    </w:p>
    <w:p>
      <w:pPr>
        <w:spacing w:after="0" w:line="253" w:lineRule="exact"/>
        <w:rPr>
          <w:sz w:val="20"/>
          <w:szCs w:val="20"/>
          <w:color w:val="auto"/>
        </w:rPr>
      </w:pPr>
    </w:p>
    <w:p>
      <w:pPr>
        <w:ind w:left="700" w:hanging="692"/>
        <w:spacing w:after="0"/>
        <w:tabs>
          <w:tab w:leader="none" w:pos="7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proxy appointments</w:t>
      </w:r>
    </w:p>
    <w:p>
      <w:pPr>
        <w:spacing w:after="0" w:line="256" w:lineRule="exact"/>
        <w:rPr>
          <w:rFonts w:ascii="Arial" w:cs="Arial" w:eastAsia="Arial" w:hAnsi="Arial"/>
          <w:sz w:val="18"/>
          <w:szCs w:val="18"/>
          <w:b w:val="1"/>
          <w:bCs w:val="1"/>
          <w:color w:val="auto"/>
        </w:rPr>
      </w:pPr>
    </w:p>
    <w:p>
      <w:pPr>
        <w:ind w:left="1380" w:hanging="751"/>
        <w:spacing w:after="0" w:line="255" w:lineRule="auto"/>
        <w:tabs>
          <w:tab w:leader="none" w:pos="13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Delivery or lodging of an appointment of a proxy in respect of a meeting shall not preclude a Member from attending and voting at the meeting or at any adjournment thereof. A proxy shall have the right unless the contrary is stated in his appointment to exercise all or any of the rights of his appointer, or (where more than one proxy is appointed) all or any of the rights attached to the shares in respect of which he has been appointed the proxy to attend, to demand or join in demanding a poll and to speak and vote at a general meeting of the Company. Unless his appointment provides otherwise, a proxy may vote or abstain in his discretion on any resolution put to the vote. The appointment of a proxy shall be valid, unless the contrary is stated therein, as well for any adjournment of the meeting as for the meeting to which it relates.</w:t>
      </w:r>
    </w:p>
    <w:p>
      <w:pPr>
        <w:spacing w:after="0" w:line="216" w:lineRule="exact"/>
        <w:rPr>
          <w:rFonts w:ascii="Arial" w:cs="Arial" w:eastAsia="Arial" w:hAnsi="Arial"/>
          <w:sz w:val="18"/>
          <w:szCs w:val="18"/>
          <w:color w:val="auto"/>
        </w:rPr>
      </w:pPr>
    </w:p>
    <w:p>
      <w:pPr>
        <w:ind w:left="1380" w:hanging="737"/>
        <w:spacing w:after="0" w:line="279" w:lineRule="auto"/>
        <w:tabs>
          <w:tab w:leader="none" w:pos="1380" w:val="left"/>
        </w:tabs>
        <w:numPr>
          <w:ilvl w:val="2"/>
          <w:numId w:val="93"/>
        </w:numPr>
        <w:rPr>
          <w:rFonts w:ascii="Arial" w:cs="Arial" w:eastAsia="Arial" w:hAnsi="Arial"/>
          <w:sz w:val="17"/>
          <w:szCs w:val="17"/>
          <w:color w:val="auto"/>
        </w:rPr>
      </w:pPr>
      <w:r>
        <w:rPr>
          <w:rFonts w:ascii="Arial" w:cs="Arial" w:eastAsia="Arial" w:hAnsi="Arial"/>
          <w:sz w:val="17"/>
          <w:szCs w:val="17"/>
          <w:color w:val="auto"/>
        </w:rPr>
        <w:t>Subject always to the provisions of the Acts, the appointment, and notification of any revocation of appointment of, a proxy, and the giving of voting instructions to a proxy shall be subject to such formal requirements as the Directors from time to time in their absolute discretion may consider necessary in order to ensure the correct identification of a Member's appointment, to ensure the correct identification of a proxy acting on foot of such appointment, and to ensure the correct determination of a Member's voting instructions.</w:t>
      </w:r>
    </w:p>
    <w:p>
      <w:pPr>
        <w:spacing w:after="0" w:line="200" w:lineRule="exact"/>
        <w:rPr>
          <w:rFonts w:ascii="Arial" w:cs="Arial" w:eastAsia="Arial" w:hAnsi="Arial"/>
          <w:sz w:val="17"/>
          <w:szCs w:val="17"/>
          <w:color w:val="auto"/>
        </w:rPr>
      </w:pPr>
    </w:p>
    <w:p>
      <w:pPr>
        <w:spacing w:after="0" w:line="237" w:lineRule="exact"/>
        <w:rPr>
          <w:rFonts w:ascii="Arial" w:cs="Arial" w:eastAsia="Arial" w:hAnsi="Arial"/>
          <w:sz w:val="17"/>
          <w:szCs w:val="17"/>
          <w:color w:val="auto"/>
        </w:rPr>
      </w:pPr>
    </w:p>
    <w:p>
      <w:pPr>
        <w:ind w:left="700" w:hanging="692"/>
        <w:spacing w:after="0"/>
        <w:tabs>
          <w:tab w:leader="none" w:pos="7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revocation of proxy or of an authorisation</w:t>
      </w:r>
    </w:p>
    <w:p>
      <w:pPr>
        <w:spacing w:after="0" w:line="256" w:lineRule="exact"/>
        <w:rPr>
          <w:rFonts w:ascii="Arial" w:cs="Arial" w:eastAsia="Arial" w:hAnsi="Arial"/>
          <w:sz w:val="18"/>
          <w:szCs w:val="18"/>
          <w:b w:val="1"/>
          <w:bCs w:val="1"/>
          <w:color w:val="auto"/>
        </w:rPr>
      </w:pPr>
    </w:p>
    <w:p>
      <w:pPr>
        <w:ind w:left="700"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 vote given or poll demanded in accordance with the terms of an appointment of a proxy or a resolution authorising a representative to act on behalf of a body corporate shall be valid notwithstanding the death or insanity of the principal or the revocation of the appointment of a proxy or of the authority under which the appointment of a proxy was executed or otherwise authenticated in a manner approved by the Directors (as the case may be) or of the resolution authorising the representative to act or transfer the Share in respect of which the appointment of a proxy or the authorisation of the representative to act was given, provided that no intimation in writing of such death, insanity, revocation or transfer shall have been received by the Company at the Office or at such other address as may be specified in the notice of meeting or in the notes thereto at least one hour or such longer period as may be required by the Directors and so notified in the notice of meeting or in the notes thereto as aforesaid before the commencement of the meeting or adjourned meeting at which the appointment of a proxy is used or at which the representative acts PROVIDED HOWEVER that where such intimation is given in electronic form, it shall have been received by the Company at least 24 hours before the commencement of the meeting, or such other period as may be specified by the Directors and so notified in the notice of meeting or in the notes thereto as aforesaid before the commencement of the meeting or adjourned meeting at which the appointment of a proxy is used or at which the representative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1" w:name="page142"/>
    <w:bookmarkEnd w:id="141"/>
    <w:p>
      <w:pPr>
        <w:ind w:left="700" w:right="20"/>
        <w:spacing w:after="0" w:line="255" w:lineRule="auto"/>
        <w:rPr>
          <w:sz w:val="20"/>
          <w:szCs w:val="20"/>
          <w:color w:val="auto"/>
        </w:rPr>
      </w:pPr>
      <w:r>
        <w:rPr>
          <w:rFonts w:ascii="Arial" w:cs="Arial" w:eastAsia="Arial" w:hAnsi="Arial"/>
          <w:sz w:val="18"/>
          <w:szCs w:val="18"/>
          <w:color w:val="auto"/>
        </w:rPr>
        <w:t>The Directors may send, at the expense of the Company, by post, by electronic means or otherwise, to the Members appointments of a proxy (with or without stamped envelopes for their return) for use at any general meeting or at any class meeting, either in blank or nominating any one or more of the Directors or any other persons in the alternative. If for the purpose of any meeting invitations to appoint as proxy a person or one of a number of persons specified in the invitations are issued at the expense of the Company, such invitations shall be issued to all (and not to some only) of the Members entitled to be sent a notice of the meeting and to vote thereat by proxy. The accidental omission to issue the appointments of proxy herein referred to, or the non-receipt of any such invitation by any Member entitled to receive such invitation shall not invalidate the proceedings at any such meeting.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XIII - Directors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256" w:lineRule="exact"/>
        <w:rPr>
          <w:rFonts w:ascii="Arial" w:cs="Arial" w:eastAsia="Arial" w:hAnsi="Arial"/>
          <w:sz w:val="18"/>
          <w:szCs w:val="18"/>
          <w:b w:val="1"/>
          <w:bCs w:val="1"/>
          <w:color w:val="auto"/>
        </w:rPr>
      </w:pPr>
    </w:p>
    <w:p>
      <w:pPr>
        <w:ind w:left="1380" w:hanging="724"/>
        <w:spacing w:after="0" w:line="253" w:lineRule="auto"/>
        <w:tabs>
          <w:tab w:leader="none" w:pos="13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Unless otherwise determined by the Company in General Meeting the number of Directors shall not be more than fifteen nor less than three. The continuing Directors may act notwithstanding any vacancy in their body, provided that if the number of the Directors is reduced below the prescribed minimum the remaining Director or Directors shall appoint forthwith an additional Director or additional Directors to make up such minimum or shall convene a general meeting of the Company for the purpose of making such appointment. If there be no Director or Directors able or willing to act then any two Members may summon a general meeting for the purpose of appointing Directors. Any additional Director so appointed shall hold office (subject to the provisions of the Acts and these Articles) only until the conclusion of the annual general meeting of the Company next following such appointment unless he is re-elected during such meeting and he shall not retire by rotation at such meeting or be taken into account in determining the Directors who are to retire by rotation at such meeting.</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700" w:hanging="692"/>
        <w:spacing w:after="0"/>
        <w:tabs>
          <w:tab w:leader="none" w:pos="7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Share qualification</w:t>
      </w:r>
    </w:p>
    <w:p>
      <w:pPr>
        <w:spacing w:after="0" w:line="25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A Director shall not require a Share qualification.</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700" w:hanging="692"/>
        <w:spacing w:after="0"/>
        <w:tabs>
          <w:tab w:leader="none" w:pos="7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remuneration of Directors</w:t>
      </w:r>
    </w:p>
    <w:p>
      <w:pPr>
        <w:spacing w:after="0" w:line="256" w:lineRule="exact"/>
        <w:rPr>
          <w:rFonts w:ascii="Arial" w:cs="Arial" w:eastAsia="Arial" w:hAnsi="Arial"/>
          <w:sz w:val="18"/>
          <w:szCs w:val="18"/>
          <w:b w:val="1"/>
          <w:bCs w:val="1"/>
          <w:color w:val="auto"/>
        </w:rPr>
      </w:pPr>
    </w:p>
    <w:p>
      <w:pPr>
        <w:ind w:left="7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ordinary remuneration of the Directors shall be determined from time to time by an ordinary resolution of the Company and shall be divisible (unless such resolution shall provide otherwise) among the Directors as they may agree, or, failing agreement, equally, except that any Director who shall hold office for part only of the period in respect of which such remuneration is payable shall be entitled only to rank in such division for a proportion of the remuneration related to the period during which he has held office.</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700" w:hanging="692"/>
        <w:spacing w:after="0"/>
        <w:tabs>
          <w:tab w:leader="none" w:pos="7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remuneration of Directors</w:t>
      </w:r>
    </w:p>
    <w:p>
      <w:pPr>
        <w:spacing w:after="0" w:line="256" w:lineRule="exact"/>
        <w:rPr>
          <w:rFonts w:ascii="Arial" w:cs="Arial" w:eastAsia="Arial" w:hAnsi="Arial"/>
          <w:sz w:val="18"/>
          <w:szCs w:val="18"/>
          <w:b w:val="1"/>
          <w:bCs w:val="1"/>
          <w:color w:val="auto"/>
        </w:rPr>
      </w:pPr>
    </w:p>
    <w:p>
      <w:pPr>
        <w:ind w:left="7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Any Director who holds any executive office (including for this purpose the office of Chairman or Deputy Chairman) or who serves on any committee, or who otherwise performs services which in the opinion of the Directors are outside the scope of the ordinary duties of a Director, may be paid such extra remuneration by way of salary, commission or otherwise as the Directors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2" w:name="page143"/>
    <w:bookmarkEnd w:id="142"/>
    <w:p>
      <w:pPr>
        <w:ind w:left="700" w:hanging="692"/>
        <w:spacing w:after="0"/>
        <w:tabs>
          <w:tab w:leader="none" w:pos="7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Directors</w:t>
      </w:r>
    </w:p>
    <w:p>
      <w:pPr>
        <w:spacing w:after="0" w:line="256" w:lineRule="exact"/>
        <w:rPr>
          <w:rFonts w:ascii="Arial" w:cs="Arial" w:eastAsia="Arial" w:hAnsi="Arial"/>
          <w:sz w:val="18"/>
          <w:szCs w:val="18"/>
          <w:b w:val="1"/>
          <w:bCs w:val="1"/>
          <w:color w:val="auto"/>
        </w:rPr>
      </w:pPr>
    </w:p>
    <w:p>
      <w:pPr>
        <w:ind w:left="700"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Directors may be paid all travelling, hotel and other expenses properly incurred by them in connection with their attendance at meetings of Directors or committees of Directors or general meetings or separate meetings of the Holders of any class of Shares or of debentures of the Company or otherwise in connection with the discharge of their duties.</w:t>
      </w:r>
    </w:p>
    <w:p>
      <w:pPr>
        <w:spacing w:after="0" w:line="204" w:lineRule="exact"/>
        <w:rPr>
          <w:rFonts w:ascii="Arial" w:cs="Arial" w:eastAsia="Arial" w:hAnsi="Arial"/>
          <w:sz w:val="18"/>
          <w:szCs w:val="18"/>
          <w:b w:val="1"/>
          <w:bCs w:val="1"/>
          <w:color w:val="auto"/>
        </w:rPr>
      </w:pPr>
    </w:p>
    <w:p>
      <w:pPr>
        <w:ind w:left="700" w:hanging="692"/>
        <w:spacing w:after="0"/>
        <w:tabs>
          <w:tab w:leader="none" w:pos="7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256" w:lineRule="exact"/>
        <w:rPr>
          <w:rFonts w:ascii="Arial" w:cs="Arial" w:eastAsia="Arial" w:hAnsi="Arial"/>
          <w:sz w:val="18"/>
          <w:szCs w:val="18"/>
          <w:b w:val="1"/>
          <w:bCs w:val="1"/>
          <w:color w:val="auto"/>
        </w:rPr>
      </w:pPr>
    </w:p>
    <w:p>
      <w:pPr>
        <w:ind w:left="1380" w:right="220" w:hanging="724"/>
        <w:spacing w:after="0" w:line="264"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Director may appoint by writing under his hand any person (including another Director) to be his alternate provided always that no such appointment of a person other than a Director as an alternate shall be operative unless and until such appointment shall have been approved by resolution of the Directors.</w:t>
      </w:r>
    </w:p>
    <w:p>
      <w:pPr>
        <w:spacing w:after="0" w:line="208" w:lineRule="exact"/>
        <w:rPr>
          <w:rFonts w:ascii="Arial" w:cs="Arial" w:eastAsia="Arial" w:hAnsi="Arial"/>
          <w:sz w:val="18"/>
          <w:szCs w:val="18"/>
          <w:color w:val="auto"/>
        </w:rPr>
      </w:pPr>
    </w:p>
    <w:p>
      <w:pPr>
        <w:ind w:left="1380" w:hanging="724"/>
        <w:spacing w:after="0" w:line="257"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 alternate Director shall be entitled, subject to his giving to the Company an address within the State, the United Kingdom or the United States of America, to receive notices of all meetings of the Directors and of all meetings of committees of Directors of which his appointor is a member, to attend and vote at any such meeting at which the Director appointing him is not personally present and in the absence of his appointor to exercise all the powers, rights, duties and authorities of his appointor as a Director (other than the right to appoint an alternate hereunder).</w:t>
      </w:r>
    </w:p>
    <w:p>
      <w:pPr>
        <w:spacing w:after="0" w:line="215" w:lineRule="exact"/>
        <w:rPr>
          <w:rFonts w:ascii="Arial" w:cs="Arial" w:eastAsia="Arial" w:hAnsi="Arial"/>
          <w:sz w:val="18"/>
          <w:szCs w:val="18"/>
          <w:color w:val="auto"/>
        </w:rPr>
      </w:pPr>
    </w:p>
    <w:p>
      <w:pPr>
        <w:ind w:left="1380" w:right="120" w:hanging="724"/>
        <w:spacing w:after="0" w:line="302" w:lineRule="auto"/>
        <w:tabs>
          <w:tab w:leader="none" w:pos="13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Save as otherwise provided in these Articles, an alternate Director shall be deemed for all purposes to be a Director and shall alone be responsible for his own acts and defaults and he shall not be deemed to be the agent of the Director appointing him. The remuneration of any such alternate Director shall be payable out of the remuneration paid to the Director appointing him and shall consist of such portion of the last mentioned remuneration as shall be agreed between the alternate and the Director appointing him.</w:t>
      </w:r>
    </w:p>
    <w:p>
      <w:pPr>
        <w:spacing w:after="0" w:line="181" w:lineRule="exact"/>
        <w:rPr>
          <w:rFonts w:ascii="Arial" w:cs="Arial" w:eastAsia="Arial" w:hAnsi="Arial"/>
          <w:sz w:val="16"/>
          <w:szCs w:val="16"/>
          <w:color w:val="auto"/>
        </w:rPr>
      </w:pPr>
    </w:p>
    <w:p>
      <w:pPr>
        <w:ind w:left="1380" w:right="40" w:hanging="724"/>
        <w:spacing w:after="0" w:line="279" w:lineRule="auto"/>
        <w:tabs>
          <w:tab w:leader="none" w:pos="13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 Director may revoke at any time the appointment of any alternate appointed by him. If a Director shall die or cease to hold the office of Director the appointment of his alternate shall thereupon cease and determine but if a Director retires by rotation or otherwise but is reappointed or deemed to have been reappointed at the meeting at which he retires, any appointment of an alternate Director made by him which was in force immediately prior to his retirement shall continue after his re-appointment.</w:t>
      </w:r>
    </w:p>
    <w:p>
      <w:pPr>
        <w:spacing w:after="0" w:line="198" w:lineRule="exact"/>
        <w:rPr>
          <w:rFonts w:ascii="Arial" w:cs="Arial" w:eastAsia="Arial" w:hAnsi="Arial"/>
          <w:sz w:val="17"/>
          <w:szCs w:val="17"/>
          <w:color w:val="auto"/>
        </w:rPr>
      </w:pPr>
    </w:p>
    <w:p>
      <w:pPr>
        <w:ind w:left="1380" w:right="20" w:hanging="724"/>
        <w:spacing w:after="0" w:line="264"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appointment or revocation pursuant to this Article may be sent by delivery, post, cable, telegram, telex, telefax, electronic mail or any other means of communication approved by the Directors and may bear a printed or facsimile signature of the Director making such appointment or revocation or in any other manner approved by the Directors.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XIV - Powers of Directors</w:t>
      </w:r>
    </w:p>
    <w:p>
      <w:pPr>
        <w:spacing w:after="0" w:line="200" w:lineRule="exact"/>
        <w:rPr>
          <w:sz w:val="20"/>
          <w:szCs w:val="20"/>
          <w:color w:val="auto"/>
        </w:rPr>
      </w:pPr>
    </w:p>
    <w:p>
      <w:pPr>
        <w:spacing w:after="0" w:line="295" w:lineRule="exact"/>
        <w:rPr>
          <w:sz w:val="20"/>
          <w:szCs w:val="20"/>
          <w:color w:val="auto"/>
        </w:rPr>
      </w:pPr>
    </w:p>
    <w:p>
      <w:pPr>
        <w:ind w:left="700" w:hanging="692"/>
        <w:spacing w:after="0"/>
        <w:tabs>
          <w:tab w:leader="none" w:pos="7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powers</w:t>
      </w:r>
    </w:p>
    <w:p>
      <w:pPr>
        <w:spacing w:after="0" w:line="256" w:lineRule="exact"/>
        <w:rPr>
          <w:rFonts w:ascii="Arial" w:cs="Arial" w:eastAsia="Arial" w:hAnsi="Arial"/>
          <w:sz w:val="18"/>
          <w:szCs w:val="18"/>
          <w:b w:val="1"/>
          <w:bCs w:val="1"/>
          <w:color w:val="auto"/>
        </w:rPr>
      </w:pPr>
    </w:p>
    <w:p>
      <w:pPr>
        <w:ind w:left="70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 Acts, the Memorandum of Association of the Company and these Articles and to any directions by the Members given by ordinary resolution, not being inconsistent with these Articles or with the Acts, the business of the Company shall be managed by the Directors who may do all such acts and things and exercise all the powers of the Company as are not by the Acts or by these Articles required to be done or exercised by the Company in general meeting. No alteration of the Memorandum of Association of the Company or of these Articles and no such direction shall invalidate any prior act of the Directors which would have been valid if that alteration had not been made or that direction had not been given. The powers given by this Article shall not be limited by any special power given to the Directors by these Articles and a meeting of Directors at which a quorum is present may exercise all powers exercisable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3" w:name="page144"/>
    <w:bookmarkEnd w:id="143"/>
    <w:p>
      <w:pPr>
        <w:ind w:left="692" w:hanging="692"/>
        <w:spacing w:after="0"/>
        <w:tabs>
          <w:tab w:leader="none" w:pos="69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delegate</w:t>
      </w:r>
    </w:p>
    <w:p>
      <w:pPr>
        <w:spacing w:after="0" w:line="256" w:lineRule="exact"/>
        <w:rPr>
          <w:rFonts w:ascii="Arial" w:cs="Arial" w:eastAsia="Arial" w:hAnsi="Arial"/>
          <w:sz w:val="18"/>
          <w:szCs w:val="18"/>
          <w:b w:val="1"/>
          <w:bCs w:val="1"/>
          <w:color w:val="auto"/>
        </w:rPr>
      </w:pPr>
    </w:p>
    <w:p>
      <w:pPr>
        <w:ind w:left="692"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Without prejudice to the generality of the last preceding Article, the Directors may delegate (with power to sub- delegate) any of their powers to any Managing Director or any other Director holding any other executive office and to any committee consisting of one or more Directors together with such other persons (if any)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committee present at the meeting at which it was passed are Directors. Insofar as any such power or discretion is delegated to a committee any reference in these Articles to the exercise by the Directors of the power or discretion so delegated shall be read and construed as if it were a reference to the exercise thereof by such a committee. Any such delegation may be made subject to any conditions the Directors may impose, and either collaterally with or to the exclusion of their own powers and may be revoked. Subject to any such conditions, the proceedings of a committee with two or more members shall be governed by the provisions of these Articles regulating the proceedings of Directors so far as they are capable of applying.</w:t>
      </w: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ind w:left="692" w:hanging="692"/>
        <w:spacing w:after="0"/>
        <w:tabs>
          <w:tab w:leader="none" w:pos="69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attorneys</w:t>
      </w:r>
    </w:p>
    <w:p>
      <w:pPr>
        <w:spacing w:after="0" w:line="256" w:lineRule="exact"/>
        <w:rPr>
          <w:rFonts w:ascii="Arial" w:cs="Arial" w:eastAsia="Arial" w:hAnsi="Arial"/>
          <w:sz w:val="18"/>
          <w:szCs w:val="18"/>
          <w:b w:val="1"/>
          <w:bCs w:val="1"/>
          <w:color w:val="auto"/>
        </w:rPr>
      </w:pPr>
    </w:p>
    <w:p>
      <w:pPr>
        <w:ind w:left="692"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Directors, from time to time and at any time by power of attorney under seal, may appoint any company, firm or person or fluctuating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Any such power of attorney may contain such provisions for the protection of persons dealing with any such attorney as the Directors may think fit and may authorise any such attorney to sub-delegate all or any of the powers, authorities and discretions vested in him.</w:t>
      </w:r>
    </w:p>
    <w:p>
      <w:pPr>
        <w:spacing w:after="0" w:line="200" w:lineRule="exact"/>
        <w:rPr>
          <w:rFonts w:ascii="Arial" w:cs="Arial" w:eastAsia="Arial" w:hAnsi="Arial"/>
          <w:sz w:val="18"/>
          <w:szCs w:val="18"/>
          <w:b w:val="1"/>
          <w:bCs w:val="1"/>
          <w:color w:val="auto"/>
        </w:rPr>
      </w:pPr>
    </w:p>
    <w:p>
      <w:pPr>
        <w:spacing w:after="0" w:line="259" w:lineRule="exact"/>
        <w:rPr>
          <w:rFonts w:ascii="Arial" w:cs="Arial" w:eastAsia="Arial" w:hAnsi="Arial"/>
          <w:sz w:val="18"/>
          <w:szCs w:val="18"/>
          <w:b w:val="1"/>
          <w:bCs w:val="1"/>
          <w:color w:val="auto"/>
        </w:rPr>
      </w:pPr>
    </w:p>
    <w:p>
      <w:pPr>
        <w:ind w:left="692" w:hanging="692"/>
        <w:spacing w:after="0"/>
        <w:tabs>
          <w:tab w:leader="none" w:pos="69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Local management</w:t>
      </w:r>
    </w:p>
    <w:p>
      <w:pPr>
        <w:spacing w:after="0" w:line="256" w:lineRule="exact"/>
        <w:rPr>
          <w:rFonts w:ascii="Arial" w:cs="Arial" w:eastAsia="Arial" w:hAnsi="Arial"/>
          <w:sz w:val="18"/>
          <w:szCs w:val="18"/>
          <w:b w:val="1"/>
          <w:bCs w:val="1"/>
          <w:color w:val="auto"/>
        </w:rPr>
      </w:pPr>
    </w:p>
    <w:p>
      <w:pPr>
        <w:ind w:left="69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Without prejudice to the generality of Articles 82 and 83 the Directors may establish any committees, local boards or agencies for managing any of the affairs of the Company, either in the State or elsewhere, and may appoint any persons to be members of such committees, local boards or agencies and may fix their remuneration and may delegate to any committee, local board or agent any of the powers, authorities and discretions vested in the Directors with power to sub-delegate and any such appointment or delegation may be made upon such terms and subject to such conditions as the Directors may think fit, and the Directors may remove any person so appointed, and may annul or vary any such delegation, but no person dealing in good faith with any such committee, local board or agency, without notice of any such removal, annulment or variation shall be affected thereby.</w:t>
      </w:r>
    </w:p>
    <w:p>
      <w:pPr>
        <w:spacing w:after="0" w:line="200" w:lineRule="exact"/>
        <w:rPr>
          <w:rFonts w:ascii="Arial" w:cs="Arial" w:eastAsia="Arial" w:hAnsi="Arial"/>
          <w:sz w:val="18"/>
          <w:szCs w:val="18"/>
          <w:b w:val="1"/>
          <w:bCs w:val="1"/>
          <w:color w:val="auto"/>
        </w:rPr>
      </w:pPr>
    </w:p>
    <w:p>
      <w:pPr>
        <w:spacing w:after="0" w:line="255" w:lineRule="exact"/>
        <w:rPr>
          <w:rFonts w:ascii="Arial" w:cs="Arial" w:eastAsia="Arial" w:hAnsi="Arial"/>
          <w:sz w:val="18"/>
          <w:szCs w:val="18"/>
          <w:b w:val="1"/>
          <w:bCs w:val="1"/>
          <w:color w:val="auto"/>
        </w:rPr>
      </w:pPr>
    </w:p>
    <w:p>
      <w:pPr>
        <w:ind w:left="692" w:hanging="692"/>
        <w:spacing w:after="0"/>
        <w:tabs>
          <w:tab w:leader="none" w:pos="69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powers</w:t>
      </w:r>
    </w:p>
    <w:p>
      <w:pPr>
        <w:spacing w:after="0" w:line="256" w:lineRule="exact"/>
        <w:rPr>
          <w:rFonts w:ascii="Arial" w:cs="Arial" w:eastAsia="Arial" w:hAnsi="Arial"/>
          <w:sz w:val="18"/>
          <w:szCs w:val="18"/>
          <w:b w:val="1"/>
          <w:bCs w:val="1"/>
          <w:color w:val="auto"/>
        </w:rPr>
      </w:pPr>
    </w:p>
    <w:p>
      <w:pPr>
        <w:ind w:left="692"/>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Directors may exercise all the powers of the Company to borrow or raise money and to mortgage or charge its undertaking, property, assets, and uncalled capital or any part thereof subject to Part III of the 1983 Act and to issue debentures, debenture stock and other securities whether outright or as collateral security for any debt, liability or obligation of the Company or of any third party, without any limitation as to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44" w:name="page145"/>
    <w:bookmarkEnd w:id="144"/>
    <w:p>
      <w:pPr>
        <w:ind w:left="700" w:hanging="692"/>
        <w:spacing w:after="0"/>
        <w:tabs>
          <w:tab w:leader="none" w:pos="7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negotiable instruments</w:t>
      </w:r>
    </w:p>
    <w:p>
      <w:pPr>
        <w:spacing w:after="0" w:line="256" w:lineRule="exact"/>
        <w:rPr>
          <w:rFonts w:ascii="Arial" w:cs="Arial" w:eastAsia="Arial" w:hAnsi="Arial"/>
          <w:sz w:val="18"/>
          <w:szCs w:val="18"/>
          <w:b w:val="1"/>
          <w:bCs w:val="1"/>
          <w:color w:val="auto"/>
        </w:rPr>
      </w:pPr>
    </w:p>
    <w:p>
      <w:pPr>
        <w:jc w:val="both"/>
        <w:ind w:left="70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All cheques, promissory notes, drafts, bills of exchange and other negotiable instruments and all receipts for moneys paid to the Company shall be signed, drawn, accepted, endorsed or otherwise executed, as the case may be, by such person or persons and in such manner as the Directors shall determine from time to time by resolution.</w:t>
      </w:r>
    </w:p>
    <w:p>
      <w:pPr>
        <w:spacing w:after="0" w:line="200" w:lineRule="exact"/>
        <w:rPr>
          <w:rFonts w:ascii="Arial" w:cs="Arial" w:eastAsia="Arial" w:hAnsi="Arial"/>
          <w:sz w:val="18"/>
          <w:szCs w:val="18"/>
          <w:b w:val="1"/>
          <w:bCs w:val="1"/>
          <w:color w:val="auto"/>
        </w:rPr>
      </w:pPr>
    </w:p>
    <w:p>
      <w:pPr>
        <w:spacing w:after="0" w:line="247" w:lineRule="exact"/>
        <w:rPr>
          <w:rFonts w:ascii="Arial" w:cs="Arial" w:eastAsia="Arial" w:hAnsi="Arial"/>
          <w:sz w:val="18"/>
          <w:szCs w:val="18"/>
          <w:b w:val="1"/>
          <w:bCs w:val="1"/>
          <w:color w:val="auto"/>
        </w:rPr>
      </w:pPr>
    </w:p>
    <w:p>
      <w:pPr>
        <w:ind w:left="700" w:hanging="692"/>
        <w:spacing w:after="0"/>
        <w:tabs>
          <w:tab w:leader="none" w:pos="7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employees</w:t>
      </w:r>
    </w:p>
    <w:p>
      <w:pPr>
        <w:spacing w:after="0" w:line="256" w:lineRule="exact"/>
        <w:rPr>
          <w:rFonts w:ascii="Arial" w:cs="Arial" w:eastAsia="Arial" w:hAnsi="Arial"/>
          <w:sz w:val="18"/>
          <w:szCs w:val="18"/>
          <w:b w:val="1"/>
          <w:bCs w:val="1"/>
          <w:color w:val="auto"/>
        </w:rPr>
      </w:pPr>
    </w:p>
    <w:p>
      <w:pPr>
        <w:ind w:left="70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Directors may exercise any power conferred by the Acts to make provision for the benefit of persons employed or formerly employed by the Company or any of its subsidiaries in connection with the cessation or the transfer to any person of the whole or any part of the undertaking of the Company or that subsidiary.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 - Appointment and Retirement of Directors</w:t>
      </w:r>
    </w:p>
    <w:p>
      <w:pPr>
        <w:spacing w:after="0" w:line="252" w:lineRule="exact"/>
        <w:rPr>
          <w:sz w:val="20"/>
          <w:szCs w:val="20"/>
          <w:color w:val="auto"/>
        </w:rPr>
      </w:pPr>
    </w:p>
    <w:p>
      <w:pPr>
        <w:ind w:left="700" w:hanging="692"/>
        <w:spacing w:after="0"/>
        <w:tabs>
          <w:tab w:leader="none" w:pos="7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by rotation</w:t>
      </w:r>
    </w:p>
    <w:p>
      <w:pPr>
        <w:spacing w:after="0" w:line="256" w:lineRule="exact"/>
        <w:rPr>
          <w:rFonts w:ascii="Arial" w:cs="Arial" w:eastAsia="Arial" w:hAnsi="Arial"/>
          <w:sz w:val="18"/>
          <w:szCs w:val="18"/>
          <w:b w:val="1"/>
          <w:bCs w:val="1"/>
          <w:color w:val="auto"/>
        </w:rPr>
      </w:pPr>
    </w:p>
    <w:p>
      <w:pPr>
        <w:ind w:left="1380" w:right="120" w:hanging="683"/>
        <w:spacing w:after="0" w:line="264" w:lineRule="auto"/>
        <w:tabs>
          <w:tab w:leader="none" w:pos="13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At each annual general meeting of the Company one third of the Directors who are subject to retirement by rotation, rounded down to the next whole number if it is a fractional number, shall retire from office, but if there is only one Director who is subject to retirement by rotation then he shall retire.</w:t>
      </w:r>
    </w:p>
    <w:p>
      <w:pPr>
        <w:spacing w:after="0" w:line="208" w:lineRule="exact"/>
        <w:rPr>
          <w:rFonts w:ascii="Arial" w:cs="Arial" w:eastAsia="Arial" w:hAnsi="Arial"/>
          <w:sz w:val="18"/>
          <w:szCs w:val="18"/>
          <w:color w:val="auto"/>
        </w:rPr>
      </w:pPr>
    </w:p>
    <w:p>
      <w:pPr>
        <w:ind w:left="1380" w:hanging="683"/>
        <w:spacing w:after="0" w:line="286" w:lineRule="auto"/>
        <w:tabs>
          <w:tab w:leader="none" w:pos="1380" w:val="left"/>
        </w:tabs>
        <w:numPr>
          <w:ilvl w:val="2"/>
          <w:numId w:val="99"/>
        </w:numPr>
        <w:rPr>
          <w:rFonts w:ascii="Arial" w:cs="Arial" w:eastAsia="Arial" w:hAnsi="Arial"/>
          <w:sz w:val="17"/>
          <w:szCs w:val="17"/>
          <w:color w:val="auto"/>
        </w:rPr>
      </w:pPr>
      <w:r>
        <w:rPr>
          <w:rFonts w:ascii="Arial" w:cs="Arial" w:eastAsia="Arial" w:hAnsi="Arial"/>
          <w:sz w:val="17"/>
          <w:szCs w:val="17"/>
          <w:color w:val="auto"/>
        </w:rPr>
        <w:t>The Directors (including any Directors holding executive office pursuant to these Articles) to retire by rotation shall be those who have been longest in office since their last appointment or reappointment but as between persons who became or were last reappointed Directors on the same day those to retire shall be determined (unless they otherwise agree among themselves) by lot.</w:t>
      </w:r>
    </w:p>
    <w:p>
      <w:pPr>
        <w:spacing w:after="0" w:line="192" w:lineRule="exact"/>
        <w:rPr>
          <w:rFonts w:ascii="Arial" w:cs="Arial" w:eastAsia="Arial" w:hAnsi="Arial"/>
          <w:sz w:val="17"/>
          <w:szCs w:val="17"/>
          <w:color w:val="auto"/>
        </w:rPr>
      </w:pPr>
    </w:p>
    <w:p>
      <w:pPr>
        <w:ind w:left="1380" w:right="200" w:hanging="724"/>
        <w:spacing w:after="0" w:line="264" w:lineRule="auto"/>
        <w:tabs>
          <w:tab w:leader="none" w:pos="13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Director who retires at an annual general meeting may be reappointed, if willing to act. If he is not reappointed (or deemed to be reappointed pursuant to these Articles) he shall retain office until the meeting appoints someone in his place or, if it does not do so, until the end of the meeting.</w:t>
      </w:r>
    </w:p>
    <w:p>
      <w:pPr>
        <w:spacing w:after="0" w:line="208" w:lineRule="exact"/>
        <w:rPr>
          <w:rFonts w:ascii="Arial" w:cs="Arial" w:eastAsia="Arial" w:hAnsi="Arial"/>
          <w:sz w:val="18"/>
          <w:szCs w:val="18"/>
          <w:color w:val="auto"/>
        </w:rPr>
      </w:pPr>
    </w:p>
    <w:p>
      <w:pPr>
        <w:ind w:left="1380" w:right="20" w:hanging="724"/>
        <w:spacing w:after="0" w:line="269" w:lineRule="auto"/>
        <w:tabs>
          <w:tab w:leader="none" w:pos="13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Notwithstanding any other provision of this Article, if any of the Directors who are Directors of the Company on the date of adoption of these Articles retires prior to or at the Third Annual General Meeting held following the date of adoption of these Articles, other than in accordance with the provisions of this Article (a "Retiring Director"), any Director appointed to replace any such Director or, for the avoidance of doubt, any Director taking the place on the Board originally held by a Retiring Director (in each case a "Substitute Director") shall be deemed to have been appointed a Director of the Company on the date on which the Retiring Director was appointed a Director of the Company, solely for the purpose of determining which of the Directors are to retire by rotation in accordance with the provisions of this Article. If no Director is appointed to replace any such Retiring Director or any Substitute Director then, notwithstanding that no such Director is appointed, none of the Directors of the Company on the date of adoption of these Articles shall be required to retire in accordance with the provisions of this Article at an earlier date than he could otherwise have been required to retire had such Retiring Director not retired and the number of Directors to retire at any annual general meeting in accordance with the provisions of this Article shall accordingly be reduced, if necessary. The terms of this Article shall cease to apply following the Third Annual General Meeting held following the date of adoption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5" w:name="page146"/>
    <w:bookmarkEnd w:id="145"/>
    <w:p>
      <w:pPr>
        <w:ind w:left="700" w:hanging="692"/>
        <w:spacing w:after="0"/>
        <w:tabs>
          <w:tab w:leader="none" w:pos="7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Deemed reappointment</w:t>
      </w:r>
    </w:p>
    <w:p>
      <w:pPr>
        <w:spacing w:after="0" w:line="229" w:lineRule="exact"/>
        <w:rPr>
          <w:rFonts w:ascii="Arial" w:cs="Arial" w:eastAsia="Arial" w:hAnsi="Arial"/>
          <w:sz w:val="18"/>
          <w:szCs w:val="18"/>
          <w:b w:val="1"/>
          <w:bCs w:val="1"/>
          <w:color w:val="auto"/>
        </w:rPr>
      </w:pPr>
    </w:p>
    <w:p>
      <w:pPr>
        <w:ind w:left="70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the Company, at the meeting at which a Director retires by rotation, does not fill the vacancy, the retiring Director, if willing to act, shall be deemed to have been re-appointed unless at the meeting it is resolved not to fill the vacancy or a resolution for the reappointment of the Director is put to the meeting and lost.</w:t>
      </w:r>
    </w:p>
    <w:p>
      <w:pPr>
        <w:spacing w:after="0" w:line="393" w:lineRule="exact"/>
        <w:rPr>
          <w:rFonts w:ascii="Arial" w:cs="Arial" w:eastAsia="Arial" w:hAnsi="Arial"/>
          <w:sz w:val="18"/>
          <w:szCs w:val="18"/>
          <w:b w:val="1"/>
          <w:bCs w:val="1"/>
          <w:color w:val="auto"/>
        </w:rPr>
      </w:pPr>
    </w:p>
    <w:p>
      <w:pPr>
        <w:ind w:left="700" w:hanging="692"/>
        <w:spacing w:after="0"/>
        <w:tabs>
          <w:tab w:leader="none" w:pos="7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appointment as a Director</w:t>
      </w:r>
    </w:p>
    <w:p>
      <w:pPr>
        <w:spacing w:after="0" w:line="229" w:lineRule="exact"/>
        <w:rPr>
          <w:rFonts w:ascii="Arial" w:cs="Arial" w:eastAsia="Arial" w:hAnsi="Arial"/>
          <w:sz w:val="18"/>
          <w:szCs w:val="18"/>
          <w:b w:val="1"/>
          <w:bCs w:val="1"/>
          <w:color w:val="auto"/>
        </w:rPr>
      </w:pPr>
    </w:p>
    <w:p>
      <w:pPr>
        <w:ind w:left="1380" w:right="40" w:hanging="683"/>
        <w:spacing w:after="0" w:line="272" w:lineRule="auto"/>
        <w:tabs>
          <w:tab w:leader="none" w:pos="13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No person other than a Director retiring by rotation shall be appointed a Director at any annual general meeting unless he is recommended by the Directors or unless a draft resolution for the appointment of such person (accompanied by the particulars which would be required, if he were to be so appointed, to be included in the Company's register of Directors together with a notice executed by that person of his willingness to be appointed) shall have been proposed by a Member or Members holding not less than three per cent of the issued share capital, representing not less than three per cent of the total voting rights of all the Members who have a right to vote at the meeting, received by the Company in hardcopy form or in electronic form at least forty-two days before the meeting to which it relates, and passed at that meeting in compliance with the Acts and these Articles.</w:t>
      </w:r>
    </w:p>
    <w:p>
      <w:pPr>
        <w:spacing w:after="0" w:line="177" w:lineRule="exact"/>
        <w:rPr>
          <w:rFonts w:ascii="Arial" w:cs="Arial" w:eastAsia="Arial" w:hAnsi="Arial"/>
          <w:sz w:val="17"/>
          <w:szCs w:val="17"/>
          <w:color w:val="auto"/>
        </w:rPr>
      </w:pPr>
    </w:p>
    <w:p>
      <w:pPr>
        <w:ind w:left="1380" w:right="20" w:hanging="683"/>
        <w:spacing w:after="0" w:line="291" w:lineRule="auto"/>
        <w:tabs>
          <w:tab w:leader="none" w:pos="13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 the case of a general meeting other than an annual general meeting, no person other than a Director retiring as aforesaid or a person recommended by the Directors shall be appointed unless not less than fourteen nor more than thirty Clear Days before the date appointed for the meeting, a draft resolution for the appointment of such person (accompanied by the particulars which would be required, if he were to be so appointed, to be included in the Company's register of Directors together with a notice executed by that person of his willingness to be appointed) shall have been proposed by a Member or Members holding not less than three per cent of the issued share capital, representing not less than three per cent of the total voting rights of all the Members who have a right to vote at the meeting, received by the Company in hardcopy form or in electronic form, and passed at that meeting in compliance with the Acts and these Articles.</w:t>
      </w:r>
    </w:p>
    <w:p>
      <w:pPr>
        <w:spacing w:after="0" w:line="167" w:lineRule="exact"/>
        <w:rPr>
          <w:rFonts w:ascii="Arial" w:cs="Arial" w:eastAsia="Arial" w:hAnsi="Arial"/>
          <w:sz w:val="16"/>
          <w:szCs w:val="16"/>
          <w:color w:val="auto"/>
        </w:rPr>
      </w:pPr>
    </w:p>
    <w:p>
      <w:pPr>
        <w:ind w:left="1380" w:hanging="683"/>
        <w:spacing w:after="0"/>
        <w:tabs>
          <w:tab w:leader="none" w:pos="13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Director shall be required to retire on account of age.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700" w:hanging="692"/>
        <w:spacing w:after="0"/>
        <w:tabs>
          <w:tab w:leader="none" w:pos="7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additional Directors</w:t>
      </w:r>
    </w:p>
    <w:p>
      <w:pPr>
        <w:spacing w:after="0" w:line="229" w:lineRule="exact"/>
        <w:rPr>
          <w:rFonts w:ascii="Arial" w:cs="Arial" w:eastAsia="Arial" w:hAnsi="Arial"/>
          <w:sz w:val="18"/>
          <w:szCs w:val="18"/>
          <w:b w:val="1"/>
          <w:bCs w:val="1"/>
          <w:color w:val="auto"/>
        </w:rPr>
      </w:pPr>
    </w:p>
    <w:p>
      <w:pPr>
        <w:ind w:left="70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as aforesaid, the Company by ordinary resolution may appoint a person to be a Director either to fill a vacancy or as an additional Director and may also determine the rotation in which any additional Directors are to retire.</w:t>
      </w:r>
    </w:p>
    <w:p>
      <w:pPr>
        <w:spacing w:after="0" w:line="170" w:lineRule="exact"/>
        <w:rPr>
          <w:rFonts w:ascii="Arial" w:cs="Arial" w:eastAsia="Arial" w:hAnsi="Arial"/>
          <w:sz w:val="18"/>
          <w:szCs w:val="18"/>
          <w:b w:val="1"/>
          <w:bCs w:val="1"/>
          <w:color w:val="auto"/>
        </w:rPr>
      </w:pPr>
    </w:p>
    <w:p>
      <w:pPr>
        <w:ind w:left="7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Directors may appoint a person who is willing to act to be a Director, either to fill a vacancy or as an additional Director, provided that the appointment does not cause the number of Directors to exceed any number fixed by or in accordance with these Articles as the maximum number of Directors. A Director so appointed shall hold office only until the next following annual general meeting and shall not be taken into account in determining the Directors who are to retire by rotation at the meeting. If not re-appointed at such annual general meeting, such Director shall vacate office at the conclusion thereof.</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XVI - Disqualification and Removal of Directors</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Disqualification of Directors</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and, in the case of (f) the office of the Chairman, shall be vacated ipso facto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6" w:name="page147"/>
    <w:bookmarkEnd w:id="146"/>
    <w:p>
      <w:pPr>
        <w:ind w:left="1380" w:hanging="683"/>
        <w:spacing w:after="0"/>
        <w:tabs>
          <w:tab w:leader="none" w:pos="13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he ceases to be a Director by virtue of any provision of the Acts or he becomes prohibited by law from being a Director;</w:t>
      </w:r>
    </w:p>
    <w:p>
      <w:pPr>
        <w:spacing w:after="0" w:line="225" w:lineRule="exact"/>
        <w:rPr>
          <w:rFonts w:ascii="Arial" w:cs="Arial" w:eastAsia="Arial" w:hAnsi="Arial"/>
          <w:sz w:val="18"/>
          <w:szCs w:val="18"/>
          <w:color w:val="auto"/>
        </w:rPr>
      </w:pPr>
    </w:p>
    <w:p>
      <w:pPr>
        <w:ind w:left="1380" w:hanging="683"/>
        <w:spacing w:after="0"/>
        <w:tabs>
          <w:tab w:leader="none" w:pos="13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he becomes bankrupt or makes any arrangement or composition with his creditors generally;</w:t>
      </w:r>
    </w:p>
    <w:p>
      <w:pPr>
        <w:spacing w:after="0" w:line="225" w:lineRule="exact"/>
        <w:rPr>
          <w:rFonts w:ascii="Arial" w:cs="Arial" w:eastAsia="Arial" w:hAnsi="Arial"/>
          <w:sz w:val="18"/>
          <w:szCs w:val="18"/>
          <w:color w:val="auto"/>
        </w:rPr>
      </w:pPr>
    </w:p>
    <w:p>
      <w:pPr>
        <w:ind w:left="1380" w:hanging="683"/>
        <w:spacing w:after="0"/>
        <w:tabs>
          <w:tab w:leader="none" w:pos="13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in the opinion of a majority of his co-Directors, he becomes incapable by reason of mental disorder of discharging his duties as a Director;</w:t>
      </w:r>
    </w:p>
    <w:p>
      <w:pPr>
        <w:spacing w:after="0" w:line="248" w:lineRule="exact"/>
        <w:rPr>
          <w:rFonts w:ascii="Arial" w:cs="Arial" w:eastAsia="Arial" w:hAnsi="Arial"/>
          <w:sz w:val="16"/>
          <w:szCs w:val="16"/>
          <w:color w:val="auto"/>
        </w:rPr>
      </w:pPr>
    </w:p>
    <w:p>
      <w:pPr>
        <w:ind w:left="1380" w:right="520" w:hanging="683"/>
        <w:spacing w:after="0" w:line="277" w:lineRule="auto"/>
        <w:tabs>
          <w:tab w:leader="none" w:pos="13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(not being a Director holding for a fixed term an executive office in his capacity as a Director) he resigns his office by notice to the Company;</w:t>
      </w:r>
    </w:p>
    <w:p>
      <w:pPr>
        <w:spacing w:after="0" w:line="170" w:lineRule="exact"/>
        <w:rPr>
          <w:rFonts w:ascii="Arial" w:cs="Arial" w:eastAsia="Arial" w:hAnsi="Arial"/>
          <w:sz w:val="18"/>
          <w:szCs w:val="18"/>
          <w:color w:val="auto"/>
        </w:rPr>
      </w:pPr>
    </w:p>
    <w:p>
      <w:pPr>
        <w:ind w:left="1380" w:hanging="683"/>
        <w:spacing w:after="0"/>
        <w:tabs>
          <w:tab w:leader="none" w:pos="13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he is convicted of an indictable offence, unless the Directors determine otherwise;</w:t>
      </w:r>
    </w:p>
    <w:p>
      <w:pPr>
        <w:spacing w:after="0" w:line="225" w:lineRule="exact"/>
        <w:rPr>
          <w:rFonts w:ascii="Arial" w:cs="Arial" w:eastAsia="Arial" w:hAnsi="Arial"/>
          <w:sz w:val="18"/>
          <w:szCs w:val="18"/>
          <w:color w:val="auto"/>
        </w:rPr>
      </w:pPr>
    </w:p>
    <w:p>
      <w:pPr>
        <w:ind w:left="1380" w:right="160" w:hanging="683"/>
        <w:spacing w:after="0" w:line="264" w:lineRule="auto"/>
        <w:tabs>
          <w:tab w:leader="none" w:pos="13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he shall have been absent for more than six consecutive months without permission of the Directors from meetings of the Directors held during that period and his alternate Director (if any) shall not have attended any such meeting in his place during such period and the Directors pass a resolution that by reason of such absence he has vacated office;</w:t>
      </w:r>
    </w:p>
    <w:p>
      <w:pPr>
        <w:spacing w:after="0" w:line="181" w:lineRule="exact"/>
        <w:rPr>
          <w:rFonts w:ascii="Arial" w:cs="Arial" w:eastAsia="Arial" w:hAnsi="Arial"/>
          <w:sz w:val="18"/>
          <w:szCs w:val="18"/>
          <w:color w:val="auto"/>
        </w:rPr>
      </w:pPr>
    </w:p>
    <w:p>
      <w:pPr>
        <w:ind w:left="1380" w:right="120" w:hanging="683"/>
        <w:spacing w:after="0" w:line="286" w:lineRule="auto"/>
        <w:tabs>
          <w:tab w:leader="none" w:pos="13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he is removed from office by notice in writing served upon him signed by all his co-directors; if he holds an appointment to an executive office which thereby automatically determines, such removal shall be deemed an act of the Company and shall have effect without prejudice to any claim for damages for breach of any contract of service between him and the Company.</w:t>
      </w:r>
    </w:p>
    <w:p>
      <w:pPr>
        <w:spacing w:after="0" w:line="377" w:lineRule="exact"/>
        <w:rPr>
          <w:rFonts w:ascii="Arial" w:cs="Arial" w:eastAsia="Arial" w:hAnsi="Arial"/>
          <w:sz w:val="17"/>
          <w:szCs w:val="17"/>
          <w:color w:val="auto"/>
        </w:rPr>
      </w:pPr>
    </w:p>
    <w:p>
      <w:pPr>
        <w:ind w:left="700" w:hanging="692"/>
        <w:spacing w:after="0"/>
        <w:tabs>
          <w:tab w:leader="none" w:pos="7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229" w:lineRule="exact"/>
        <w:rPr>
          <w:rFonts w:ascii="Arial" w:cs="Arial" w:eastAsia="Arial" w:hAnsi="Arial"/>
          <w:sz w:val="18"/>
          <w:szCs w:val="18"/>
          <w:b w:val="1"/>
          <w:bCs w:val="1"/>
          <w:color w:val="auto"/>
        </w:rPr>
      </w:pPr>
    </w:p>
    <w:p>
      <w:pPr>
        <w:ind w:left="70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Company, by ordinary resolution of which extended notice has been given in accordance with the provisions of the Acts, may remove any Director before the expiry of his period of office notwithstanding anything in these Articles or in any agreement between the Company and such Director and may, if thought fit, by ordinary resolution appoint another Director in his stead. The person appointed shall be subject to retirement at the same time as if he had become a Director on the date on which the Director in whose place he is appointed was last appointed a</w:t>
      </w:r>
    </w:p>
    <w:p>
      <w:pPr>
        <w:spacing w:after="0" w:line="1" w:lineRule="exact"/>
        <w:rPr>
          <w:rFonts w:ascii="Arial" w:cs="Arial" w:eastAsia="Arial" w:hAnsi="Arial"/>
          <w:sz w:val="18"/>
          <w:szCs w:val="18"/>
          <w:b w:val="1"/>
          <w:bCs w:val="1"/>
          <w:color w:val="auto"/>
        </w:rPr>
      </w:pPr>
    </w:p>
    <w:p>
      <w:pPr>
        <w:ind w:left="70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Director. Nothing in this Article shall be taken as depriving a person removed hereunder of compensation or damages payable to him in respect of the termination of his appointment as Director or of any appointment terminating with that of Director.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XVII - Directors' Offices and Interests</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offices</w:t>
      </w:r>
    </w:p>
    <w:p>
      <w:pPr>
        <w:spacing w:after="0" w:line="229" w:lineRule="exact"/>
        <w:rPr>
          <w:rFonts w:ascii="Arial" w:cs="Arial" w:eastAsia="Arial" w:hAnsi="Arial"/>
          <w:sz w:val="18"/>
          <w:szCs w:val="18"/>
          <w:b w:val="1"/>
          <w:bCs w:val="1"/>
          <w:color w:val="auto"/>
        </w:rPr>
      </w:pPr>
    </w:p>
    <w:p>
      <w:pPr>
        <w:ind w:left="1380" w:right="60" w:hanging="683"/>
        <w:spacing w:after="0" w:line="312" w:lineRule="auto"/>
        <w:tabs>
          <w:tab w:leader="none" w:pos="13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Directors may appoint one or more of their body to the office of Managing Director or to any other executive office under the Company (including, where considered appropriate, the office of the Chairman) on such terms and for such period as they may determine and, without prejudice to the terms of any contract entered into in any particular case, may revoke any such appointment at any time.</w:t>
      </w:r>
    </w:p>
    <w:p>
      <w:pPr>
        <w:spacing w:after="0" w:line="146" w:lineRule="exact"/>
        <w:rPr>
          <w:rFonts w:ascii="Arial" w:cs="Arial" w:eastAsia="Arial" w:hAnsi="Arial"/>
          <w:sz w:val="16"/>
          <w:szCs w:val="16"/>
          <w:color w:val="auto"/>
        </w:rPr>
      </w:pPr>
    </w:p>
    <w:p>
      <w:pPr>
        <w:ind w:left="1380" w:right="180" w:hanging="683"/>
        <w:spacing w:after="0" w:line="264" w:lineRule="auto"/>
        <w:tabs>
          <w:tab w:leader="none" w:pos="13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Director holding any such executive office shall receive such remuneration, whether in addition to or in substitution for his ordinary remuneration as a Director and whether by way of salary, commission, participation in profits or otherwise or in any combination of the foregoing as the Directors may determine.</w:t>
      </w:r>
    </w:p>
    <w:p>
      <w:pPr>
        <w:spacing w:after="0" w:line="181" w:lineRule="exact"/>
        <w:rPr>
          <w:rFonts w:ascii="Arial" w:cs="Arial" w:eastAsia="Arial" w:hAnsi="Arial"/>
          <w:sz w:val="18"/>
          <w:szCs w:val="18"/>
          <w:color w:val="auto"/>
        </w:rPr>
      </w:pPr>
    </w:p>
    <w:p>
      <w:pPr>
        <w:ind w:left="1380" w:right="40" w:hanging="683"/>
        <w:spacing w:after="0" w:line="259" w:lineRule="auto"/>
        <w:tabs>
          <w:tab w:leader="none" w:pos="13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appointment of any Director to the office of Chairman or Managing Director shall determine automatically if he ceases to be a Director (other than where he is re-appointed as a Director at an Annual General Meeting of the Company having retired by rotation in accordance with these Articles) but without prejudice to any claim for damages for breach of any contract of service between him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147" w:name="page148"/>
    <w:bookmarkEnd w:id="147"/>
    <w:p>
      <w:pPr>
        <w:ind w:left="1372" w:right="220" w:hanging="683"/>
        <w:spacing w:after="0" w:line="312" w:lineRule="auto"/>
        <w:tabs>
          <w:tab w:leader="none" w:pos="137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appointment of any Director to any other executive office shall not determine automatically if he ceases from any cause to be a Director unless the contract or resolution under which he holds office shall expressly state otherwise, in which event such determination shall be without prejudice to any claim for damages for breach of any contract of service between him and the Company.</w:t>
      </w:r>
    </w:p>
    <w:p>
      <w:pPr>
        <w:spacing w:after="0" w:line="146" w:lineRule="exact"/>
        <w:rPr>
          <w:rFonts w:ascii="Arial" w:cs="Arial" w:eastAsia="Arial" w:hAnsi="Arial"/>
          <w:sz w:val="16"/>
          <w:szCs w:val="16"/>
          <w:color w:val="auto"/>
        </w:rPr>
      </w:pPr>
    </w:p>
    <w:p>
      <w:pPr>
        <w:ind w:left="1372" w:right="260" w:hanging="683"/>
        <w:spacing w:after="0" w:line="264" w:lineRule="auto"/>
        <w:tabs>
          <w:tab w:leader="none" w:pos="137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under the Company (except that of Auditor) in conjunction with his office of Director, and may act in a professional capacity to the Company, on such terms as to remuneration and other-wise as the Directors shall arrange.</w:t>
      </w:r>
    </w:p>
    <w:p>
      <w:pPr>
        <w:spacing w:after="0" w:line="393" w:lineRule="exact"/>
        <w:rPr>
          <w:rFonts w:ascii="Arial" w:cs="Arial" w:eastAsia="Arial" w:hAnsi="Arial"/>
          <w:sz w:val="18"/>
          <w:szCs w:val="18"/>
          <w:color w:val="auto"/>
        </w:rPr>
      </w:pPr>
    </w:p>
    <w:p>
      <w:pPr>
        <w:ind w:left="692" w:hanging="692"/>
        <w:spacing w:after="0"/>
        <w:tabs>
          <w:tab w:leader="none" w:pos="69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 by Directors</w:t>
      </w:r>
    </w:p>
    <w:p>
      <w:pPr>
        <w:spacing w:after="0" w:line="229" w:lineRule="exact"/>
        <w:rPr>
          <w:rFonts w:ascii="Arial" w:cs="Arial" w:eastAsia="Arial" w:hAnsi="Arial"/>
          <w:sz w:val="18"/>
          <w:szCs w:val="18"/>
          <w:b w:val="1"/>
          <w:bCs w:val="1"/>
          <w:color w:val="auto"/>
        </w:rPr>
      </w:pPr>
    </w:p>
    <w:p>
      <w:pPr>
        <w:ind w:left="692"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 Director or shadow director of the Company who is in any way, whether directly or indirectly, interested in a contract or proposed contract with the Company shall comply with the provisions of Section 194 of the 1963 Act with regard to the disclosure of such interest by declaration.</w:t>
      </w:r>
    </w:p>
    <w:p>
      <w:pPr>
        <w:spacing w:after="0" w:line="335" w:lineRule="exact"/>
        <w:rPr>
          <w:rFonts w:ascii="Arial" w:cs="Arial" w:eastAsia="Arial" w:hAnsi="Arial"/>
          <w:sz w:val="18"/>
          <w:szCs w:val="18"/>
          <w:b w:val="1"/>
          <w:bCs w:val="1"/>
          <w:color w:val="auto"/>
        </w:rPr>
      </w:pPr>
    </w:p>
    <w:p>
      <w:pPr>
        <w:ind w:left="692" w:hanging="692"/>
        <w:spacing w:after="0"/>
        <w:tabs>
          <w:tab w:leader="none" w:pos="69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229" w:lineRule="exact"/>
        <w:rPr>
          <w:rFonts w:ascii="Arial" w:cs="Arial" w:eastAsia="Arial" w:hAnsi="Arial"/>
          <w:sz w:val="18"/>
          <w:szCs w:val="18"/>
          <w:b w:val="1"/>
          <w:bCs w:val="1"/>
          <w:color w:val="auto"/>
        </w:rPr>
      </w:pPr>
    </w:p>
    <w:p>
      <w:pPr>
        <w:ind w:left="1372" w:right="340" w:hanging="683"/>
        <w:spacing w:after="0" w:line="277" w:lineRule="auto"/>
        <w:tabs>
          <w:tab w:leader="none" w:pos="137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Director notwithstanding his office but subject to his having disclosed any interest which he is required to disclose whether by these Articles or the Acts in accordance with these Articles or the Acts as the case may be:-</w:t>
      </w:r>
    </w:p>
    <w:p>
      <w:pPr>
        <w:spacing w:after="0" w:line="170" w:lineRule="exact"/>
        <w:rPr>
          <w:rFonts w:ascii="Arial" w:cs="Arial" w:eastAsia="Arial" w:hAnsi="Arial"/>
          <w:sz w:val="18"/>
          <w:szCs w:val="18"/>
          <w:color w:val="auto"/>
        </w:rPr>
      </w:pPr>
    </w:p>
    <w:p>
      <w:pPr>
        <w:ind w:left="2072" w:right="140" w:hanging="694"/>
        <w:spacing w:after="0" w:line="342" w:lineRule="auto"/>
        <w:tabs>
          <w:tab w:leader="none" w:pos="2072" w:val="left"/>
        </w:tabs>
        <w:numPr>
          <w:ilvl w:val="2"/>
          <w:numId w:val="106"/>
        </w:numPr>
        <w:rPr>
          <w:rFonts w:ascii="Arial" w:cs="Arial" w:eastAsia="Arial" w:hAnsi="Arial"/>
          <w:sz w:val="16"/>
          <w:szCs w:val="16"/>
          <w:color w:val="auto"/>
        </w:rPr>
      </w:pPr>
      <w:r>
        <w:rPr>
          <w:rFonts w:ascii="Arial" w:cs="Arial" w:eastAsia="Arial" w:hAnsi="Arial"/>
          <w:sz w:val="16"/>
          <w:szCs w:val="16"/>
          <w:color w:val="auto"/>
        </w:rPr>
        <w:t>may be a party to, or otherwise interested in, any transaction or arrangement with the Company or any subsidiary or Associated Company thereof or in which the Company or any subsidiary or Associated Company thereof is otherwise interested;</w:t>
      </w:r>
    </w:p>
    <w:p>
      <w:pPr>
        <w:spacing w:after="0" w:line="123" w:lineRule="exact"/>
        <w:rPr>
          <w:rFonts w:ascii="Arial" w:cs="Arial" w:eastAsia="Arial" w:hAnsi="Arial"/>
          <w:sz w:val="16"/>
          <w:szCs w:val="16"/>
          <w:color w:val="auto"/>
        </w:rPr>
      </w:pPr>
    </w:p>
    <w:p>
      <w:pPr>
        <w:ind w:left="2072" w:right="80" w:hanging="694"/>
        <w:spacing w:after="0" w:line="264" w:lineRule="auto"/>
        <w:tabs>
          <w:tab w:leader="none" w:pos="207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may be a Director or other officer of, or employed by, or a party to any transaction or arrangement with, or otherwise interested in, any body corporate promoted by the Company or in which the Company or any subsidiary or Associated Company thereof is otherwise interested; and</w:t>
      </w:r>
    </w:p>
    <w:p>
      <w:pPr>
        <w:spacing w:after="0" w:line="181" w:lineRule="exact"/>
        <w:rPr>
          <w:rFonts w:ascii="Arial" w:cs="Arial" w:eastAsia="Arial" w:hAnsi="Arial"/>
          <w:sz w:val="18"/>
          <w:szCs w:val="18"/>
          <w:color w:val="auto"/>
        </w:rPr>
      </w:pPr>
    </w:p>
    <w:p>
      <w:pPr>
        <w:ind w:left="2072" w:right="560" w:hanging="694"/>
        <w:spacing w:after="0" w:line="286" w:lineRule="auto"/>
        <w:tabs>
          <w:tab w:leader="none" w:pos="2072" w:val="left"/>
        </w:tabs>
        <w:numPr>
          <w:ilvl w:val="2"/>
          <w:numId w:val="106"/>
        </w:numPr>
        <w:rPr>
          <w:rFonts w:ascii="Arial" w:cs="Arial" w:eastAsia="Arial" w:hAnsi="Arial"/>
          <w:sz w:val="17"/>
          <w:szCs w:val="17"/>
          <w:color w:val="auto"/>
        </w:rPr>
      </w:pPr>
      <w:r>
        <w:rPr>
          <w:rFonts w:ascii="Arial" w:cs="Arial" w:eastAsia="Arial" w:hAnsi="Arial"/>
          <w:sz w:val="17"/>
          <w:szCs w:val="17"/>
          <w:color w:val="auto"/>
        </w:rPr>
        <w:t>shall not be accountable, by reason of his office, to the Company for any benefit which he derives from any such office or employment or from any such transaction or arrangement or from any interest in any such body corporate and no such transaction or arrangement shall be liable to be avoided on the ground of any such interest or benefit.</w:t>
      </w:r>
    </w:p>
    <w:p>
      <w:pPr>
        <w:spacing w:after="0" w:line="165" w:lineRule="exact"/>
        <w:rPr>
          <w:rFonts w:ascii="Arial" w:cs="Arial" w:eastAsia="Arial" w:hAnsi="Arial"/>
          <w:sz w:val="17"/>
          <w:szCs w:val="17"/>
          <w:color w:val="auto"/>
        </w:rPr>
      </w:pPr>
    </w:p>
    <w:p>
      <w:pPr>
        <w:ind w:left="1372" w:hanging="683"/>
        <w:spacing w:after="0" w:line="253" w:lineRule="auto"/>
        <w:tabs>
          <w:tab w:leader="none" w:pos="137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 Director or intended Director shall be disqualified by his office from contracting with the Company either as vendor, purchaser or otherwise, nor shall any such contract or any contract or arrangement entered into by or on behalf of the other company in which any Director shall be in any way interested be avoided nor shall any Director so contracting or being so interested be liable to account to the Company for any profit realised by any such contract or arrangement by reason solely of such Director holding that office or of the fiduciary relationship thereby established. The nature of a Director's interest must be declared by him at the meeting of the Directors at which the question of entering into the contract or arrangement is first taken into consideration or, if the Director was not at the date of that meeting interested in the proposed contract or arrangements at the next meeting of the Directors held after he became so interested, and in a case where the Director becomes interested in a contract or arrangement after it is made at the first meeting of the Directors held after he becomes so 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406400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48" w:name="page149"/>
    <w:bookmarkEnd w:id="148"/>
    <w:p>
      <w:pPr>
        <w:ind w:left="1372" w:right="120" w:hanging="683"/>
        <w:spacing w:after="0" w:line="279" w:lineRule="auto"/>
        <w:tabs>
          <w:tab w:leader="none" w:pos="137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 copy of every declaration made and notice given under this Article shall be entered within three days after the making or giving thereof in a book kept for this purpose. Such book shall be open for inspection without charge by any Director, Secretary, Auditor or Member of the Company at the Office and shall be produced at every general meeting of the Company and at any meeting of the Directors if any Director so requests in sufficient time to enable the book to be available at the meeting.</w:t>
      </w:r>
    </w:p>
    <w:p>
      <w:pPr>
        <w:spacing w:after="0" w:line="171" w:lineRule="exact"/>
        <w:rPr>
          <w:rFonts w:ascii="Arial" w:cs="Arial" w:eastAsia="Arial" w:hAnsi="Arial"/>
          <w:sz w:val="17"/>
          <w:szCs w:val="17"/>
          <w:color w:val="auto"/>
        </w:rPr>
      </w:pPr>
    </w:p>
    <w:p>
      <w:pPr>
        <w:ind w:left="1372" w:hanging="683"/>
        <w:spacing w:after="0"/>
        <w:tabs>
          <w:tab w:leader="none" w:pos="137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For the purposes of this Article:-</w:t>
      </w:r>
    </w:p>
    <w:p>
      <w:pPr>
        <w:spacing w:after="0" w:line="225" w:lineRule="exact"/>
        <w:rPr>
          <w:rFonts w:ascii="Arial" w:cs="Arial" w:eastAsia="Arial" w:hAnsi="Arial"/>
          <w:sz w:val="18"/>
          <w:szCs w:val="18"/>
          <w:color w:val="auto"/>
        </w:rPr>
      </w:pPr>
    </w:p>
    <w:p>
      <w:pPr>
        <w:ind w:left="2072" w:right="120" w:hanging="694"/>
        <w:spacing w:after="0" w:line="259" w:lineRule="auto"/>
        <w:tabs>
          <w:tab w:leader="none" w:pos="207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 general notice given to the Directors that a Director is to be regarded as having an interest of the nature and extent specified in the notice in any transaction or arrangement in which a specified person or class of persons or company is interested shall be deemed to be a disclosure that the Director has an interest in any such transaction of the nature and extent so specified with the relevant party; and</w:t>
      </w:r>
    </w:p>
    <w:p>
      <w:pPr>
        <w:spacing w:after="0" w:line="186" w:lineRule="exact"/>
        <w:rPr>
          <w:rFonts w:ascii="Arial" w:cs="Arial" w:eastAsia="Arial" w:hAnsi="Arial"/>
          <w:sz w:val="18"/>
          <w:szCs w:val="18"/>
          <w:color w:val="auto"/>
        </w:rPr>
      </w:pPr>
    </w:p>
    <w:p>
      <w:pPr>
        <w:ind w:left="2072" w:right="220" w:hanging="694"/>
        <w:spacing w:after="0" w:line="277" w:lineRule="auto"/>
        <w:tabs>
          <w:tab w:leader="none" w:pos="207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382" w:lineRule="exact"/>
        <w:rPr>
          <w:rFonts w:ascii="Arial" w:cs="Arial" w:eastAsia="Arial" w:hAnsi="Arial"/>
          <w:sz w:val="18"/>
          <w:szCs w:val="18"/>
          <w:color w:val="auto"/>
        </w:rPr>
      </w:pPr>
    </w:p>
    <w:p>
      <w:pPr>
        <w:ind w:left="692" w:hanging="692"/>
        <w:spacing w:after="0"/>
        <w:tabs>
          <w:tab w:leader="none" w:pos="69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on Directors' voting</w:t>
      </w:r>
    </w:p>
    <w:p>
      <w:pPr>
        <w:spacing w:after="0" w:line="229" w:lineRule="exact"/>
        <w:rPr>
          <w:rFonts w:ascii="Arial" w:cs="Arial" w:eastAsia="Arial" w:hAnsi="Arial"/>
          <w:sz w:val="18"/>
          <w:szCs w:val="18"/>
          <w:b w:val="1"/>
          <w:bCs w:val="1"/>
          <w:color w:val="auto"/>
        </w:rPr>
      </w:pPr>
    </w:p>
    <w:p>
      <w:pPr>
        <w:ind w:left="1372" w:right="40" w:hanging="683"/>
        <w:spacing w:after="0" w:line="279" w:lineRule="auto"/>
        <w:tabs>
          <w:tab w:leader="none" w:pos="137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Save as otherwise provided by these Articles, a Director shall not vote at a meeting of the Directors or a committee of Directors on any resolution concerning a matter in which he has, directly or indirectly or together with any person or persons connected with him an interest which is material or a duty which conflicts or may conflict with the interests of the Company. A Director shall not be counted in the quorum present at a meeting in relation to any such resolution on which he is not entitled to vote.</w:t>
      </w:r>
    </w:p>
    <w:p>
      <w:pPr>
        <w:spacing w:after="0" w:line="171" w:lineRule="exact"/>
        <w:rPr>
          <w:rFonts w:ascii="Arial" w:cs="Arial" w:eastAsia="Arial" w:hAnsi="Arial"/>
          <w:sz w:val="17"/>
          <w:szCs w:val="17"/>
          <w:color w:val="auto"/>
        </w:rPr>
      </w:pPr>
    </w:p>
    <w:p>
      <w:pPr>
        <w:jc w:val="both"/>
        <w:ind w:left="1372" w:hanging="683"/>
        <w:spacing w:after="0" w:line="264" w:lineRule="auto"/>
        <w:tabs>
          <w:tab w:leader="none" w:pos="137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Director shall be entitled (unless he has some material interest or duty which conflicts or may conflict with the interests of the Company which is not indicated below) to vote (and be counted in the quorum) in respect of any resolutions concerning any of the following matters, namely:-</w:t>
      </w:r>
    </w:p>
    <w:p>
      <w:pPr>
        <w:spacing w:after="0" w:line="181" w:lineRule="exact"/>
        <w:rPr>
          <w:rFonts w:ascii="Arial" w:cs="Arial" w:eastAsia="Arial" w:hAnsi="Arial"/>
          <w:sz w:val="18"/>
          <w:szCs w:val="18"/>
          <w:color w:val="auto"/>
        </w:rPr>
      </w:pPr>
    </w:p>
    <w:p>
      <w:pPr>
        <w:jc w:val="both"/>
        <w:ind w:left="2072" w:right="20" w:hanging="694"/>
        <w:spacing w:after="0" w:line="312" w:lineRule="auto"/>
        <w:tabs>
          <w:tab w:leader="none" w:pos="2072" w:val="left"/>
        </w:tabs>
        <w:numPr>
          <w:ilvl w:val="2"/>
          <w:numId w:val="108"/>
        </w:numPr>
        <w:rPr>
          <w:rFonts w:ascii="Arial" w:cs="Arial" w:eastAsia="Arial" w:hAnsi="Arial"/>
          <w:sz w:val="16"/>
          <w:szCs w:val="16"/>
          <w:color w:val="auto"/>
        </w:rPr>
      </w:pPr>
      <w:r>
        <w:rPr>
          <w:rFonts w:ascii="Arial" w:cs="Arial" w:eastAsia="Arial" w:hAnsi="Arial"/>
          <w:sz w:val="16"/>
          <w:szCs w:val="16"/>
          <w:color w:val="auto"/>
        </w:rPr>
        <w:t>the giving of any security, guarantee or indemnity to him in respect of money lent by him or by any other person at the request of or for the benefit of the Company or any of its subsidiary companies or obligations incurred by him or any other person on behalf of the Company or any of its subsidiaries at the request of or for the benefit of the Company or any of its subsidiary companies;</w:t>
      </w:r>
    </w:p>
    <w:p>
      <w:pPr>
        <w:spacing w:after="0" w:line="146" w:lineRule="exact"/>
        <w:rPr>
          <w:rFonts w:ascii="Arial" w:cs="Arial" w:eastAsia="Arial" w:hAnsi="Arial"/>
          <w:sz w:val="16"/>
          <w:szCs w:val="16"/>
          <w:color w:val="auto"/>
        </w:rPr>
      </w:pPr>
    </w:p>
    <w:p>
      <w:pPr>
        <w:ind w:left="2072" w:right="140" w:hanging="694"/>
        <w:spacing w:after="0" w:line="264" w:lineRule="auto"/>
        <w:tabs>
          <w:tab w:leader="none" w:pos="207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a third party in respect of a debt or obligation of the Company or any of its subsidiary companies for which he himself has assumed responsibility in whole or in part and whether alone or jointly with others under a guarantee or indemnity or by the giving of security;</w:t>
      </w:r>
    </w:p>
    <w:p>
      <w:pPr>
        <w:spacing w:after="0" w:line="181" w:lineRule="exact"/>
        <w:rPr>
          <w:rFonts w:ascii="Arial" w:cs="Arial" w:eastAsia="Arial" w:hAnsi="Arial"/>
          <w:sz w:val="18"/>
          <w:szCs w:val="18"/>
          <w:color w:val="auto"/>
        </w:rPr>
      </w:pPr>
    </w:p>
    <w:p>
      <w:pPr>
        <w:ind w:left="2072" w:hanging="694"/>
        <w:spacing w:after="0" w:line="279" w:lineRule="auto"/>
        <w:tabs>
          <w:tab w:leader="none" w:pos="2072" w:val="left"/>
        </w:tabs>
        <w:numPr>
          <w:ilvl w:val="2"/>
          <w:numId w:val="108"/>
        </w:numPr>
        <w:rPr>
          <w:rFonts w:ascii="Arial" w:cs="Arial" w:eastAsia="Arial" w:hAnsi="Arial"/>
          <w:sz w:val="17"/>
          <w:szCs w:val="17"/>
          <w:color w:val="auto"/>
        </w:rPr>
      </w:pPr>
      <w:r>
        <w:rPr>
          <w:rFonts w:ascii="Arial" w:cs="Arial" w:eastAsia="Arial" w:hAnsi="Arial"/>
          <w:sz w:val="17"/>
          <w:szCs w:val="17"/>
          <w:color w:val="auto"/>
        </w:rPr>
        <w:t>the subscription or purchase of shares, debentures or other securities of the Company or any of its subsidiary companies pursuant to an offer or invitation to members or debenture holders of the Company or any of its subsidiary companies or any class of them, or to the public or any section of the public in which offer or invitation he is or may be entitled to participate as a holder of securities or in which he is or is to be interested as a participant in the underwriting or sub-underwriting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390525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49" w:name="page150"/>
    <w:bookmarkEnd w:id="149"/>
    <w:p>
      <w:pPr>
        <w:ind w:left="2072" w:hanging="694"/>
        <w:spacing w:after="0" w:line="257" w:lineRule="auto"/>
        <w:tabs>
          <w:tab w:leader="none" w:pos="207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any proposal concerning any other company in which he is interested, directly or indirectly or together with any person or persons connected with him and whether as an officer or shareholder or otherwise howsoever, provided that he is not the holder of or beneficially interested, directly or indirectly in one per cent. or more of the issued shares of any class of such company or of the voting rights available to members of such company (any such interest being deemed for the purposes of this Article to be a material interest in all circumstances);</w:t>
      </w:r>
    </w:p>
    <w:p>
      <w:pPr>
        <w:spacing w:after="0" w:line="188" w:lineRule="exact"/>
        <w:rPr>
          <w:rFonts w:ascii="Arial" w:cs="Arial" w:eastAsia="Arial" w:hAnsi="Arial"/>
          <w:sz w:val="18"/>
          <w:szCs w:val="18"/>
          <w:color w:val="auto"/>
        </w:rPr>
      </w:pPr>
    </w:p>
    <w:p>
      <w:pPr>
        <w:ind w:left="2072" w:right="220" w:hanging="694"/>
        <w:spacing w:after="0" w:line="259" w:lineRule="auto"/>
        <w:tabs>
          <w:tab w:leader="none" w:pos="207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 superannuation fund or retirement benefits scheme under which he may benefit and which has been approved by or is subject to and conditional upon approval for taxation purposes by the appropriate Revenue authorities which does not award the Director any privilege or benefit not generally awarded to the employees to whom such arrangement or scheme relates;</w:t>
      </w:r>
    </w:p>
    <w:p>
      <w:pPr>
        <w:spacing w:after="0" w:line="186" w:lineRule="exact"/>
        <w:rPr>
          <w:rFonts w:ascii="Arial" w:cs="Arial" w:eastAsia="Arial" w:hAnsi="Arial"/>
          <w:sz w:val="18"/>
          <w:szCs w:val="18"/>
          <w:color w:val="auto"/>
        </w:rPr>
      </w:pPr>
    </w:p>
    <w:p>
      <w:pPr>
        <w:ind w:left="2072" w:right="60" w:hanging="694"/>
        <w:spacing w:after="0" w:line="279" w:lineRule="auto"/>
        <w:tabs>
          <w:tab w:leader="none" w:pos="2072" w:val="left"/>
        </w:tabs>
        <w:numPr>
          <w:ilvl w:val="2"/>
          <w:numId w:val="109"/>
        </w:numPr>
        <w:rPr>
          <w:rFonts w:ascii="Arial" w:cs="Arial" w:eastAsia="Arial" w:hAnsi="Arial"/>
          <w:sz w:val="17"/>
          <w:szCs w:val="17"/>
          <w:color w:val="auto"/>
        </w:rPr>
      </w:pPr>
      <w:r>
        <w:rPr>
          <w:rFonts w:ascii="Arial" w:cs="Arial" w:eastAsia="Arial" w:hAnsi="Arial"/>
          <w:sz w:val="17"/>
          <w:szCs w:val="17"/>
          <w:color w:val="auto"/>
        </w:rPr>
        <w:t>any proposal concerning the adoption, modification or operation of any scheme for enabling employees (including full time executive Directors) of the Company and/or any subsidiary thereof to acquire Shares in the Company or any arrangement for the benefit of employees of the Company or any of its subsidiaries which does not award the Director any privilege or benefit not generally awarded to the employees to whom such scheme or arrangement relates; or</w:t>
      </w:r>
    </w:p>
    <w:p>
      <w:pPr>
        <w:spacing w:after="0" w:line="171" w:lineRule="exact"/>
        <w:rPr>
          <w:rFonts w:ascii="Arial" w:cs="Arial" w:eastAsia="Arial" w:hAnsi="Arial"/>
          <w:sz w:val="17"/>
          <w:szCs w:val="17"/>
          <w:color w:val="auto"/>
        </w:rPr>
      </w:pPr>
    </w:p>
    <w:p>
      <w:pPr>
        <w:ind w:left="2072" w:right="220" w:hanging="694"/>
        <w:spacing w:after="0" w:line="277" w:lineRule="auto"/>
        <w:tabs>
          <w:tab w:leader="none" w:pos="207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any proposal concerning insurance which the Company proposes to maintain or purchase for the benefit of the Directors or for the benefit of persons including the Directors.</w:t>
      </w:r>
    </w:p>
    <w:p>
      <w:pPr>
        <w:spacing w:after="0" w:line="170" w:lineRule="exact"/>
        <w:rPr>
          <w:rFonts w:ascii="Arial" w:cs="Arial" w:eastAsia="Arial" w:hAnsi="Arial"/>
          <w:sz w:val="18"/>
          <w:szCs w:val="18"/>
          <w:color w:val="auto"/>
        </w:rPr>
      </w:pPr>
    </w:p>
    <w:p>
      <w:pPr>
        <w:ind w:left="1372" w:right="160" w:hanging="683"/>
        <w:spacing w:after="0" w:line="257" w:lineRule="auto"/>
        <w:tabs>
          <w:tab w:leader="none" w:pos="137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(if not debarred from voting thereon), shall be entitled to vote (and be counted in the quorum) in respect of each resolution except that concerning his own appointment.</w:t>
      </w:r>
    </w:p>
    <w:p>
      <w:pPr>
        <w:spacing w:after="0" w:line="188" w:lineRule="exact"/>
        <w:rPr>
          <w:rFonts w:ascii="Arial" w:cs="Arial" w:eastAsia="Arial" w:hAnsi="Arial"/>
          <w:sz w:val="18"/>
          <w:szCs w:val="18"/>
          <w:color w:val="auto"/>
        </w:rPr>
      </w:pPr>
    </w:p>
    <w:p>
      <w:pPr>
        <w:ind w:left="1372" w:right="60" w:hanging="683"/>
        <w:spacing w:after="0" w:line="297" w:lineRule="auto"/>
        <w:tabs>
          <w:tab w:leader="none" w:pos="137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a question arises at a meeting of Directors or of a committee of Directors as to the materiality of a Director's interest or as to the right of any Director to vote and such question is not resolved by his voluntarily agreeing to abstain from voting, such question may be referred, before the conclusion of the meeting, to the Chairman of the meeting and his ruling in relation to any Director other than himself shall be final and conclusive except in a case where the nature or extent of the interest of such Director has not been fully and fairly disclosed; provided that, if such question arises in relation to the Chairman of the meeting, he shall temporarily vacate the chair.</w:t>
      </w:r>
    </w:p>
    <w:p>
      <w:pPr>
        <w:spacing w:after="0" w:line="158" w:lineRule="exact"/>
        <w:rPr>
          <w:rFonts w:ascii="Arial" w:cs="Arial" w:eastAsia="Arial" w:hAnsi="Arial"/>
          <w:sz w:val="16"/>
          <w:szCs w:val="16"/>
          <w:color w:val="auto"/>
        </w:rPr>
      </w:pPr>
    </w:p>
    <w:p>
      <w:pPr>
        <w:ind w:left="1372" w:right="20" w:hanging="683"/>
        <w:spacing w:after="0" w:line="342" w:lineRule="auto"/>
        <w:tabs>
          <w:tab w:leader="none" w:pos="137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For the purposes of this Article, an interest of a person who is the spouse or a minor child of a Director shall be treated as an interest of the Director and in relation to an alternate Director, an interest of his appointor shall be treated as an interest of the alternate Director.</w:t>
      </w:r>
    </w:p>
    <w:p>
      <w:pPr>
        <w:spacing w:after="0" w:line="335" w:lineRule="exact"/>
        <w:rPr>
          <w:rFonts w:ascii="Arial" w:cs="Arial" w:eastAsia="Arial" w:hAnsi="Arial"/>
          <w:sz w:val="16"/>
          <w:szCs w:val="16"/>
          <w:color w:val="auto"/>
        </w:rPr>
      </w:pPr>
    </w:p>
    <w:p>
      <w:pPr>
        <w:ind w:left="692" w:hanging="692"/>
        <w:spacing w:after="0"/>
        <w:tabs>
          <w:tab w:leader="none" w:pos="69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grant pensions</w:t>
      </w:r>
    </w:p>
    <w:p>
      <w:pPr>
        <w:spacing w:after="0" w:line="229" w:lineRule="exact"/>
        <w:rPr>
          <w:rFonts w:ascii="Arial" w:cs="Arial" w:eastAsia="Arial" w:hAnsi="Arial"/>
          <w:sz w:val="18"/>
          <w:szCs w:val="18"/>
          <w:b w:val="1"/>
          <w:bCs w:val="1"/>
          <w:color w:val="auto"/>
        </w:rPr>
      </w:pPr>
    </w:p>
    <w:p>
      <w:pPr>
        <w:ind w:left="69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Directors may provide benefits, whether by way of pensions, gratuities or otherwise, for any Director, former Director or other officer or former officer of the Company or to any person who holds or has held any employment with the Company or with any body corporate which is or has been a subsidiary of or an Associated Company of the Company or a predecessor in business of the Company, any subsidiary of the Company or of any such Associated Company and to any member of his family or any person who is or was dependent on him and may set up, establish, support, alter, maintain and continue any scheme for providing all or any such benefits and for such purposes any Director accordingly may be, become or remain a member of, or rejoin, any scheme and receive or retain for his own benefit all benefits to which he may be or become entitled thereunder. The Directors may pay out of the funds of the Company any premiums, contributions or sums payable by the Company under the provisions of any such scheme in respect of any of the persons or class of persons above referred to who are or may be or become members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Part XVIII - Proceedings of Directors</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Convening and regulation of Directors' meetings</w:t>
      </w:r>
    </w:p>
    <w:p>
      <w:pPr>
        <w:spacing w:after="0" w:line="229" w:lineRule="exact"/>
        <w:rPr>
          <w:rFonts w:ascii="Arial" w:cs="Arial" w:eastAsia="Arial" w:hAnsi="Arial"/>
          <w:sz w:val="18"/>
          <w:szCs w:val="18"/>
          <w:b w:val="1"/>
          <w:bCs w:val="1"/>
          <w:color w:val="auto"/>
        </w:rPr>
      </w:pPr>
    </w:p>
    <w:p>
      <w:pPr>
        <w:ind w:left="1380" w:hanging="683"/>
        <w:spacing w:after="0" w:line="259" w:lineRule="auto"/>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Subject to the provisions of these Articles, the Directors may regulate their proceedings as they think fit. A Director may, and the Secretary at the request of a Director shall, call a meeting of the Directors. Any Director may waive notice of any meeting and any such waiver may be retrospective. If the Directors so resolve, it shall not be necessary to give notice of a meeting of Directors to any Director who, being a resident of the State, is for the time being absent from the State.</w:t>
      </w:r>
    </w:p>
    <w:p>
      <w:pPr>
        <w:spacing w:after="0" w:line="186" w:lineRule="exact"/>
        <w:rPr>
          <w:rFonts w:ascii="Arial" w:cs="Arial" w:eastAsia="Arial" w:hAnsi="Arial"/>
          <w:sz w:val="18"/>
          <w:szCs w:val="18"/>
          <w:color w:val="auto"/>
        </w:rPr>
      </w:pPr>
    </w:p>
    <w:p>
      <w:pPr>
        <w:ind w:left="1380" w:right="100" w:hanging="683"/>
        <w:spacing w:after="0" w:line="257" w:lineRule="auto"/>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Notice of a meeting of the Directors shall be deemed to be duly given to a Director if it is given to him personally or by word of mouth or sent in writing by delivery, post, cable, telegram, telex, telefax, electronic mail or otherwise in electronic form, (whether as an electronic communication or otherwise) or by any other means of communication approved by the Directors to him at his last known address or any other address or number (including any address or number used for the purpose of communication by way of electronic mail or other electronic communication) given by him to the Company for this purpose.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00" w:hanging="692"/>
        <w:spacing w:after="0"/>
        <w:tabs>
          <w:tab w:leader="none" w:pos="7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Directors' meetings</w:t>
      </w:r>
    </w:p>
    <w:p>
      <w:pPr>
        <w:spacing w:after="0" w:line="229" w:lineRule="exact"/>
        <w:rPr>
          <w:rFonts w:ascii="Arial" w:cs="Arial" w:eastAsia="Arial" w:hAnsi="Arial"/>
          <w:sz w:val="18"/>
          <w:szCs w:val="18"/>
          <w:b w:val="1"/>
          <w:bCs w:val="1"/>
          <w:color w:val="auto"/>
        </w:rPr>
      </w:pPr>
    </w:p>
    <w:p>
      <w:pPr>
        <w:ind w:left="1380" w:hanging="683"/>
        <w:spacing w:after="0" w:line="264" w:lineRule="auto"/>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quorum for the transaction of the business of the Directors may be fixed by the Directors and unless so fixed at any other number shall be three. For the purposes of this Article an alternate Director shall be counted in a quorum, but so that not less than two individuals shall constitute the quorum.</w:t>
      </w:r>
    </w:p>
    <w:p>
      <w:pPr>
        <w:spacing w:after="0" w:line="181" w:lineRule="exact"/>
        <w:rPr>
          <w:rFonts w:ascii="Arial" w:cs="Arial" w:eastAsia="Arial" w:hAnsi="Arial"/>
          <w:sz w:val="18"/>
          <w:szCs w:val="18"/>
          <w:color w:val="auto"/>
        </w:rPr>
      </w:pPr>
    </w:p>
    <w:p>
      <w:pPr>
        <w:ind w:left="1380" w:right="160" w:hanging="683"/>
        <w:spacing w:after="0" w:line="264" w:lineRule="auto"/>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Director who ceases to be a Director at a meeting of the Directors may continue to be present and to act as a Director and to be counted in the quorum until the termination of the meeting provided no other Director objects and provided also that otherwise a quorum of Directors would not be present.</w:t>
      </w:r>
    </w:p>
    <w:p>
      <w:pPr>
        <w:spacing w:after="0" w:line="181" w:lineRule="exact"/>
        <w:rPr>
          <w:rFonts w:ascii="Arial" w:cs="Arial" w:eastAsia="Arial" w:hAnsi="Arial"/>
          <w:sz w:val="18"/>
          <w:szCs w:val="18"/>
          <w:color w:val="auto"/>
        </w:rPr>
      </w:pPr>
    </w:p>
    <w:p>
      <w:pPr>
        <w:ind w:left="1380" w:right="200" w:hanging="683"/>
        <w:spacing w:after="0" w:line="308" w:lineRule="auto"/>
        <w:tabs>
          <w:tab w:leader="none" w:pos="138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continuing Directors or a sole Director may act notwithstanding any vacancies in their number but if the number of Directors is less than the number fixed as the quorum, they may act only for the purpose of filling vacancies or of calling a general meeting.</w:t>
      </w:r>
    </w:p>
    <w:p>
      <w:pPr>
        <w:spacing w:after="0" w:line="358" w:lineRule="exact"/>
        <w:rPr>
          <w:rFonts w:ascii="Arial" w:cs="Arial" w:eastAsia="Arial" w:hAnsi="Arial"/>
          <w:sz w:val="17"/>
          <w:szCs w:val="17"/>
          <w:color w:val="auto"/>
        </w:rPr>
      </w:pPr>
    </w:p>
    <w:p>
      <w:pPr>
        <w:ind w:left="700" w:hanging="692"/>
        <w:spacing w:after="0"/>
        <w:tabs>
          <w:tab w:leader="none" w:pos="7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Voting at Directors' meetings</w:t>
      </w:r>
    </w:p>
    <w:p>
      <w:pPr>
        <w:spacing w:after="0" w:line="229" w:lineRule="exact"/>
        <w:rPr>
          <w:rFonts w:ascii="Arial" w:cs="Arial" w:eastAsia="Arial" w:hAnsi="Arial"/>
          <w:sz w:val="18"/>
          <w:szCs w:val="18"/>
          <w:b w:val="1"/>
          <w:bCs w:val="1"/>
          <w:color w:val="auto"/>
        </w:rPr>
      </w:pPr>
    </w:p>
    <w:p>
      <w:pPr>
        <w:ind w:left="1380" w:right="20" w:hanging="683"/>
        <w:spacing w:after="0" w:line="277" w:lineRule="auto"/>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Questions arising at any meeting of Directors shall be decided by a majority of votes. Where there is an equality of votes, the Chairman of the meeting shall have a second or casting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1" w:name="page152"/>
    <w:bookmarkEnd w:id="151"/>
    <w:p>
      <w:pPr>
        <w:ind w:left="1372" w:right="100" w:hanging="683"/>
        <w:spacing w:after="0" w:line="288" w:lineRule="auto"/>
        <w:tabs>
          <w:tab w:leader="none" w:pos="137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Subject as hereinafter provided, each Director present and voting shall have one vote and in addition to his own vote shall be entitled to one vote in respect of each other Director not present at the meeting who shall have authorised him in respect of such meeting to vote for such other Director in his absence. Any such authority may relate generally to all meetings of the Directors or to any specified meeting or meetings and must be in writing and may be sent by delivery, post, cable, telegram, telex, telefax, or may be provided in electronic form (whether as an electronic communication or otherwise) or be sent by any other means of communication approved by the Directors and may bear a printed or facsimile signature of the Director giving such authority or may be otherwise authenticated in such manner as may be prescribed by the Directors. The authority must be delivered to the Secretary prior to or must be produced at the first meeting at which a vote is to be cast pursuant thereto provided that no Director shall be entitled to any vote at a meeting on behalf of another Director pursuant to this paragraph if the other Director shall have appointed an alternate Director and that alternate Director is present at the meeting at which the Director proposes to vote pursuant to this paragraph.</w:t>
      </w:r>
    </w:p>
    <w:p>
      <w:pPr>
        <w:spacing w:after="0" w:line="381" w:lineRule="exact"/>
        <w:rPr>
          <w:rFonts w:ascii="Arial" w:cs="Arial" w:eastAsia="Arial" w:hAnsi="Arial"/>
          <w:sz w:val="16"/>
          <w:szCs w:val="16"/>
          <w:color w:val="auto"/>
        </w:rPr>
      </w:pPr>
    </w:p>
    <w:p>
      <w:pPr>
        <w:ind w:left="692" w:hanging="692"/>
        <w:spacing w:after="0"/>
        <w:tabs>
          <w:tab w:leader="none" w:pos="69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Telecommunication meetings</w:t>
      </w:r>
    </w:p>
    <w:p>
      <w:pPr>
        <w:spacing w:after="0" w:line="229" w:lineRule="exact"/>
        <w:rPr>
          <w:rFonts w:ascii="Arial" w:cs="Arial" w:eastAsia="Arial" w:hAnsi="Arial"/>
          <w:sz w:val="18"/>
          <w:szCs w:val="18"/>
          <w:b w:val="1"/>
          <w:bCs w:val="1"/>
          <w:color w:val="auto"/>
        </w:rPr>
      </w:pPr>
    </w:p>
    <w:p>
      <w:pPr>
        <w:ind w:left="692"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Any Director or alternate Director may participate in a meeting of the Directors or any committee of the Directors by means of conference telephone or other telecommunications equipment by means of which all persons participating in the meeting can hear each other speak and such participation in a meeting shall constitute presence in person at the meeting. Any such Director or alternate Director participating by means of conference telephone or other telecommunications equipment shall be counted in assessing whether any quorum is present at such meeting.</w:t>
      </w:r>
    </w:p>
    <w:p>
      <w:pPr>
        <w:spacing w:after="0" w:line="366" w:lineRule="exact"/>
        <w:rPr>
          <w:rFonts w:ascii="Arial" w:cs="Arial" w:eastAsia="Arial" w:hAnsi="Arial"/>
          <w:sz w:val="18"/>
          <w:szCs w:val="18"/>
          <w:b w:val="1"/>
          <w:bCs w:val="1"/>
          <w:color w:val="auto"/>
        </w:rPr>
      </w:pPr>
    </w:p>
    <w:p>
      <w:pPr>
        <w:ind w:left="692" w:hanging="692"/>
        <w:spacing w:after="0"/>
        <w:tabs>
          <w:tab w:leader="none" w:pos="69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Chairman of the board of Directors</w:t>
      </w:r>
    </w:p>
    <w:p>
      <w:pPr>
        <w:spacing w:after="0" w:line="229" w:lineRule="exact"/>
        <w:rPr>
          <w:rFonts w:ascii="Arial" w:cs="Arial" w:eastAsia="Arial" w:hAnsi="Arial"/>
          <w:sz w:val="18"/>
          <w:szCs w:val="18"/>
          <w:b w:val="1"/>
          <w:bCs w:val="1"/>
          <w:color w:val="auto"/>
        </w:rPr>
      </w:pPr>
    </w:p>
    <w:p>
      <w:pPr>
        <w:ind w:left="692"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Subject to any appointment to the office of Chairman made pursuant to these Articles, the Directors may elect a Chairman of their meetings and determine the period for which he is to hold office, but if no such Chairman is elected or if at any meeting the Chairman is unwilling to act or is not present within five minutes after the time appointed for holding the same the Deputy Chairman if any, shall be the Chairman of the meeting or if he is unwilling to act or is not present within five minutes after the time appointed for holding the same the Directors present may choose one of their number to be Chairman of the meeting.</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ind w:left="692" w:hanging="692"/>
        <w:spacing w:after="0"/>
        <w:tabs>
          <w:tab w:leader="none" w:pos="69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acts of Directors</w:t>
      </w:r>
    </w:p>
    <w:p>
      <w:pPr>
        <w:spacing w:after="0" w:line="229" w:lineRule="exact"/>
        <w:rPr>
          <w:rFonts w:ascii="Arial" w:cs="Arial" w:eastAsia="Arial" w:hAnsi="Arial"/>
          <w:sz w:val="18"/>
          <w:szCs w:val="18"/>
          <w:b w:val="1"/>
          <w:bCs w:val="1"/>
          <w:color w:val="auto"/>
        </w:rPr>
      </w:pPr>
    </w:p>
    <w:p>
      <w:pPr>
        <w:ind w:left="69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acts done by any meeting of the Directors or of a committee of Directors or by any person acting as a Director, notwithstanding that it be afterwards discovered that there was some defect in the appointment of any such Director or person acting as aforesaid, or that they or any of them were disqualified from holding office or had vacated office, shall be as valid as if every such person had been duly appointed and was qualified to be a Director, had continued to be a Director and had been entitled to vote.</w:t>
      </w:r>
    </w:p>
    <w:p>
      <w:pPr>
        <w:spacing w:after="0" w:line="399" w:lineRule="exact"/>
        <w:rPr>
          <w:rFonts w:ascii="Arial" w:cs="Arial" w:eastAsia="Arial" w:hAnsi="Arial"/>
          <w:sz w:val="18"/>
          <w:szCs w:val="18"/>
          <w:b w:val="1"/>
          <w:bCs w:val="1"/>
          <w:color w:val="auto"/>
        </w:rPr>
      </w:pPr>
    </w:p>
    <w:p>
      <w:pPr>
        <w:ind w:left="692" w:hanging="692"/>
        <w:spacing w:after="0"/>
        <w:tabs>
          <w:tab w:leader="none" w:pos="69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resolutions or other documents in writing</w:t>
      </w:r>
    </w:p>
    <w:p>
      <w:pPr>
        <w:spacing w:after="0" w:line="229" w:lineRule="exact"/>
        <w:rPr>
          <w:rFonts w:ascii="Arial" w:cs="Arial" w:eastAsia="Arial" w:hAnsi="Arial"/>
          <w:sz w:val="18"/>
          <w:szCs w:val="18"/>
          <w:b w:val="1"/>
          <w:bCs w:val="1"/>
          <w:color w:val="auto"/>
        </w:rPr>
      </w:pPr>
    </w:p>
    <w:p>
      <w:pPr>
        <w:ind w:left="692" w:right="1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resolution or other document in writing signed (or otherwise authenticated in a manner determined by the Directors) by all the Directors entitled to receive notice of a meeting of Directors or of a committee of Directors shall be as valid as if it had been passed at a meeting of Directors or (as the case may be) a committee of Directors duly convened and held and may consist of several documents in the like form each signed (or otherwise authenticated as aforesaid, as the case may be) by one or more Directors and a resolution signed by an alternate Director need not also be signed by his appointer and, if it is signed by a Director who has appointed an alternate Director, it need not be signed by the alternate Director in that capacity. Such resolution or other document or documents when duly signed (or otherwise authenticated as aforesaid, as the case may be) may be delivered or transmitted (unless the Directors shall otherwise determine either generally or in any specific case) by facsimile transmission or some other similar means of transmitting the contents of documents or may be delivered or transmitted in electronic form, whether as an electronic communication or otherwise provided such manner of delivery or transmission has been approved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Part XIX - The Secretary</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secretary</w:t>
      </w:r>
    </w:p>
    <w:p>
      <w:pPr>
        <w:spacing w:after="0" w:line="229" w:lineRule="exact"/>
        <w:rPr>
          <w:rFonts w:ascii="Arial" w:cs="Arial" w:eastAsia="Arial" w:hAnsi="Arial"/>
          <w:sz w:val="18"/>
          <w:szCs w:val="18"/>
          <w:b w:val="1"/>
          <w:bCs w:val="1"/>
          <w:color w:val="auto"/>
        </w:rPr>
      </w:pPr>
    </w:p>
    <w:p>
      <w:pPr>
        <w:ind w:left="70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Secretary shall be appointed by the Directors for such term, at such remuneration and upon such conditions as they may think fit and any Secretary so appointed may be removed by them. Anything required or authorised by the Acts or these Articles to be done by or to the Secretary may be done by or to any assistant or acting Secretary or, if there is no assistant or acting Secretary readily available and capable of acting, by or to any officer or employee of the Company authorised generally or specially in that behalf by the Directors: Provided that any provision of the Acts or these Articles requiring or authorising a thing to be done by or to a Director and the Secretary shall not be satisfied by its being done by or to the same person acting both as a Director and as, or in the place of, the Secretary.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 - The Seal</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Use of Seal</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The Directors shall ensure that the Seal shall be used only by the authority of the Directors or of a committee authorised by the Directors.</w:t>
      </w:r>
    </w:p>
    <w:p>
      <w:pPr>
        <w:spacing w:after="0" w:line="200" w:lineRule="exact"/>
        <w:rPr>
          <w:rFonts w:ascii="Arial" w:cs="Arial" w:eastAsia="Arial" w:hAnsi="Arial"/>
          <w:sz w:val="18"/>
          <w:szCs w:val="18"/>
          <w:b w:val="1"/>
          <w:bCs w:val="1"/>
          <w:color w:val="auto"/>
        </w:rPr>
      </w:pPr>
    </w:p>
    <w:p>
      <w:pPr>
        <w:spacing w:after="0" w:line="248" w:lineRule="exact"/>
        <w:rPr>
          <w:rFonts w:ascii="Arial" w:cs="Arial" w:eastAsia="Arial" w:hAnsi="Arial"/>
          <w:sz w:val="18"/>
          <w:szCs w:val="18"/>
          <w:b w:val="1"/>
          <w:bCs w:val="1"/>
          <w:color w:val="auto"/>
        </w:rPr>
      </w:pPr>
    </w:p>
    <w:p>
      <w:pPr>
        <w:ind w:left="700" w:hanging="692"/>
        <w:spacing w:after="0"/>
        <w:tabs>
          <w:tab w:leader="none" w:pos="7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Seal for use abroad</w:t>
      </w:r>
    </w:p>
    <w:p>
      <w:pPr>
        <w:spacing w:after="0" w:line="229" w:lineRule="exact"/>
        <w:rPr>
          <w:rFonts w:ascii="Arial" w:cs="Arial" w:eastAsia="Arial" w:hAnsi="Arial"/>
          <w:sz w:val="18"/>
          <w:szCs w:val="18"/>
          <w:b w:val="1"/>
          <w:bCs w:val="1"/>
          <w:color w:val="auto"/>
        </w:rPr>
      </w:pPr>
    </w:p>
    <w:p>
      <w:pPr>
        <w:ind w:left="70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may exercise the powers conferred by the Acts with regard to having an official seal for use abroad and such powers shall be vested in the Directors.</w:t>
      </w:r>
    </w:p>
    <w:p>
      <w:pPr>
        <w:spacing w:after="0" w:line="382" w:lineRule="exact"/>
        <w:rPr>
          <w:rFonts w:ascii="Arial" w:cs="Arial" w:eastAsia="Arial" w:hAnsi="Arial"/>
          <w:sz w:val="18"/>
          <w:szCs w:val="18"/>
          <w:b w:val="1"/>
          <w:bCs w:val="1"/>
          <w:color w:val="auto"/>
        </w:rPr>
      </w:pPr>
    </w:p>
    <w:p>
      <w:pPr>
        <w:ind w:left="700" w:hanging="692"/>
        <w:spacing w:after="0"/>
        <w:tabs>
          <w:tab w:leader="none" w:pos="7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of sealed instruments</w:t>
      </w:r>
    </w:p>
    <w:p>
      <w:pPr>
        <w:spacing w:after="0" w:line="229" w:lineRule="exact"/>
        <w:rPr>
          <w:rFonts w:ascii="Arial" w:cs="Arial" w:eastAsia="Arial" w:hAnsi="Arial"/>
          <w:sz w:val="18"/>
          <w:szCs w:val="18"/>
          <w:b w:val="1"/>
          <w:bCs w:val="1"/>
          <w:color w:val="auto"/>
        </w:rPr>
      </w:pPr>
    </w:p>
    <w:p>
      <w:pPr>
        <w:ind w:left="1380" w:hanging="683"/>
        <w:spacing w:after="0" w:line="279" w:lineRule="auto"/>
        <w:tabs>
          <w:tab w:leader="none" w:pos="13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Subject as provided in paragraph (b) of this Article, every instrument to which the Seal shall be affixed shall, as part of the sealing process, be signed by at least one Director or other person duly authorised in that behalf by the Directors and by the Secretary or one of the persons authorised as aforesaid (who has not already signed) and, in favour of any purchaser or person dealing with the Company in good faith, such signatures shall be conclusive evidence of the fact that the Seal has been properly affixed.</w:t>
      </w:r>
    </w:p>
    <w:p>
      <w:pPr>
        <w:spacing w:after="0" w:line="171" w:lineRule="exact"/>
        <w:rPr>
          <w:rFonts w:ascii="Arial" w:cs="Arial" w:eastAsia="Arial" w:hAnsi="Arial"/>
          <w:sz w:val="17"/>
          <w:szCs w:val="17"/>
          <w:color w:val="auto"/>
        </w:rPr>
      </w:pPr>
    </w:p>
    <w:p>
      <w:pPr>
        <w:ind w:left="1380" w:hanging="683"/>
        <w:spacing w:after="0" w:line="273" w:lineRule="auto"/>
        <w:tabs>
          <w:tab w:leader="none" w:pos="13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Directors may by resolution determine, either generally or in any particular case, that in respect of certificates for Shares or debentures or other securities of the Company, the signature of any Director or of the Secretary or other person authorised by the Directors as aforesaid forming part of the sealing process may be applied or effected by non-autographic means, or that such certificates shall bear no signatures, and in favour of any registered holder or other person acquiring any such Shares or debentures or other securities in good faith a certificate executed in any of the modes of execution authorised herein shall be as valid and effective as if such certificate was issued under the Seal of the Company pursuant to these Articles.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 - Dividends and Reserves</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3" w:name="page154"/>
    <w:bookmarkEnd w:id="153"/>
    <w:p>
      <w:pPr>
        <w:ind w:left="1372" w:right="160" w:hanging="683"/>
        <w:spacing w:after="0" w:line="264" w:lineRule="auto"/>
        <w:tabs>
          <w:tab w:leader="none" w:pos="137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Subject to the provisions of the Acts, the Company by ordinary resolution may declare dividends in accordance with the respective rights of the Members, but no dividend shall exceed the amount recommended by the Directors. Dividends may be declared or paid in any currency.</w:t>
      </w:r>
    </w:p>
    <w:p>
      <w:pPr>
        <w:spacing w:after="0" w:line="181" w:lineRule="exact"/>
        <w:rPr>
          <w:rFonts w:ascii="Arial" w:cs="Arial" w:eastAsia="Arial" w:hAnsi="Arial"/>
          <w:sz w:val="18"/>
          <w:szCs w:val="18"/>
          <w:color w:val="auto"/>
        </w:rPr>
      </w:pPr>
    </w:p>
    <w:p>
      <w:pPr>
        <w:ind w:left="1372" w:right="60" w:hanging="683"/>
        <w:spacing w:after="0" w:line="291" w:lineRule="auto"/>
        <w:tabs>
          <w:tab w:leader="none" w:pos="137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Directors may at their discretion make provision to enable any Holder of Ordinary Shares as they shall from time to time determine to receive dividends duly declared in a currency or currencies other than Euro. For the purposes of the circulation of the amount receivable in respect of any dividend, the rate of exchange to be used to determine the foreign currency equivalent of any sum payable as a dividend shall be such market rate selected by the Directors as they shall consider appropriate ruling at the close of business in Dublin on the date which is the business day last preceding (i) in the case of a dividend to be declared by the Company in general meeting, the date on which the Directors publicly announce their intention to recommend that specific dividend; and (ii) in the case of any other dividend, the date on which the Directors publicly announce their intention to pay that specific dividend.</w:t>
      </w:r>
    </w:p>
    <w:p>
      <w:pPr>
        <w:spacing w:after="0" w:line="167" w:lineRule="exact"/>
        <w:rPr>
          <w:rFonts w:ascii="Arial" w:cs="Arial" w:eastAsia="Arial" w:hAnsi="Arial"/>
          <w:sz w:val="16"/>
          <w:szCs w:val="16"/>
          <w:color w:val="auto"/>
        </w:rPr>
      </w:pPr>
    </w:p>
    <w:p>
      <w:pPr>
        <w:ind w:left="1372" w:right="60" w:hanging="683"/>
        <w:spacing w:after="0" w:line="259" w:lineRule="auto"/>
        <w:tabs>
          <w:tab w:leader="none" w:pos="137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Where a Holder of Ordinary Shares has elected or agreed pursuant to provision made under these Articles to receive dividends in a currency other than Euro the Directors may at their discretion make such arrangements as they deem necessary to enable payment of the dividend to be made to such Holders in such currency for value on the date on which the relevant dividend is paid, or such later date as the Directors may determine.</w:t>
      </w:r>
    </w:p>
    <w:p>
      <w:pPr>
        <w:spacing w:after="0" w:line="182" w:lineRule="exact"/>
        <w:rPr>
          <w:rFonts w:ascii="Arial" w:cs="Arial" w:eastAsia="Arial" w:hAnsi="Arial"/>
          <w:sz w:val="18"/>
          <w:szCs w:val="18"/>
          <w:color w:val="auto"/>
        </w:rPr>
      </w:pPr>
    </w:p>
    <w:p>
      <w:pPr>
        <w:ind w:left="692" w:hanging="692"/>
        <w:spacing w:after="0"/>
        <w:tabs>
          <w:tab w:leader="none" w:pos="69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Scrip dividend</w:t>
      </w:r>
    </w:p>
    <w:p>
      <w:pPr>
        <w:spacing w:after="0" w:line="229" w:lineRule="exact"/>
        <w:rPr>
          <w:rFonts w:ascii="Arial" w:cs="Arial" w:eastAsia="Arial" w:hAnsi="Arial"/>
          <w:sz w:val="18"/>
          <w:szCs w:val="18"/>
          <w:b w:val="1"/>
          <w:bCs w:val="1"/>
          <w:color w:val="auto"/>
        </w:rPr>
      </w:pPr>
    </w:p>
    <w:p>
      <w:pPr>
        <w:ind w:left="692" w:right="3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Directors may, if authorised by an ordinary resolution of the Company, offer any Holders of Ordinary Shares the right to elect to receive Ordinary Shares, credited as fully paid, instead of cash in respect of the whole (or some part, to be determined by the Directors) of any dividend specified by the ordinary resolution. The following provisions shall apply (subject always to the provisions of the Acts):</w:t>
      </w:r>
    </w:p>
    <w:p>
      <w:pPr>
        <w:spacing w:after="0" w:line="165" w:lineRule="exact"/>
        <w:rPr>
          <w:rFonts w:ascii="Arial" w:cs="Arial" w:eastAsia="Arial" w:hAnsi="Arial"/>
          <w:sz w:val="18"/>
          <w:szCs w:val="18"/>
          <w:b w:val="1"/>
          <w:bCs w:val="1"/>
          <w:color w:val="auto"/>
        </w:rPr>
      </w:pPr>
    </w:p>
    <w:p>
      <w:pPr>
        <w:ind w:left="1372" w:right="140" w:hanging="683"/>
        <w:spacing w:after="0" w:line="264" w:lineRule="auto"/>
        <w:tabs>
          <w:tab w:leader="none" w:pos="137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 ordinary resolution may specify a particular dividend, or may specify all or any dividends declared within a specified period, but such period may not end later than the beginning of the annual general meeting next following the date of the meeting at which the ordinary resolution is passed.</w:t>
      </w:r>
    </w:p>
    <w:p>
      <w:pPr>
        <w:spacing w:after="0" w:line="181" w:lineRule="exact"/>
        <w:rPr>
          <w:rFonts w:ascii="Arial" w:cs="Arial" w:eastAsia="Arial" w:hAnsi="Arial"/>
          <w:sz w:val="18"/>
          <w:szCs w:val="18"/>
          <w:color w:val="auto"/>
        </w:rPr>
      </w:pPr>
    </w:p>
    <w:p>
      <w:pPr>
        <w:ind w:left="1372" w:hanging="683"/>
        <w:spacing w:after="0" w:line="291" w:lineRule="auto"/>
        <w:tabs>
          <w:tab w:leader="none" w:pos="137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entitlement of each Holder of Ordinary Shares to new Ordinary Shares shall be such that the relevant value of the entitlement shall be as nearly as possible equal to (but not greater than) the cash amount (disregarding any tax credit) of the dividend that such holder elects to forgo. For this purpose, "relevant value" shall be calculated by reference to the average of the middle market quotations for the Company's Ordinary Shares on Nasdaq or such other Stock Exchange upon which the Company's Ordinary Shares are admitted as derived from the daily official list, on the day on which the Ordinary Shares are first quoted "ex" the relevant dividend and the four subsequent dealing days, or in such manner as may be determined by or in accordance with the ordinary resolution. A certificate or report by the auditors as to the amount of the relevant value in respect of any dividend shall be conclusive evidence of that amount.</w:t>
      </w:r>
    </w:p>
    <w:p>
      <w:pPr>
        <w:spacing w:after="0" w:line="167" w:lineRule="exact"/>
        <w:rPr>
          <w:rFonts w:ascii="Arial" w:cs="Arial" w:eastAsia="Arial" w:hAnsi="Arial"/>
          <w:sz w:val="16"/>
          <w:szCs w:val="16"/>
          <w:color w:val="auto"/>
        </w:rPr>
      </w:pPr>
    </w:p>
    <w:p>
      <w:pPr>
        <w:ind w:left="1372" w:right="80" w:hanging="683"/>
        <w:spacing w:after="0" w:line="297" w:lineRule="auto"/>
        <w:tabs>
          <w:tab w:leader="none" w:pos="137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On or as soon as practicable after announcing that the Company is to declare or recommend any dividend, the Directors, if they intend to offer an election in respect of that dividend, shall also announce that intention, and shall after determining the basis of allotment, if they decide to proceed with the offer, notify the Holders of Ordinary Shares in writing of the right of election offered to them and specify the procedure to be followed and place at which, and the latest time by which elections must be lodged in order to be effective. Any election by a holder of Ordinary Shares shall be binding on every successor in title to the Ordinary Shares in respect of which the election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381635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54" w:name="page155"/>
    <w:bookmarkEnd w:id="154"/>
    <w:p>
      <w:pPr>
        <w:ind w:left="1372" w:right="280" w:hanging="683"/>
        <w:spacing w:after="0" w:line="277" w:lineRule="auto"/>
        <w:tabs>
          <w:tab w:leader="none" w:pos="137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Directors shall not proceed with any election unless the Company has sufficient unissued Shares authorised for issue and sufficient reserves or funds that may be capitalised to give effect to it after the basis of allotment is determined.</w:t>
      </w:r>
    </w:p>
    <w:p>
      <w:pPr>
        <w:spacing w:after="0" w:line="170" w:lineRule="exact"/>
        <w:rPr>
          <w:rFonts w:ascii="Arial" w:cs="Arial" w:eastAsia="Arial" w:hAnsi="Arial"/>
          <w:sz w:val="18"/>
          <w:szCs w:val="18"/>
          <w:color w:val="auto"/>
        </w:rPr>
      </w:pPr>
    </w:p>
    <w:p>
      <w:pPr>
        <w:ind w:left="1372" w:right="20" w:hanging="683"/>
        <w:spacing w:after="0" w:line="342" w:lineRule="auto"/>
        <w:tabs>
          <w:tab w:leader="none" w:pos="137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Directors may exclude from any offer any Holders of Ordinary Shares where the Directors believe that the making of the offer to them would or might involve the contravention of the laws of any territory or that for any other reason the offer should not be made to them.</w:t>
      </w:r>
    </w:p>
    <w:p>
      <w:pPr>
        <w:spacing w:after="0" w:line="123" w:lineRule="exact"/>
        <w:rPr>
          <w:rFonts w:ascii="Arial" w:cs="Arial" w:eastAsia="Arial" w:hAnsi="Arial"/>
          <w:sz w:val="16"/>
          <w:szCs w:val="16"/>
          <w:color w:val="auto"/>
        </w:rPr>
      </w:pPr>
    </w:p>
    <w:p>
      <w:pPr>
        <w:ind w:left="1372" w:right="40" w:hanging="683"/>
        <w:spacing w:after="0" w:line="271" w:lineRule="auto"/>
        <w:tabs>
          <w:tab w:leader="none" w:pos="1372"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dividend (or that part of the dividend in respect of which a right of election has been offered) shall not be payable on Ordinary Shares in respect of which an election has been made ("the elected Ordinary Shares") and instead additional Ordinary Shares shall be allotted to the holders of the elected Ordinary Shares on the basis of allotment calculated as stated. For such purpose the Directors shall capitalise, out of any amount for the time being standing to the credit of any reserve or fund (including the profit and loss account) whether or not the same is available for distribution as the Directors may determine, a sum equal to the aggregate nominal amount of the additional Ordinary Shares to be allotted on that basis and apply it in paying up in full the appropriate number of unissued Ordinary Shares for allotment and distribution to the holders of the elected Ordinary Shares on that basis and the provisions of Article 124 shall apply mutatis mutandis to any capitalisation made pursuant to this Article.</w:t>
      </w:r>
    </w:p>
    <w:p>
      <w:pPr>
        <w:spacing w:after="0" w:line="178" w:lineRule="exact"/>
        <w:rPr>
          <w:rFonts w:ascii="Arial" w:cs="Arial" w:eastAsia="Arial" w:hAnsi="Arial"/>
          <w:sz w:val="17"/>
          <w:szCs w:val="17"/>
          <w:color w:val="auto"/>
        </w:rPr>
      </w:pPr>
    </w:p>
    <w:p>
      <w:pPr>
        <w:ind w:left="1372" w:right="140" w:hanging="683"/>
        <w:spacing w:after="0" w:line="277" w:lineRule="auto"/>
        <w:tabs>
          <w:tab w:leader="none" w:pos="137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additional Ordinary Shares when allotted shall rank pari passu in all respects with the fully-paid Ordinary Shares then in issue except that they will not be entitled to participation in the relevant dividend.</w:t>
      </w:r>
    </w:p>
    <w:p>
      <w:pPr>
        <w:spacing w:after="0" w:line="170" w:lineRule="exact"/>
        <w:rPr>
          <w:rFonts w:ascii="Arial" w:cs="Arial" w:eastAsia="Arial" w:hAnsi="Arial"/>
          <w:sz w:val="18"/>
          <w:szCs w:val="18"/>
          <w:color w:val="auto"/>
        </w:rPr>
      </w:pPr>
    </w:p>
    <w:p>
      <w:pPr>
        <w:ind w:left="2072" w:hanging="1383"/>
        <w:spacing w:after="0" w:line="253" w:lineRule="auto"/>
        <w:tabs>
          <w:tab w:leader="none" w:pos="138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(i)The Directors may do all acts and things considered necessary or expedient to give effect to any such capitalisation with full power for the Directors to make such provisions as they think fit in the case of Shares becoming distributable in fractions (including provisions whereby, in whole or in part, the fractional entitlements are disregarded and, the benefit of fractional entitlements accrues to the Company rather than to the Members concerned). The Directors may authorise any person to enter on behalf of all the Members interested into an agreement with the Company providing for such capitalisation and matters incidental thereto and any agreement made under such authority shall be effective and binding on all concerned. The Directors may, in their absolute discretion, if it shall in their opinion seem expedient, suspend or terminate (whether temporarily or otherwise) such right to elect and may do such acts and things considered necessary or expedient with regard to, or in order to effect, any such suspension or termination;</w:t>
      </w:r>
    </w:p>
    <w:p>
      <w:pPr>
        <w:spacing w:after="0" w:line="197" w:lineRule="exact"/>
        <w:rPr>
          <w:rFonts w:ascii="Arial" w:cs="Arial" w:eastAsia="Arial" w:hAnsi="Arial"/>
          <w:sz w:val="18"/>
          <w:szCs w:val="18"/>
          <w:color w:val="auto"/>
        </w:rPr>
      </w:pPr>
    </w:p>
    <w:p>
      <w:pPr>
        <w:ind w:left="2072" w:right="20" w:hanging="694"/>
        <w:spacing w:after="0" w:line="255" w:lineRule="auto"/>
        <w:tabs>
          <w:tab w:leader="none" w:pos="2072" w:val="left"/>
        </w:tabs>
        <w:numPr>
          <w:ilvl w:val="2"/>
          <w:numId w:val="120"/>
        </w:numPr>
        <w:rPr>
          <w:rFonts w:ascii="Arial" w:cs="Arial" w:eastAsia="Arial" w:hAnsi="Arial"/>
          <w:sz w:val="18"/>
          <w:szCs w:val="18"/>
          <w:color w:val="auto"/>
        </w:rPr>
      </w:pPr>
      <w:r>
        <w:rPr>
          <w:rFonts w:ascii="Arial" w:cs="Arial" w:eastAsia="Arial" w:hAnsi="Arial"/>
          <w:sz w:val="18"/>
          <w:szCs w:val="18"/>
          <w:color w:val="auto"/>
        </w:rPr>
        <w:t>Notwithstanding the foregoing, the Directors may at any time prior to payment of the relevant dividend determine, if it appears to them desirable to do so because of a change in circumstances, that the dividend shall be payable wholly in cash and if they so determine then all elections made shall be disregarded. The relevant dividend shall be payable wholly in cash if the Ordinary Shares of the Company cease to be listed or dealt in on any recognised stock exchange at any time prior to the due date of issue of the additional Ordinary Shares or, if such listing is suspended and not reinstated by the date immediately preceding the due date of such issue.</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692" w:hanging="692"/>
        <w:spacing w:after="0"/>
        <w:tabs>
          <w:tab w:leader="none" w:pos="692"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Interim and fixed dividends</w:t>
      </w:r>
    </w:p>
    <w:p>
      <w:pPr>
        <w:spacing w:after="0" w:line="229" w:lineRule="exact"/>
        <w:rPr>
          <w:rFonts w:ascii="Arial" w:cs="Arial" w:eastAsia="Arial" w:hAnsi="Arial"/>
          <w:sz w:val="18"/>
          <w:szCs w:val="18"/>
          <w:b w:val="1"/>
          <w:bCs w:val="1"/>
          <w:color w:val="auto"/>
        </w:rPr>
      </w:pPr>
    </w:p>
    <w:p>
      <w:pPr>
        <w:ind w:left="692"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Subject to the provisions of the Acts, the Directors may declare and pay interim dividends if it appears to them that they are justified by the profits of the Company available for distribution. If the share capital is divided into different classes, the Directors may declare and pay interim dividends on Shares which confer deferred or non-preferred rights with regard to dividend as well as on Shares which confer preferential rights with regard to dividend, but subject always to any restrictions for the time being in force (whether under these Articles, under the terms of issue of any Shares or under any agreement to which the Company is a party, or otherwise) relating to the application, or the priority of application, of the Company's profits available for distribution or to the declaration or as the case may be the payment of dividends by the Company. Subject as aforesaid, the Directors may also pay at intervals settled by them any dividend payable at a fixed rate if it appears to them that the profits available for distribution justify the payment. Provided the Directors act in good faith they shall not incur any liability to the Holders of Shares conferring preferred rights for any loss they may suffer by the lawful payment of an interim dividend on any Shares having deferred or non-preferred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55" w:name="page156"/>
    <w:bookmarkEnd w:id="155"/>
    <w:p>
      <w:pPr>
        <w:ind w:left="692" w:hanging="692"/>
        <w:spacing w:after="0"/>
        <w:tabs>
          <w:tab w:leader="none" w:pos="69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w:t>
      </w:r>
    </w:p>
    <w:p>
      <w:pPr>
        <w:spacing w:after="0" w:line="229" w:lineRule="exact"/>
        <w:rPr>
          <w:rFonts w:ascii="Arial" w:cs="Arial" w:eastAsia="Arial" w:hAnsi="Arial"/>
          <w:sz w:val="18"/>
          <w:szCs w:val="18"/>
          <w:b w:val="1"/>
          <w:bCs w:val="1"/>
          <w:color w:val="auto"/>
        </w:rPr>
      </w:pPr>
    </w:p>
    <w:p>
      <w:pPr>
        <w:ind w:left="1372" w:hanging="683"/>
        <w:spacing w:after="0" w:line="297" w:lineRule="auto"/>
        <w:tabs>
          <w:tab w:leader="none" w:pos="137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Except as otherwise provided by the rights attached to Shares, all dividends shall be declared and paid according to the amounts paid up on the Shares on which the dividend is paid. Subject as aforesaid, 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 For the purposes of this Article, no amount paid on a Share in advance of calls shall be treated as paid on a Share.</w:t>
      </w:r>
    </w:p>
    <w:p>
      <w:pPr>
        <w:spacing w:after="0" w:line="158" w:lineRule="exact"/>
        <w:rPr>
          <w:rFonts w:ascii="Arial" w:cs="Arial" w:eastAsia="Arial" w:hAnsi="Arial"/>
          <w:sz w:val="16"/>
          <w:szCs w:val="16"/>
          <w:color w:val="auto"/>
        </w:rPr>
      </w:pPr>
    </w:p>
    <w:p>
      <w:pPr>
        <w:ind w:left="1372" w:right="500" w:hanging="683"/>
        <w:spacing w:after="0" w:line="277" w:lineRule="auto"/>
        <w:tabs>
          <w:tab w:leader="none" w:pos="137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several persons are registered as joint Holders of any Share, any one of them may give effectual receipts for any dividend or other moneys payable on or in respect of the Share.</w:t>
      </w:r>
    </w:p>
    <w:p>
      <w:pPr>
        <w:spacing w:after="0" w:line="382" w:lineRule="exact"/>
        <w:rPr>
          <w:rFonts w:ascii="Arial" w:cs="Arial" w:eastAsia="Arial" w:hAnsi="Arial"/>
          <w:sz w:val="18"/>
          <w:szCs w:val="18"/>
          <w:color w:val="auto"/>
        </w:rPr>
      </w:pPr>
    </w:p>
    <w:p>
      <w:pPr>
        <w:ind w:left="692" w:hanging="692"/>
        <w:spacing w:after="0"/>
        <w:tabs>
          <w:tab w:leader="none" w:pos="69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Deductions from dividends</w:t>
      </w:r>
    </w:p>
    <w:p>
      <w:pPr>
        <w:spacing w:after="0" w:line="229" w:lineRule="exact"/>
        <w:rPr>
          <w:rFonts w:ascii="Arial" w:cs="Arial" w:eastAsia="Arial" w:hAnsi="Arial"/>
          <w:sz w:val="18"/>
          <w:szCs w:val="18"/>
          <w:b w:val="1"/>
          <w:bCs w:val="1"/>
          <w:color w:val="auto"/>
        </w:rPr>
      </w:pPr>
    </w:p>
    <w:p>
      <w:pPr>
        <w:ind w:left="69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Directors may deduct from any dividend or other moneys payable to any Member in respect of a Share any moneys presently payable by him to the Company in respect of that Share.</w:t>
      </w:r>
    </w:p>
    <w:p>
      <w:pPr>
        <w:spacing w:after="0" w:line="382" w:lineRule="exact"/>
        <w:rPr>
          <w:rFonts w:ascii="Arial" w:cs="Arial" w:eastAsia="Arial" w:hAnsi="Arial"/>
          <w:sz w:val="18"/>
          <w:szCs w:val="18"/>
          <w:b w:val="1"/>
          <w:bCs w:val="1"/>
          <w:color w:val="auto"/>
        </w:rPr>
      </w:pPr>
    </w:p>
    <w:p>
      <w:pPr>
        <w:ind w:left="692" w:hanging="692"/>
        <w:spacing w:after="0"/>
        <w:tabs>
          <w:tab w:leader="none" w:pos="69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in specie</w:t>
      </w:r>
    </w:p>
    <w:p>
      <w:pPr>
        <w:spacing w:after="0" w:line="229" w:lineRule="exact"/>
        <w:rPr>
          <w:rFonts w:ascii="Arial" w:cs="Arial" w:eastAsia="Arial" w:hAnsi="Arial"/>
          <w:sz w:val="18"/>
          <w:szCs w:val="18"/>
          <w:b w:val="1"/>
          <w:bCs w:val="1"/>
          <w:color w:val="auto"/>
        </w:rPr>
      </w:pPr>
    </w:p>
    <w:p>
      <w:pPr>
        <w:ind w:left="69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general meeting declaring a dividend may direct, upon the recommendation of the Directors, that it shall be satisfied wholly or partly by the distribution of assets (and, in particular, of paid up Shares, debentures or debenture stock of any other company or in any one or more of such ways) and the Directors shall give effect to such resolution. Where any difficulty arises in regard to the distribution, the Directors may settle the same as they think expedient and in particular may issue fractional certificates and fix the value for distribution of such specific assets or any part thereof in order to adjust the rights of all the parties and may determine that cash payments shall be made to any Members upon the footing of the value so fixed and may vest any such specific assets in trustees.</w:t>
      </w:r>
    </w:p>
    <w:p>
      <w:pPr>
        <w:spacing w:after="0" w:line="200" w:lineRule="exact"/>
        <w:rPr>
          <w:rFonts w:ascii="Arial" w:cs="Arial" w:eastAsia="Arial" w:hAnsi="Arial"/>
          <w:sz w:val="18"/>
          <w:szCs w:val="18"/>
          <w:b w:val="1"/>
          <w:bCs w:val="1"/>
          <w:color w:val="auto"/>
        </w:rPr>
      </w:pPr>
    </w:p>
    <w:p>
      <w:pPr>
        <w:spacing w:after="0" w:line="205" w:lineRule="exact"/>
        <w:rPr>
          <w:rFonts w:ascii="Arial" w:cs="Arial" w:eastAsia="Arial" w:hAnsi="Arial"/>
          <w:sz w:val="18"/>
          <w:szCs w:val="18"/>
          <w:b w:val="1"/>
          <w:bCs w:val="1"/>
          <w:color w:val="auto"/>
        </w:rPr>
      </w:pPr>
    </w:p>
    <w:p>
      <w:pPr>
        <w:ind w:left="692" w:hanging="692"/>
        <w:spacing w:after="0"/>
        <w:tabs>
          <w:tab w:leader="none" w:pos="69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 by post</w:t>
      </w:r>
    </w:p>
    <w:p>
      <w:pPr>
        <w:spacing w:after="0" w:line="229" w:lineRule="exact"/>
        <w:rPr>
          <w:rFonts w:ascii="Arial" w:cs="Arial" w:eastAsia="Arial" w:hAnsi="Arial"/>
          <w:sz w:val="18"/>
          <w:szCs w:val="18"/>
          <w:b w:val="1"/>
          <w:bCs w:val="1"/>
          <w:color w:val="auto"/>
        </w:rPr>
      </w:pPr>
    </w:p>
    <w:p>
      <w:pPr>
        <w:ind w:left="69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The Directors may also, in circumstances which they consider appropriate, arrange for payment of dividends by electronic funds transfer, bank transfer or by any other method selected by the Directors from time to time and in such event the debiting of the Company's account in respect of the appropriate amount shall be deemed a good discharge of the Company's obligations in respect of any payment made by any such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156" w:name="page157"/>
    <w:bookmarkEnd w:id="156"/>
    <w:p>
      <w:pPr>
        <w:ind w:left="700" w:hanging="692"/>
        <w:spacing w:after="0"/>
        <w:tabs>
          <w:tab w:leader="none" w:pos="7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not to bear interest</w:t>
      </w:r>
    </w:p>
    <w:p>
      <w:pPr>
        <w:spacing w:after="0" w:line="229" w:lineRule="exact"/>
        <w:rPr>
          <w:rFonts w:ascii="Arial" w:cs="Arial" w:eastAsia="Arial" w:hAnsi="Arial"/>
          <w:sz w:val="18"/>
          <w:szCs w:val="18"/>
          <w:b w:val="1"/>
          <w:bCs w:val="1"/>
          <w:color w:val="auto"/>
        </w:rPr>
      </w:pPr>
    </w:p>
    <w:p>
      <w:pPr>
        <w:ind w:left="7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dividend or other moneys payable by the Company on or in respect of any Shares shall bear interest against the Company unless otherwise provided by the rights attached to the Shares.</w:t>
      </w:r>
    </w:p>
    <w:p>
      <w:pPr>
        <w:spacing w:after="0" w:line="382" w:lineRule="exact"/>
        <w:rPr>
          <w:rFonts w:ascii="Arial" w:cs="Arial" w:eastAsia="Arial" w:hAnsi="Arial"/>
          <w:sz w:val="18"/>
          <w:szCs w:val="18"/>
          <w:b w:val="1"/>
          <w:bCs w:val="1"/>
          <w:color w:val="auto"/>
        </w:rPr>
      </w:pPr>
    </w:p>
    <w:p>
      <w:pPr>
        <w:ind w:left="700" w:hanging="692"/>
        <w:spacing w:after="0"/>
        <w:tabs>
          <w:tab w:leader="none" w:pos="7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Payment to Holders on a particular date</w:t>
      </w:r>
    </w:p>
    <w:p>
      <w:pPr>
        <w:spacing w:after="0" w:line="229" w:lineRule="exact"/>
        <w:rPr>
          <w:rFonts w:ascii="Arial" w:cs="Arial" w:eastAsia="Arial" w:hAnsi="Arial"/>
          <w:sz w:val="18"/>
          <w:szCs w:val="18"/>
          <w:b w:val="1"/>
          <w:bCs w:val="1"/>
          <w:color w:val="auto"/>
        </w:rPr>
      </w:pPr>
    </w:p>
    <w:p>
      <w:pPr>
        <w:ind w:left="7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Any resolution declaring a dividend on Shares of any class, whether a resolution of the Company in general meeting or a resolution of the Directors, may specify that the same may be payable to the persons registered as the Holders of such Shares at the close of business on a particular date, notwithstanding that it may be a date prior to that on which the resolution is passed, and thereupon the dividend shall be payable to them in accordance with their respective holdings so registered, but without prejudice to the rights inter se of transferors and transferees of any such Shares in respect of such dividend. The provisions of this Article shall apply, mutatis mutandis, to capitalisations to be effected in pursuance of these Articles.</w:t>
      </w:r>
    </w:p>
    <w:p>
      <w:pPr>
        <w:spacing w:after="0" w:line="200" w:lineRule="exact"/>
        <w:rPr>
          <w:rFonts w:ascii="Arial" w:cs="Arial" w:eastAsia="Arial" w:hAnsi="Arial"/>
          <w:sz w:val="18"/>
          <w:szCs w:val="18"/>
          <w:b w:val="1"/>
          <w:bCs w:val="1"/>
          <w:color w:val="auto"/>
        </w:rPr>
      </w:pPr>
    </w:p>
    <w:p>
      <w:pPr>
        <w:spacing w:after="0" w:line="205" w:lineRule="exact"/>
        <w:rPr>
          <w:rFonts w:ascii="Arial" w:cs="Arial" w:eastAsia="Arial" w:hAnsi="Arial"/>
          <w:sz w:val="18"/>
          <w:szCs w:val="18"/>
          <w:b w:val="1"/>
          <w:bCs w:val="1"/>
          <w:color w:val="auto"/>
        </w:rPr>
      </w:pPr>
    </w:p>
    <w:p>
      <w:pPr>
        <w:ind w:left="700" w:hanging="692"/>
        <w:spacing w:after="0"/>
        <w:tabs>
          <w:tab w:leader="none" w:pos="7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Unclaimed dividends</w:t>
      </w:r>
    </w:p>
    <w:p>
      <w:pPr>
        <w:spacing w:after="0" w:line="229" w:lineRule="exact"/>
        <w:rPr>
          <w:rFonts w:ascii="Arial" w:cs="Arial" w:eastAsia="Arial" w:hAnsi="Arial"/>
          <w:sz w:val="18"/>
          <w:szCs w:val="18"/>
          <w:b w:val="1"/>
          <w:bCs w:val="1"/>
          <w:color w:val="auto"/>
        </w:rPr>
      </w:pPr>
    </w:p>
    <w:p>
      <w:pPr>
        <w:ind w:left="70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the Directors so resolve, any dividend which has remained unclaimed for twelve years from the date of its declaration shall be forfeited and cease to remain owing by the Company. The payment by the Directors of any unclaimed dividend or other moneys payable in respect of a Share into a separate account shall not constitute the Company a trustee in respect thereof. Any dividend, interest or other sum payable which remains unclaimed for one year after having been declared may be invested or otherwise made use of by the Directors for the benefit of the Company until claimed.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ind w:left="700" w:hanging="692"/>
        <w:spacing w:after="0"/>
        <w:tabs>
          <w:tab w:leader="none" w:pos="7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Reserves</w:t>
      </w:r>
    </w:p>
    <w:p>
      <w:pPr>
        <w:spacing w:after="0" w:line="229" w:lineRule="exact"/>
        <w:rPr>
          <w:rFonts w:ascii="Arial" w:cs="Arial" w:eastAsia="Arial" w:hAnsi="Arial"/>
          <w:sz w:val="18"/>
          <w:szCs w:val="18"/>
          <w:b w:val="1"/>
          <w:bCs w:val="1"/>
          <w:color w:val="auto"/>
        </w:rPr>
      </w:pPr>
    </w:p>
    <w:p>
      <w:pPr>
        <w:ind w:left="7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Before recommending any dividend, whether preferential or otherwise, the Directors may carry to reserve out of the profits of the Company such sums as they think proper. All sums standing to reserve may be applied from time to time at the discretion of the Directors for any purpose to which the profits of the Company may be properly applied and at the like discretion may be either employed in the business of the Company or invested in such investments as the Directors may lawfully determine. The Directors may divide the reserve into such special funds as they think fit and may consolidate into one fund any special funds or any parts of any special funds into which the reserve may have been divided as they may lawfully determine. Any sum which the Directors may carry to reserve out of the unrealised profits of the Company shall not be mixed with any reserve to which profits available for distribution have been carried. The Directors may also carry forward, without placing the same to reserve, any profits which they may think it prudent not to divide.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XXII - Accounts</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229" w:lineRule="exact"/>
        <w:rPr>
          <w:rFonts w:ascii="Arial" w:cs="Arial" w:eastAsia="Arial" w:hAnsi="Arial"/>
          <w:sz w:val="18"/>
          <w:szCs w:val="18"/>
          <w:b w:val="1"/>
          <w:bCs w:val="1"/>
          <w:color w:val="auto"/>
        </w:rPr>
      </w:pPr>
    </w:p>
    <w:p>
      <w:pPr>
        <w:ind w:left="1380" w:hanging="683"/>
        <w:spacing w:after="0"/>
        <w:tabs>
          <w:tab w:leader="none" w:pos="13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Directors shall cause to be kept proper books of account, whether in the form of documents or otherwise, that:</w:t>
      </w:r>
    </w:p>
    <w:p>
      <w:pPr>
        <w:spacing w:after="0" w:line="225" w:lineRule="exact"/>
        <w:rPr>
          <w:rFonts w:ascii="Arial" w:cs="Arial" w:eastAsia="Arial" w:hAnsi="Arial"/>
          <w:sz w:val="18"/>
          <w:szCs w:val="18"/>
          <w:color w:val="auto"/>
        </w:rPr>
      </w:pPr>
    </w:p>
    <w:p>
      <w:pPr>
        <w:ind w:left="2080" w:hanging="694"/>
        <w:spacing w:after="0"/>
        <w:tabs>
          <w:tab w:leader="none" w:pos="208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correctly record and explain the transactions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57" w:name="page158"/>
    <w:bookmarkEnd w:id="157"/>
    <w:p>
      <w:pPr>
        <w:ind w:left="2080" w:hanging="694"/>
        <w:spacing w:after="0"/>
        <w:tabs>
          <w:tab w:leader="none" w:pos="2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will at any time enable the financial position of the Company to be determined with reasonable accuracy,</w:t>
      </w:r>
    </w:p>
    <w:p>
      <w:pPr>
        <w:spacing w:after="0" w:line="225" w:lineRule="exact"/>
        <w:rPr>
          <w:rFonts w:ascii="Arial" w:cs="Arial" w:eastAsia="Arial" w:hAnsi="Arial"/>
          <w:sz w:val="18"/>
          <w:szCs w:val="18"/>
          <w:color w:val="auto"/>
        </w:rPr>
      </w:pPr>
    </w:p>
    <w:p>
      <w:pPr>
        <w:ind w:left="2080" w:right="460" w:hanging="694"/>
        <w:spacing w:after="0" w:line="277" w:lineRule="auto"/>
        <w:tabs>
          <w:tab w:leader="none" w:pos="2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will enable the Directors to ensure that any balance sheet, profit and loss account or income and expenditure account of the Company complies with the requirements of the Acts, and</w:t>
      </w:r>
    </w:p>
    <w:p>
      <w:pPr>
        <w:spacing w:after="0" w:line="170" w:lineRule="exact"/>
        <w:rPr>
          <w:rFonts w:ascii="Arial" w:cs="Arial" w:eastAsia="Arial" w:hAnsi="Arial"/>
          <w:sz w:val="18"/>
          <w:szCs w:val="18"/>
          <w:color w:val="auto"/>
        </w:rPr>
      </w:pPr>
    </w:p>
    <w:p>
      <w:pPr>
        <w:ind w:left="2080" w:hanging="694"/>
        <w:spacing w:after="0"/>
        <w:tabs>
          <w:tab w:leader="none" w:pos="2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will enable the accounts of the Company to be readily and properly audited.</w:t>
      </w:r>
    </w:p>
    <w:p>
      <w:pPr>
        <w:spacing w:after="0" w:line="225" w:lineRule="exact"/>
        <w:rPr>
          <w:rFonts w:ascii="Arial" w:cs="Arial" w:eastAsia="Arial" w:hAnsi="Arial"/>
          <w:sz w:val="18"/>
          <w:szCs w:val="18"/>
          <w:color w:val="auto"/>
        </w:rPr>
      </w:pPr>
    </w:p>
    <w:p>
      <w:pPr>
        <w:ind w:left="1380" w:right="60" w:hanging="683"/>
        <w:spacing w:after="0" w:line="277" w:lineRule="auto"/>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books of account of the Company shall be kept on a continuous and consistent basis, that is to say, the entries therein shall be made in a timely manner and be consistent from one year to the next.</w:t>
      </w:r>
    </w:p>
    <w:p>
      <w:pPr>
        <w:spacing w:after="0" w:line="170" w:lineRule="exact"/>
        <w:rPr>
          <w:rFonts w:ascii="Arial" w:cs="Arial" w:eastAsia="Arial" w:hAnsi="Arial"/>
          <w:sz w:val="18"/>
          <w:szCs w:val="18"/>
          <w:color w:val="auto"/>
        </w:rPr>
      </w:pPr>
    </w:p>
    <w:p>
      <w:pPr>
        <w:ind w:left="1380" w:right="240" w:hanging="683"/>
        <w:spacing w:after="0" w:line="277" w:lineRule="auto"/>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Proper books shall not be deemed to be kept if there are not kept such books of account as comply with the Acts and as are necessary to give a true and fair view of the state of the Company's affairs and to explain its transactions.</w:t>
      </w:r>
    </w:p>
    <w:p>
      <w:pPr>
        <w:spacing w:after="0" w:line="170" w:lineRule="exact"/>
        <w:rPr>
          <w:rFonts w:ascii="Arial" w:cs="Arial" w:eastAsia="Arial" w:hAnsi="Arial"/>
          <w:sz w:val="18"/>
          <w:szCs w:val="18"/>
          <w:color w:val="auto"/>
        </w:rPr>
      </w:pPr>
    </w:p>
    <w:p>
      <w:pPr>
        <w:ind w:left="1380" w:right="160" w:hanging="683"/>
        <w:spacing w:after="0" w:line="277" w:lineRule="auto"/>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books of account shall be kept at the Office or, subject to the provisions of the Acts, at such other place as the Directors think fit and shall be open at all reasonable times to the inspection of the Directors.</w:t>
      </w:r>
    </w:p>
    <w:p>
      <w:pPr>
        <w:spacing w:after="0" w:line="170" w:lineRule="exact"/>
        <w:rPr>
          <w:rFonts w:ascii="Arial" w:cs="Arial" w:eastAsia="Arial" w:hAnsi="Arial"/>
          <w:sz w:val="18"/>
          <w:szCs w:val="18"/>
          <w:color w:val="auto"/>
        </w:rPr>
      </w:pPr>
    </w:p>
    <w:p>
      <w:pPr>
        <w:jc w:val="both"/>
        <w:ind w:left="1380" w:right="80" w:hanging="683"/>
        <w:spacing w:after="0" w:line="264" w:lineRule="auto"/>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accordance with the provisions of the Acts, the Directors shall cause to be prepared and to be laid before the annual general meeting of the Company from time to time such profit and loss accounts, balance sheets, group accounts and reports as are required by the Acts to be prepared and laid before such meeting.</w:t>
      </w:r>
    </w:p>
    <w:p>
      <w:pPr>
        <w:spacing w:after="0" w:line="181" w:lineRule="exact"/>
        <w:rPr>
          <w:rFonts w:ascii="Arial" w:cs="Arial" w:eastAsia="Arial" w:hAnsi="Arial"/>
          <w:sz w:val="18"/>
          <w:szCs w:val="18"/>
          <w:color w:val="auto"/>
        </w:rPr>
      </w:pPr>
    </w:p>
    <w:p>
      <w:pPr>
        <w:ind w:left="1380" w:hanging="683"/>
        <w:spacing w:after="0" w:line="302" w:lineRule="auto"/>
        <w:tabs>
          <w:tab w:leader="none" w:pos="13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copy of every balance sheet (including every document required by law to be annexed thereto) which is to be laid before the annual general meeting of the Company together with a copy of the Directors' report and Auditors' report shall be sent, not less than twenty-one Clear Days before the date of the annual general meeting, to every person entitled under the provisions of the Acts to receive them; and the required number of copies of these documents shall be forwarded at the same time to the appropriate sections of The Stock Exchanges.</w:t>
      </w:r>
    </w:p>
    <w:p>
      <w:pPr>
        <w:spacing w:after="0" w:line="154" w:lineRule="exact"/>
        <w:rPr>
          <w:rFonts w:ascii="Arial" w:cs="Arial" w:eastAsia="Arial" w:hAnsi="Arial"/>
          <w:sz w:val="16"/>
          <w:szCs w:val="16"/>
          <w:color w:val="auto"/>
        </w:rPr>
      </w:pPr>
    </w:p>
    <w:p>
      <w:pPr>
        <w:ind w:left="1380" w:hanging="683"/>
        <w:spacing w:after="0"/>
        <w:tabs>
          <w:tab w:leader="none" w:pos="13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Auditors shall be appointed and removed and their duties regulated in accordance with the Acts.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XXIII - Capitalisation of Profits or Reserves</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of profits and reserves</w:t>
      </w:r>
    </w:p>
    <w:p>
      <w:pPr>
        <w:spacing w:after="0" w:line="229" w:lineRule="exact"/>
        <w:rPr>
          <w:rFonts w:ascii="Arial" w:cs="Arial" w:eastAsia="Arial" w:hAnsi="Arial"/>
          <w:sz w:val="18"/>
          <w:szCs w:val="18"/>
          <w:b w:val="1"/>
          <w:bCs w:val="1"/>
          <w:color w:val="auto"/>
        </w:rPr>
      </w:pPr>
    </w:p>
    <w:p>
      <w:pPr>
        <w:ind w:left="7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Without prejudice to any powers conferred on the Directors by these Articles, the Company in general meeting may resolve, upon the recommendation of the Directors, that any sum for the time being standing to the credit of any of the Company's reserves (including any capital redemption reserve fund or Share premium account) or to the credit of the profit and loss account be capitalised and applied on behalf of the Members who would have been entitled to receive that sum if it had been distributed by way of dividend and in the same proportions either in or towards paying up amounts for the time being unpaid on any Shares held by them respectively, or in paying up in full unissued Shares or debentures of the Company of a nominal amount equal to the sum capitalised (such Shares or debentures to be allotted and distributed credited as fully paid up to and amongst such Holders in the proportions aforesaid) or partly in one way and partly in another, so, however, that the only purposes for which such sums standing to the credit of the capital redemption reserve fund or the share premium account shall be applied shall be those permitted by the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58" w:name="page159"/>
    <w:bookmarkEnd w:id="158"/>
    <w:p>
      <w:pPr>
        <w:ind w:left="700" w:hanging="692"/>
        <w:spacing w:after="0"/>
        <w:tabs>
          <w:tab w:leader="none" w:pos="7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and use of non-distributable profits and reserves</w:t>
      </w:r>
    </w:p>
    <w:p>
      <w:pPr>
        <w:spacing w:after="0" w:line="229" w:lineRule="exact"/>
        <w:rPr>
          <w:rFonts w:ascii="Arial" w:cs="Arial" w:eastAsia="Arial" w:hAnsi="Arial"/>
          <w:sz w:val="18"/>
          <w:szCs w:val="18"/>
          <w:b w:val="1"/>
          <w:bCs w:val="1"/>
          <w:color w:val="auto"/>
        </w:rPr>
      </w:pPr>
    </w:p>
    <w:p>
      <w:pPr>
        <w:ind w:left="700"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Without prejudice to any powers conferred on the Directors as aforesaid, the Company in general meeting may resolve, on the recommendation of the Directors, that it is desirable to capitalise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bonus Shares to those Members of the Company who would have been entitled to that sum if it were distributable and had been distributed by way of dividend (and in the same proportions) and the Directors shall give effect to such resolution.</w:t>
      </w:r>
    </w:p>
    <w:p>
      <w:pPr>
        <w:spacing w:after="0" w:line="370" w:lineRule="exact"/>
        <w:rPr>
          <w:rFonts w:ascii="Arial" w:cs="Arial" w:eastAsia="Arial" w:hAnsi="Arial"/>
          <w:sz w:val="18"/>
          <w:szCs w:val="18"/>
          <w:b w:val="1"/>
          <w:bCs w:val="1"/>
          <w:color w:val="auto"/>
        </w:rPr>
      </w:pPr>
    </w:p>
    <w:p>
      <w:pPr>
        <w:ind w:left="700" w:hanging="692"/>
        <w:spacing w:after="0"/>
        <w:tabs>
          <w:tab w:leader="none" w:pos="7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capitalisation issues</w:t>
      </w:r>
    </w:p>
    <w:p>
      <w:pPr>
        <w:spacing w:after="0" w:line="229" w:lineRule="exact"/>
        <w:rPr>
          <w:rFonts w:ascii="Arial" w:cs="Arial" w:eastAsia="Arial" w:hAnsi="Arial"/>
          <w:sz w:val="18"/>
          <w:szCs w:val="18"/>
          <w:b w:val="1"/>
          <w:bCs w:val="1"/>
          <w:color w:val="auto"/>
        </w:rPr>
      </w:pPr>
    </w:p>
    <w:p>
      <w:pPr>
        <w:ind w:left="70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Whenever such a resolution is passed in pursuance of either of the two immediately preceding Articles, the Directors shall make all appropriations and applications of the undivided profits resolved to be capitalised thereby and all allotments and issues of fully paid Shares or debentures, if any, and generally shall do all acts and things required to give effect thereto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capitalisation or, as the case may require, for the payment up by the application thereto of their respective proportions of the profits resolved to be capitalised of the amounts remaining unpaid on their existing Shares and any agreement made under such authority shall be binding on all such Members.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XXIV - Notices</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Notices in writing</w:t>
      </w:r>
    </w:p>
    <w:p>
      <w:pPr>
        <w:spacing w:after="0" w:line="229" w:lineRule="exact"/>
        <w:rPr>
          <w:rFonts w:ascii="Arial" w:cs="Arial" w:eastAsia="Arial" w:hAnsi="Arial"/>
          <w:sz w:val="18"/>
          <w:szCs w:val="18"/>
          <w:b w:val="1"/>
          <w:bCs w:val="1"/>
          <w:color w:val="auto"/>
        </w:rPr>
      </w:pPr>
    </w:p>
    <w:p>
      <w:pPr>
        <w:ind w:left="70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served or delivered pursuant to these Articles shall be in writing or by sending the same by electronic mail or other form of Electronic Communication approved by the Directors to the address of any Member notified to the Company by the Member for such purpose.</w:t>
      </w:r>
    </w:p>
    <w:p>
      <w:pPr>
        <w:spacing w:after="0" w:line="335" w:lineRule="exact"/>
        <w:rPr>
          <w:rFonts w:ascii="Arial" w:cs="Arial" w:eastAsia="Arial" w:hAnsi="Arial"/>
          <w:sz w:val="18"/>
          <w:szCs w:val="18"/>
          <w:b w:val="1"/>
          <w:bCs w:val="1"/>
          <w:color w:val="auto"/>
        </w:rPr>
      </w:pPr>
    </w:p>
    <w:p>
      <w:pPr>
        <w:ind w:left="700" w:hanging="692"/>
        <w:spacing w:after="0"/>
        <w:tabs>
          <w:tab w:leader="none" w:pos="7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notices and documents</w:t>
      </w:r>
    </w:p>
    <w:p>
      <w:pPr>
        <w:spacing w:after="0" w:line="229" w:lineRule="exact"/>
        <w:rPr>
          <w:rFonts w:ascii="Arial" w:cs="Arial" w:eastAsia="Arial" w:hAnsi="Arial"/>
          <w:sz w:val="18"/>
          <w:szCs w:val="18"/>
          <w:b w:val="1"/>
          <w:bCs w:val="1"/>
          <w:color w:val="auto"/>
        </w:rPr>
      </w:pPr>
    </w:p>
    <w:p>
      <w:pPr>
        <w:ind w:left="1380" w:right="500" w:hanging="683"/>
        <w:spacing w:after="0" w:line="277" w:lineRule="auto"/>
        <w:tabs>
          <w:tab w:leader="none" w:pos="13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 notice or document (including a share certificate and a proxy appointment) to be given, served or delivered in pursuance of these Articles or otherwise may be given to, served on or delivered to any Member by the Company:</w:t>
      </w:r>
    </w:p>
    <w:p>
      <w:pPr>
        <w:spacing w:after="0" w:line="170" w:lineRule="exact"/>
        <w:rPr>
          <w:rFonts w:ascii="Arial" w:cs="Arial" w:eastAsia="Arial" w:hAnsi="Arial"/>
          <w:sz w:val="18"/>
          <w:szCs w:val="18"/>
          <w:color w:val="auto"/>
        </w:rPr>
      </w:pPr>
    </w:p>
    <w:p>
      <w:pPr>
        <w:ind w:left="2080" w:hanging="694"/>
        <w:spacing w:after="0"/>
        <w:tabs>
          <w:tab w:leader="none" w:pos="20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by handing same to him or his authorised agent;</w:t>
      </w:r>
    </w:p>
    <w:p>
      <w:pPr>
        <w:spacing w:after="0" w:line="225" w:lineRule="exact"/>
        <w:rPr>
          <w:rFonts w:ascii="Arial" w:cs="Arial" w:eastAsia="Arial" w:hAnsi="Arial"/>
          <w:sz w:val="18"/>
          <w:szCs w:val="18"/>
          <w:color w:val="auto"/>
        </w:rPr>
      </w:pPr>
    </w:p>
    <w:p>
      <w:pPr>
        <w:ind w:left="2080" w:hanging="694"/>
        <w:spacing w:after="0"/>
        <w:tabs>
          <w:tab w:leader="none" w:pos="20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by leaving the same at his registered address;</w:t>
      </w:r>
    </w:p>
    <w:p>
      <w:pPr>
        <w:spacing w:after="0" w:line="225" w:lineRule="exact"/>
        <w:rPr>
          <w:rFonts w:ascii="Arial" w:cs="Arial" w:eastAsia="Arial" w:hAnsi="Arial"/>
          <w:sz w:val="18"/>
          <w:szCs w:val="18"/>
          <w:color w:val="auto"/>
        </w:rPr>
      </w:pPr>
    </w:p>
    <w:p>
      <w:pPr>
        <w:ind w:left="2080" w:hanging="694"/>
        <w:spacing w:after="0"/>
        <w:tabs>
          <w:tab w:leader="none" w:pos="20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by sending the same by the post in a pre-paid cover addressed to him at his registered address; or</w:t>
      </w:r>
    </w:p>
    <w:p>
      <w:pPr>
        <w:spacing w:after="0" w:line="225" w:lineRule="exact"/>
        <w:rPr>
          <w:rFonts w:ascii="Arial" w:cs="Arial" w:eastAsia="Arial" w:hAnsi="Arial"/>
          <w:sz w:val="18"/>
          <w:szCs w:val="18"/>
          <w:color w:val="auto"/>
        </w:rPr>
      </w:pPr>
    </w:p>
    <w:p>
      <w:pPr>
        <w:ind w:left="2080" w:right="140" w:hanging="694"/>
        <w:spacing w:after="0" w:line="277" w:lineRule="auto"/>
        <w:tabs>
          <w:tab w:leader="none" w:pos="20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by delivering or making the same available in electronic form, whether as an electronic communication or otherwise subject to and in accordance with the provisions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59" w:name="page160"/>
    <w:bookmarkEnd w:id="159"/>
    <w:p>
      <w:pPr>
        <w:ind w:left="683" w:right="240" w:hanging="683"/>
        <w:spacing w:after="0" w:line="264" w:lineRule="auto"/>
        <w:tabs>
          <w:tab w:leader="none" w:pos="6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Where a notice or document is given, served or delivered pursuant to sub paragraph (a)(i) or (ii) of this Article, the giving, service or delivery thereof shall be deemed to have been effected at the time the same was handed to the Member or his authorised agent, or left at his registered address (as the case may be).</w:t>
      </w:r>
    </w:p>
    <w:p>
      <w:pPr>
        <w:spacing w:after="0" w:line="181" w:lineRule="exact"/>
        <w:rPr>
          <w:rFonts w:ascii="Arial" w:cs="Arial" w:eastAsia="Arial" w:hAnsi="Arial"/>
          <w:sz w:val="18"/>
          <w:szCs w:val="18"/>
          <w:color w:val="auto"/>
        </w:rPr>
      </w:pPr>
    </w:p>
    <w:p>
      <w:pPr>
        <w:jc w:val="both"/>
        <w:ind w:left="683" w:right="160" w:hanging="683"/>
        <w:spacing w:after="0" w:line="286" w:lineRule="auto"/>
        <w:tabs>
          <w:tab w:leader="none" w:pos="68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Where a notice or document is given, served or delivered pursuant to sub-paragraph (a)(iii) of this Article, the giving, service or delivery thereof shall be deemed to have been effected at the expiration of twenty-four hours after the cover containing it was posted. In proving service or delivery it shall be sufficient to prove that such cover was properly addressed, stamped and posted.</w:t>
      </w:r>
    </w:p>
    <w:p>
      <w:pPr>
        <w:spacing w:after="0" w:line="165" w:lineRule="exact"/>
        <w:rPr>
          <w:rFonts w:ascii="Arial" w:cs="Arial" w:eastAsia="Arial" w:hAnsi="Arial"/>
          <w:sz w:val="17"/>
          <w:szCs w:val="17"/>
          <w:color w:val="auto"/>
        </w:rPr>
      </w:pPr>
    </w:p>
    <w:p>
      <w:pPr>
        <w:ind w:left="683" w:right="60" w:hanging="683"/>
        <w:spacing w:after="0" w:line="342" w:lineRule="auto"/>
        <w:tabs>
          <w:tab w:leader="none" w:pos="68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Where a notice, document or other information is given, served or delivered in electronic form whether as an electronic communication or otherwise pursuant to sub-paragraph a) iv) of this Article, it shall be treated as having been given, served or delivered:</w:t>
      </w:r>
    </w:p>
    <w:p>
      <w:pPr>
        <w:spacing w:after="0" w:line="123" w:lineRule="exact"/>
        <w:rPr>
          <w:rFonts w:ascii="Arial" w:cs="Arial" w:eastAsia="Arial" w:hAnsi="Arial"/>
          <w:sz w:val="16"/>
          <w:szCs w:val="16"/>
          <w:color w:val="auto"/>
        </w:rPr>
      </w:pPr>
    </w:p>
    <w:p>
      <w:pPr>
        <w:ind w:left="1383" w:hanging="694"/>
        <w:spacing w:after="0"/>
        <w:tabs>
          <w:tab w:leader="none" w:pos="138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given, served or delivered by electronic mail, at the time it was sent; or</w:t>
      </w:r>
    </w:p>
    <w:p>
      <w:pPr>
        <w:spacing w:after="0" w:line="225" w:lineRule="exact"/>
        <w:rPr>
          <w:rFonts w:ascii="Arial" w:cs="Arial" w:eastAsia="Arial" w:hAnsi="Arial"/>
          <w:sz w:val="18"/>
          <w:szCs w:val="18"/>
          <w:color w:val="auto"/>
        </w:rPr>
      </w:pPr>
    </w:p>
    <w:p>
      <w:pPr>
        <w:ind w:left="1383" w:right="200" w:hanging="694"/>
        <w:spacing w:after="0" w:line="264" w:lineRule="auto"/>
        <w:tabs>
          <w:tab w:leader="none" w:pos="138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where any such notice or document is given, served or delivered by being made available or displayed on a website, when the recipient received or is deemed to have received notice of the fact that the notice, document or other information was available on the website.</w:t>
      </w:r>
    </w:p>
    <w:p>
      <w:pPr>
        <w:spacing w:after="0" w:line="181" w:lineRule="exact"/>
        <w:rPr>
          <w:rFonts w:ascii="Arial" w:cs="Arial" w:eastAsia="Arial" w:hAnsi="Arial"/>
          <w:sz w:val="18"/>
          <w:szCs w:val="18"/>
          <w:color w:val="auto"/>
        </w:rPr>
      </w:pPr>
    </w:p>
    <w:p>
      <w:pPr>
        <w:ind w:left="683" w:right="260" w:hanging="683"/>
        <w:spacing w:after="0" w:line="259" w:lineRule="auto"/>
        <w:tabs>
          <w:tab w:leader="none" w:pos="6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Every legal personal representative, committee, receiver, curator bonis or other legal curator, assignee in bankruptcy or liquidator of a Member shall be bound by a notice given as aforesaid if sent to the last registered address of such Member (or if otherwise delivered or made available in accordance with this Article), notwithstanding that the Company may have notice of the death, lunacy, bankruptcy, liquidation or disability of such Member.</w:t>
      </w:r>
    </w:p>
    <w:p>
      <w:pPr>
        <w:spacing w:after="0" w:line="186" w:lineRule="exact"/>
        <w:rPr>
          <w:rFonts w:ascii="Arial" w:cs="Arial" w:eastAsia="Arial" w:hAnsi="Arial"/>
          <w:sz w:val="18"/>
          <w:szCs w:val="18"/>
          <w:color w:val="auto"/>
        </w:rPr>
      </w:pPr>
    </w:p>
    <w:p>
      <w:pPr>
        <w:ind w:left="683" w:right="320" w:hanging="683"/>
        <w:spacing w:after="0" w:line="259" w:lineRule="auto"/>
        <w:tabs>
          <w:tab w:leader="none" w:pos="6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Where a Member has elected to receive notices or other documents in electronic form, whether as an electronic communication or otherwise, the Company may notwithstanding such election and without giving advance notice to the Member, provide such notices or documents in accordance with any of the methods allowed for in sub-paragraphs a)i), ii) or iii) of this Article and such provision shall satisfy the Company’s obligations in this regard.</w:t>
      </w:r>
    </w:p>
    <w:p>
      <w:pPr>
        <w:spacing w:after="0" w:line="186" w:lineRule="exact"/>
        <w:rPr>
          <w:rFonts w:ascii="Arial" w:cs="Arial" w:eastAsia="Arial" w:hAnsi="Arial"/>
          <w:sz w:val="18"/>
          <w:szCs w:val="18"/>
          <w:color w:val="auto"/>
        </w:rPr>
      </w:pPr>
    </w:p>
    <w:p>
      <w:pPr>
        <w:ind w:left="683" w:hanging="683"/>
        <w:spacing w:after="0"/>
        <w:tabs>
          <w:tab w:leader="none" w:pos="6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Without prejudice to the provisions of sub-paragraphs (a) (i) and (ii) of this Article, if at any time by reason of:</w:t>
      </w:r>
    </w:p>
    <w:p>
      <w:pPr>
        <w:spacing w:after="0" w:line="225" w:lineRule="exact"/>
        <w:rPr>
          <w:rFonts w:ascii="Arial" w:cs="Arial" w:eastAsia="Arial" w:hAnsi="Arial"/>
          <w:sz w:val="18"/>
          <w:szCs w:val="18"/>
          <w:color w:val="auto"/>
        </w:rPr>
      </w:pPr>
    </w:p>
    <w:p>
      <w:pPr>
        <w:ind w:left="1383" w:right="40" w:hanging="694"/>
        <w:spacing w:after="0" w:line="277" w:lineRule="auto"/>
        <w:tabs>
          <w:tab w:leader="none" w:pos="138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suspension or curtailment of postal services within the State, the Company is unable effectively to convene a general meeting by notice sent through the post; or</w:t>
      </w:r>
    </w:p>
    <w:p>
      <w:pPr>
        <w:spacing w:after="0" w:line="170" w:lineRule="exact"/>
        <w:rPr>
          <w:rFonts w:ascii="Arial" w:cs="Arial" w:eastAsia="Arial" w:hAnsi="Arial"/>
          <w:sz w:val="18"/>
          <w:szCs w:val="18"/>
          <w:color w:val="auto"/>
        </w:rPr>
      </w:pPr>
    </w:p>
    <w:p>
      <w:pPr>
        <w:ind w:left="1383" w:right="100" w:hanging="694"/>
        <w:spacing w:after="0" w:line="277" w:lineRule="auto"/>
        <w:tabs>
          <w:tab w:leader="none" w:pos="138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occurrence of any event or thing as a consequence of which the Company is unable effectively to convene a general meeting by means of an electronic communication;</w:t>
      </w:r>
    </w:p>
    <w:p>
      <w:pPr>
        <w:spacing w:after="0" w:line="170" w:lineRule="exact"/>
        <w:rPr>
          <w:sz w:val="20"/>
          <w:szCs w:val="20"/>
          <w:color w:val="auto"/>
        </w:rPr>
      </w:pPr>
    </w:p>
    <w:p>
      <w:pPr>
        <w:ind w:left="683"/>
        <w:spacing w:after="0" w:line="269" w:lineRule="auto"/>
        <w:rPr>
          <w:sz w:val="20"/>
          <w:szCs w:val="20"/>
          <w:color w:val="auto"/>
        </w:rPr>
      </w:pPr>
      <w:r>
        <w:rPr>
          <w:rFonts w:ascii="Arial" w:cs="Arial" w:eastAsia="Arial" w:hAnsi="Arial"/>
          <w:sz w:val="17"/>
          <w:szCs w:val="17"/>
          <w:color w:val="auto"/>
        </w:rPr>
        <w:t>a general meeting may be convened by a notice advertised on the same day in at least one leading national daily newspaper published in the State (and one national daily newspaper published in the United Kingdom and the United States of America) and such notice shall be deemed to have been duly served on or delivered to all Members entitled thereto at noon on the day on which the said advertisement or advertisements shall appear. In any such case the Company shall send confirmatory copies of the notice through the post to those Members whose registered addresses are outside the State (if or to the extent that in the opinion of the Directors it is practical so to do) or are in areas of the State unaffected by such suspension or curtailment of postal services and if at least ninety-six hours prior to the time appointed for the holding of the meeting the posting of notices to Members in the State, or any part thereof which was previously affected, has become practical in the opinion of the Directors, the Directors shall send forthwith confirmatory copies of the notice by post or electronic means, whether as an electronic communication or otherwise (as the case may be) to such Members. The accidental omission to give any such confirmatory copy of a notice of a meeting to, or the non-receipt of any such confirmatory copy by, any person entitled to receive the same shall not invalidate the proceedings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397510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3"/>
          </w:cols>
          <w:pgMar w:left="937" w:top="517" w:right="259" w:bottom="1440" w:gutter="0" w:footer="0" w:header="0"/>
        </w:sectPr>
      </w:pPr>
    </w:p>
    <w:bookmarkStart w:id="160" w:name="page161"/>
    <w:bookmarkEnd w:id="160"/>
    <w:p>
      <w:pPr>
        <w:ind w:left="1372" w:hanging="683"/>
        <w:spacing w:after="0" w:line="293" w:lineRule="auto"/>
        <w:tabs>
          <w:tab w:leader="none" w:pos="1372"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 or area other than the State and, in the case of sub-paragraph g)ii) of this Article, the Company shall not be obliged to carry out any tests or investigations into the causes of or circumstances surrounding the event or thing in question as a consequence of which the Company shall be unable effectively to convene a general meeting by means of an electronic communication other than such tests and investigations as may be used from time to time by the Company or its agents in relation to the use or operation of any systems for electronic communication.</w:t>
      </w:r>
    </w:p>
    <w:p>
      <w:pPr>
        <w:spacing w:after="0" w:line="376" w:lineRule="exact"/>
        <w:rPr>
          <w:rFonts w:ascii="Arial" w:cs="Arial" w:eastAsia="Arial" w:hAnsi="Arial"/>
          <w:sz w:val="16"/>
          <w:szCs w:val="16"/>
          <w:color w:val="auto"/>
        </w:rPr>
      </w:pPr>
    </w:p>
    <w:p>
      <w:pPr>
        <w:ind w:left="692" w:hanging="692"/>
        <w:spacing w:after="0"/>
        <w:tabs>
          <w:tab w:leader="none" w:pos="69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Notices to members</w:t>
      </w:r>
    </w:p>
    <w:p>
      <w:pPr>
        <w:spacing w:after="0" w:line="229" w:lineRule="exact"/>
        <w:rPr>
          <w:rFonts w:ascii="Arial" w:cs="Arial" w:eastAsia="Arial" w:hAnsi="Arial"/>
          <w:sz w:val="18"/>
          <w:szCs w:val="18"/>
          <w:b w:val="1"/>
          <w:bCs w:val="1"/>
          <w:color w:val="auto"/>
        </w:rPr>
      </w:pPr>
    </w:p>
    <w:p>
      <w:pPr>
        <w:ind w:left="69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 Member whose registered address is not within the State, the United Kingdom, the United States of America, the Channel Islands or the Isle of Man and who gives to the Company an address within any of the above territories at which notices may be served upon him shall be entitled to have notices served upon him at that address or shall be entitled to receive notices by electronic mail, or other formal Electronic Communication approved by the Directors, to be sent to an address notified to the Company by the Member for such purpose but unless he does so shall not be entitled to receive any notice from the Company.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ind w:left="692" w:hanging="692"/>
        <w:spacing w:after="0"/>
        <w:tabs>
          <w:tab w:leader="none" w:pos="69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Service on joint Holders</w:t>
      </w:r>
    </w:p>
    <w:p>
      <w:pPr>
        <w:spacing w:after="0" w:line="229" w:lineRule="exact"/>
        <w:rPr>
          <w:rFonts w:ascii="Arial" w:cs="Arial" w:eastAsia="Arial" w:hAnsi="Arial"/>
          <w:sz w:val="18"/>
          <w:szCs w:val="18"/>
          <w:b w:val="1"/>
          <w:bCs w:val="1"/>
          <w:color w:val="auto"/>
        </w:rPr>
      </w:pPr>
    </w:p>
    <w:p>
      <w:pPr>
        <w:ind w:left="69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notice may be given by the Company to the joint Holders of a Share by giving the notice to the joint Holder whose name stands first in the Register in respect of the Share or, in the case of a notice sent by electronic mail or other form of Electronic Communication approved by the Directors, to the address in respect of the Joint Holding notified to the Company by the Joint Holders for such purpose, and notice so given shall be sufficient notice to all the joint Holders.</w:t>
      </w:r>
    </w:p>
    <w:p>
      <w:pPr>
        <w:spacing w:after="0" w:line="399" w:lineRule="exact"/>
        <w:rPr>
          <w:rFonts w:ascii="Arial" w:cs="Arial" w:eastAsia="Arial" w:hAnsi="Arial"/>
          <w:sz w:val="18"/>
          <w:szCs w:val="18"/>
          <w:b w:val="1"/>
          <w:bCs w:val="1"/>
          <w:color w:val="auto"/>
        </w:rPr>
      </w:pPr>
    </w:p>
    <w:p>
      <w:pPr>
        <w:ind w:left="692" w:hanging="692"/>
        <w:spacing w:after="0"/>
        <w:tabs>
          <w:tab w:leader="none" w:pos="69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Service on transfer or transmission of Shares</w:t>
      </w:r>
    </w:p>
    <w:p>
      <w:pPr>
        <w:spacing w:after="0" w:line="229" w:lineRule="exact"/>
        <w:rPr>
          <w:rFonts w:ascii="Arial" w:cs="Arial" w:eastAsia="Arial" w:hAnsi="Arial"/>
          <w:sz w:val="18"/>
          <w:szCs w:val="18"/>
          <w:b w:val="1"/>
          <w:bCs w:val="1"/>
          <w:color w:val="auto"/>
        </w:rPr>
      </w:pPr>
    </w:p>
    <w:p>
      <w:pPr>
        <w:ind w:left="1372" w:right="80" w:hanging="683"/>
        <w:spacing w:after="0" w:line="279" w:lineRule="auto"/>
        <w:tabs>
          <w:tab w:leader="none" w:pos="1372" w:val="left"/>
        </w:tabs>
        <w:numPr>
          <w:ilvl w:val="1"/>
          <w:numId w:val="132"/>
        </w:numPr>
        <w:rPr>
          <w:rFonts w:ascii="Arial" w:cs="Arial" w:eastAsia="Arial" w:hAnsi="Arial"/>
          <w:sz w:val="17"/>
          <w:szCs w:val="17"/>
          <w:color w:val="auto"/>
        </w:rPr>
      </w:pPr>
      <w:r>
        <w:rPr>
          <w:rFonts w:ascii="Arial" w:cs="Arial" w:eastAsia="Arial" w:hAnsi="Arial"/>
          <w:sz w:val="17"/>
          <w:szCs w:val="17"/>
          <w:color w:val="auto"/>
        </w:rPr>
        <w:t>Every person who becomes entitled to a Share shall before his name is entered in the Register in respect of the Share, be bound by any notice in respect of that Share which has been duly given to a person from whom he derives his title provided that the provisions of this paragraph shall not apply to any notice served under Article 68 unless, under the provisions of Article 68(c), it is a notice which continues to have effect notwithstanding the registration of a transfer of the Shares to which it relates.</w:t>
      </w:r>
    </w:p>
    <w:p>
      <w:pPr>
        <w:spacing w:after="0" w:line="171" w:lineRule="exact"/>
        <w:rPr>
          <w:rFonts w:ascii="Arial" w:cs="Arial" w:eastAsia="Arial" w:hAnsi="Arial"/>
          <w:sz w:val="17"/>
          <w:szCs w:val="17"/>
          <w:color w:val="auto"/>
        </w:rPr>
      </w:pPr>
    </w:p>
    <w:p>
      <w:pPr>
        <w:ind w:left="1372" w:right="120" w:hanging="683"/>
        <w:spacing w:after="0" w:line="276" w:lineRule="auto"/>
        <w:tabs>
          <w:tab w:leader="none" w:pos="1372" w:val="left"/>
        </w:tabs>
        <w:numPr>
          <w:ilvl w:val="1"/>
          <w:numId w:val="132"/>
        </w:numPr>
        <w:rPr>
          <w:rFonts w:ascii="Arial" w:cs="Arial" w:eastAsia="Arial" w:hAnsi="Arial"/>
          <w:sz w:val="17"/>
          <w:szCs w:val="17"/>
          <w:color w:val="auto"/>
        </w:rPr>
      </w:pPr>
      <w:r>
        <w:rPr>
          <w:rFonts w:ascii="Arial" w:cs="Arial" w:eastAsia="Arial" w:hAnsi="Arial"/>
          <w:sz w:val="17"/>
          <w:szCs w:val="17"/>
          <w:color w:val="auto"/>
        </w:rPr>
        <w:t>Without prejudice to the provisions of these Articles allowing a meeting to be convened by newspaper advertisement, a notice may be given by the Company to the persons entitled to a Share in consequence of the death or bankruptcy of a Member by sending or delivering it, in any manner authorised by these Articles for the giving of notice to a Member, addressed to them at the address (inclusive of an electronic address), if any, supplied by them for that purpose. Until such an address has been supplied, a notice may be given in any manner in which it might have been given if the death or bankruptcy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391160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61" w:name="page162"/>
    <w:bookmarkEnd w:id="161"/>
    <w:p>
      <w:pPr>
        <w:ind w:left="700" w:hanging="692"/>
        <w:spacing w:after="0"/>
        <w:tabs>
          <w:tab w:leader="none" w:pos="7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to notices</w:t>
      </w:r>
    </w:p>
    <w:p>
      <w:pPr>
        <w:spacing w:after="0" w:line="229" w:lineRule="exact"/>
        <w:rPr>
          <w:rFonts w:ascii="Arial" w:cs="Arial" w:eastAsia="Arial" w:hAnsi="Arial"/>
          <w:sz w:val="18"/>
          <w:szCs w:val="18"/>
          <w:b w:val="1"/>
          <w:bCs w:val="1"/>
          <w:color w:val="auto"/>
        </w:rPr>
      </w:pPr>
    </w:p>
    <w:p>
      <w:pPr>
        <w:ind w:left="7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signature to any notice to be given by the Company may be written or printed or, in the case of a notice in electronic form the signature may be an Electronic Signature, Advanced Electronic Signature or otherwise as the Directors may approve.</w:t>
      </w:r>
    </w:p>
    <w:p>
      <w:pPr>
        <w:spacing w:after="0" w:line="382" w:lineRule="exact"/>
        <w:rPr>
          <w:rFonts w:ascii="Arial" w:cs="Arial" w:eastAsia="Arial" w:hAnsi="Arial"/>
          <w:sz w:val="18"/>
          <w:szCs w:val="18"/>
          <w:b w:val="1"/>
          <w:bCs w:val="1"/>
          <w:color w:val="auto"/>
        </w:rPr>
      </w:pPr>
    </w:p>
    <w:p>
      <w:pPr>
        <w:ind w:left="700" w:hanging="692"/>
        <w:spacing w:after="0"/>
        <w:tabs>
          <w:tab w:leader="none" w:pos="7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Deemed receipt of notices</w:t>
      </w:r>
    </w:p>
    <w:p>
      <w:pPr>
        <w:spacing w:after="0" w:line="229" w:lineRule="exact"/>
        <w:rPr>
          <w:rFonts w:ascii="Arial" w:cs="Arial" w:eastAsia="Arial" w:hAnsi="Arial"/>
          <w:sz w:val="18"/>
          <w:szCs w:val="18"/>
          <w:b w:val="1"/>
          <w:bCs w:val="1"/>
          <w:color w:val="auto"/>
        </w:rPr>
      </w:pPr>
    </w:p>
    <w:p>
      <w:pPr>
        <w:ind w:left="70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Member present, either in person or by proxy, at any meeting of the Company or the Holders of any class of Shares in the Company shall be deemed to have received notice of the meeting and, where requisite, of the purposes for which it was called.</w:t>
      </w:r>
    </w:p>
    <w:p>
      <w:pPr>
        <w:spacing w:after="0" w:line="166" w:lineRule="exact"/>
        <w:rPr>
          <w:rFonts w:ascii="Arial" w:cs="Arial" w:eastAsia="Arial" w:hAnsi="Arial"/>
          <w:sz w:val="18"/>
          <w:szCs w:val="18"/>
          <w:b w:val="1"/>
          <w:bCs w:val="1"/>
          <w:color w:val="auto"/>
        </w:rPr>
      </w:pPr>
    </w:p>
    <w:p>
      <w:pPr>
        <w:ind w:left="700" w:hanging="692"/>
        <w:spacing w:after="0"/>
        <w:tabs>
          <w:tab w:leader="none" w:pos="7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Use of Electronic Communication</w:t>
      </w:r>
    </w:p>
    <w:p>
      <w:pPr>
        <w:spacing w:after="0" w:line="229" w:lineRule="exact"/>
        <w:rPr>
          <w:rFonts w:ascii="Arial" w:cs="Arial" w:eastAsia="Arial" w:hAnsi="Arial"/>
          <w:sz w:val="18"/>
          <w:szCs w:val="18"/>
          <w:b w:val="1"/>
          <w:bCs w:val="1"/>
          <w:color w:val="auto"/>
        </w:rPr>
      </w:pPr>
    </w:p>
    <w:p>
      <w:pPr>
        <w:ind w:left="1380" w:right="100" w:hanging="683"/>
        <w:spacing w:after="0" w:line="257" w:lineRule="auto"/>
        <w:tabs>
          <w:tab w:leader="none" w:pos="13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whenever any person (including without limitation the Company, a Director, the Secretary, any officer of the Company, a Member or any other person) is required or permitted by these Articles or otherwise to give or receive information in writing such information may be given or received in electronic form, whether as an electronic communication or otherwise in such manner or form and subject to such terms, conditions or restrictions as the Directors may, subject to the Acts, determine or approve from time to time in their absolute discretion.</w:t>
      </w:r>
    </w:p>
    <w:p>
      <w:pPr>
        <w:spacing w:after="0" w:line="188" w:lineRule="exact"/>
        <w:rPr>
          <w:rFonts w:ascii="Arial" w:cs="Arial" w:eastAsia="Arial" w:hAnsi="Arial"/>
          <w:sz w:val="18"/>
          <w:szCs w:val="18"/>
          <w:color w:val="auto"/>
        </w:rPr>
      </w:pPr>
    </w:p>
    <w:p>
      <w:pPr>
        <w:ind w:left="1380" w:right="200" w:hanging="683"/>
        <w:spacing w:after="0" w:line="279" w:lineRule="auto"/>
        <w:tabs>
          <w:tab w:leader="none" w:pos="138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Subject to the Acts, the Company and its Directors, Secretary or officers shall not be compelled to receive or to send electronic communications or information in electronic form under these Articles or otherwise until such time as the Directors shall have advised (pursuant to any terms and conditions of electronic communication or otherwise) the recipient or giver (as the case may be) in writing of the manner, form and restrictions (if any) by which such information may be sent or received.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XXV - Winding up</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on winding up</w:t>
      </w:r>
    </w:p>
    <w:p>
      <w:pPr>
        <w:spacing w:after="0" w:line="229" w:lineRule="exact"/>
        <w:rPr>
          <w:rFonts w:ascii="Arial" w:cs="Arial" w:eastAsia="Arial" w:hAnsi="Arial"/>
          <w:sz w:val="18"/>
          <w:szCs w:val="18"/>
          <w:b w:val="1"/>
          <w:bCs w:val="1"/>
          <w:color w:val="auto"/>
        </w:rPr>
      </w:pPr>
    </w:p>
    <w:p>
      <w:pPr>
        <w:ind w:left="7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Holders of Shares issued upon special terms and conditions.</w:t>
      </w:r>
    </w:p>
    <w:p>
      <w:pPr>
        <w:spacing w:after="0" w:line="389" w:lineRule="exact"/>
        <w:rPr>
          <w:rFonts w:ascii="Arial" w:cs="Arial" w:eastAsia="Arial" w:hAnsi="Arial"/>
          <w:sz w:val="18"/>
          <w:szCs w:val="18"/>
          <w:b w:val="1"/>
          <w:bCs w:val="1"/>
          <w:color w:val="auto"/>
        </w:rPr>
      </w:pPr>
    </w:p>
    <w:p>
      <w:pPr>
        <w:ind w:left="700" w:hanging="692"/>
        <w:spacing w:after="0"/>
        <w:tabs>
          <w:tab w:leader="none" w:pos="7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in specie</w:t>
      </w:r>
    </w:p>
    <w:p>
      <w:pPr>
        <w:spacing w:after="0" w:line="229" w:lineRule="exact"/>
        <w:rPr>
          <w:rFonts w:ascii="Arial" w:cs="Arial" w:eastAsia="Arial" w:hAnsi="Arial"/>
          <w:sz w:val="18"/>
          <w:szCs w:val="18"/>
          <w:b w:val="1"/>
          <w:bCs w:val="1"/>
          <w:color w:val="auto"/>
        </w:rPr>
      </w:pPr>
    </w:p>
    <w:p>
      <w:pPr>
        <w:ind w:left="7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Company is wound up, the liquidator, with the sanction of a special resolution of the Company and any other sanction required by the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determines, but so that no Member shall be compelled to accept any assets upon which there is a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Part XXVI - Miscellaneous</w:t>
      </w:r>
    </w:p>
    <w:p>
      <w:pPr>
        <w:spacing w:after="0" w:line="200" w:lineRule="exact"/>
        <w:rPr>
          <w:sz w:val="20"/>
          <w:szCs w:val="20"/>
          <w:color w:val="auto"/>
        </w:rPr>
      </w:pPr>
    </w:p>
    <w:p>
      <w:pPr>
        <w:spacing w:after="0" w:line="241" w:lineRule="exact"/>
        <w:rPr>
          <w:sz w:val="20"/>
          <w:szCs w:val="20"/>
          <w:color w:val="auto"/>
        </w:rPr>
      </w:pPr>
    </w:p>
    <w:p>
      <w:pPr>
        <w:ind w:left="700" w:hanging="692"/>
        <w:spacing w:after="0"/>
        <w:tabs>
          <w:tab w:leader="none" w:pos="7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Minutes of meetings</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of the following matters, namely:-</w:t>
      </w:r>
    </w:p>
    <w:p>
      <w:pPr>
        <w:spacing w:after="0" w:line="225" w:lineRule="exact"/>
        <w:rPr>
          <w:rFonts w:ascii="Arial" w:cs="Arial" w:eastAsia="Arial" w:hAnsi="Arial"/>
          <w:sz w:val="18"/>
          <w:szCs w:val="18"/>
          <w:b w:val="1"/>
          <w:bCs w:val="1"/>
          <w:color w:val="auto"/>
        </w:rPr>
      </w:pPr>
    </w:p>
    <w:p>
      <w:pPr>
        <w:ind w:left="1380" w:hanging="683"/>
        <w:spacing w:after="0"/>
        <w:tabs>
          <w:tab w:leader="none" w:pos="13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of all appointments of officers and committees made by the Directors and of their salary or remuneration;</w:t>
      </w:r>
    </w:p>
    <w:p>
      <w:pPr>
        <w:spacing w:after="0" w:line="225" w:lineRule="exact"/>
        <w:rPr>
          <w:rFonts w:ascii="Arial" w:cs="Arial" w:eastAsia="Arial" w:hAnsi="Arial"/>
          <w:sz w:val="18"/>
          <w:szCs w:val="18"/>
          <w:color w:val="auto"/>
        </w:rPr>
      </w:pPr>
    </w:p>
    <w:p>
      <w:pPr>
        <w:ind w:left="1380" w:right="320" w:hanging="683"/>
        <w:spacing w:after="0" w:line="277" w:lineRule="auto"/>
        <w:tabs>
          <w:tab w:leader="none" w:pos="13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of the names of Directors present at every meeting of the Directors and of the names of any Directors and of all other members thereof present at every meeting of any committee appointed by the Directors; and</w:t>
      </w:r>
    </w:p>
    <w:p>
      <w:pPr>
        <w:spacing w:after="0" w:line="170" w:lineRule="exact"/>
        <w:rPr>
          <w:rFonts w:ascii="Arial" w:cs="Arial" w:eastAsia="Arial" w:hAnsi="Arial"/>
          <w:sz w:val="18"/>
          <w:szCs w:val="18"/>
          <w:color w:val="auto"/>
        </w:rPr>
      </w:pPr>
    </w:p>
    <w:p>
      <w:pPr>
        <w:ind w:left="1380" w:right="320" w:hanging="683"/>
        <w:spacing w:after="0" w:line="277" w:lineRule="auto"/>
        <w:tabs>
          <w:tab w:leader="none" w:pos="13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of all resolutions and proceedings of all meetings of the Company and of the Holders of any class of Shares in the Company and of the Directors and of committees appointed by the Directors.</w:t>
      </w:r>
    </w:p>
    <w:p>
      <w:pPr>
        <w:spacing w:after="0" w:line="170" w:lineRule="exact"/>
        <w:rPr>
          <w:sz w:val="20"/>
          <w:szCs w:val="20"/>
          <w:color w:val="auto"/>
        </w:rPr>
      </w:pPr>
    </w:p>
    <w:p>
      <w:pPr>
        <w:ind w:left="700" w:right="60"/>
        <w:spacing w:after="0" w:line="342" w:lineRule="auto"/>
        <w:rPr>
          <w:sz w:val="20"/>
          <w:szCs w:val="20"/>
          <w:color w:val="auto"/>
        </w:rPr>
      </w:pPr>
      <w:r>
        <w:rPr>
          <w:rFonts w:ascii="Arial" w:cs="Arial" w:eastAsia="Arial" w:hAnsi="Arial"/>
          <w:sz w:val="16"/>
          <w:szCs w:val="16"/>
          <w:color w:val="auto"/>
        </w:rPr>
        <w:t>Any such minute as aforesaid, if purporting to be signed by the Chairman of the meeting at which the proceedings were held, or by the Chairman of the next succeeding meeting, shall be receivable as prima facie evidence of the matters stated in such minute without any further proof.</w:t>
      </w:r>
    </w:p>
    <w:p>
      <w:pPr>
        <w:spacing w:after="0" w:line="336" w:lineRule="exact"/>
        <w:rPr>
          <w:sz w:val="20"/>
          <w:szCs w:val="20"/>
          <w:color w:val="auto"/>
        </w:rPr>
      </w:pPr>
    </w:p>
    <w:p>
      <w:pPr>
        <w:ind w:left="700" w:hanging="692"/>
        <w:spacing w:after="0"/>
        <w:tabs>
          <w:tab w:leader="none" w:pos="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w:t>
      </w:r>
    </w:p>
    <w:p>
      <w:pPr>
        <w:spacing w:after="0" w:line="229" w:lineRule="exact"/>
        <w:rPr>
          <w:rFonts w:ascii="Arial" w:cs="Arial" w:eastAsia="Arial" w:hAnsi="Arial"/>
          <w:sz w:val="18"/>
          <w:szCs w:val="18"/>
          <w:b w:val="1"/>
          <w:bCs w:val="1"/>
          <w:color w:val="auto"/>
        </w:rPr>
      </w:pPr>
    </w:p>
    <w:p>
      <w:pPr>
        <w:ind w:left="7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Directors shall determine from time to time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the Acts or authorised by the Directors or by the Company in general meeting. No Member shall be entitled to require discovery of or any information respecting any detail of the Company's trading, or any matter which is or may be in the nature of a trade secret, mystery of trade, or secret process which may relate to the conduct of the business of the Company and which in the opinion of the Directors it would be inexpedient in the interests of the Members of the Company to communicate to the public.</w:t>
      </w:r>
    </w:p>
    <w:p>
      <w:pPr>
        <w:spacing w:after="0" w:line="200" w:lineRule="exact"/>
        <w:rPr>
          <w:rFonts w:ascii="Arial" w:cs="Arial" w:eastAsia="Arial" w:hAnsi="Arial"/>
          <w:sz w:val="18"/>
          <w:szCs w:val="18"/>
          <w:b w:val="1"/>
          <w:bCs w:val="1"/>
          <w:color w:val="auto"/>
        </w:rPr>
      </w:pPr>
    </w:p>
    <w:p>
      <w:pPr>
        <w:spacing w:after="0" w:line="201" w:lineRule="exact"/>
        <w:rPr>
          <w:rFonts w:ascii="Arial" w:cs="Arial" w:eastAsia="Arial" w:hAnsi="Arial"/>
          <w:sz w:val="18"/>
          <w:szCs w:val="18"/>
          <w:b w:val="1"/>
          <w:bCs w:val="1"/>
          <w:color w:val="auto"/>
        </w:rPr>
      </w:pPr>
    </w:p>
    <w:p>
      <w:pPr>
        <w:ind w:left="700" w:hanging="692"/>
        <w:spacing w:after="0"/>
        <w:tabs>
          <w:tab w:leader="none" w:pos="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Secrecy</w:t>
      </w:r>
    </w:p>
    <w:p>
      <w:pPr>
        <w:spacing w:after="0" w:line="229" w:lineRule="exact"/>
        <w:rPr>
          <w:rFonts w:ascii="Arial" w:cs="Arial" w:eastAsia="Arial" w:hAnsi="Arial"/>
          <w:sz w:val="18"/>
          <w:szCs w:val="18"/>
          <w:b w:val="1"/>
          <w:bCs w:val="1"/>
          <w:color w:val="auto"/>
        </w:rPr>
      </w:pPr>
    </w:p>
    <w:p>
      <w:pPr>
        <w:ind w:left="7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Every officer of the Company or other person employed in the business of the Company shall, when required by the Directors before entering upon his duties, sign a declaration pledging himself to observe a strict secrecy respecting the business of the Company and all transactions of the Company with its customers and the state of accounts with individuals, and in matters relating thereto and shall by such declaration pledge himself not to reveal any of the matters which may come to his knowledge in the discharge of his duties, except when required to do so by the Directors or by any general meeting or by a court of law or by the person to whom such matters relate, and except so far as may be necessary in order to comply with any of the provisions of these Articles.</w:t>
      </w:r>
    </w:p>
    <w:p>
      <w:pPr>
        <w:spacing w:after="0" w:line="200" w:lineRule="exact"/>
        <w:rPr>
          <w:rFonts w:ascii="Arial" w:cs="Arial" w:eastAsia="Arial" w:hAnsi="Arial"/>
          <w:sz w:val="18"/>
          <w:szCs w:val="18"/>
          <w:b w:val="1"/>
          <w:bCs w:val="1"/>
          <w:color w:val="auto"/>
        </w:rPr>
      </w:pPr>
    </w:p>
    <w:p>
      <w:pPr>
        <w:spacing w:after="0" w:line="205" w:lineRule="exact"/>
        <w:rPr>
          <w:rFonts w:ascii="Arial" w:cs="Arial" w:eastAsia="Arial" w:hAnsi="Arial"/>
          <w:sz w:val="18"/>
          <w:szCs w:val="18"/>
          <w:b w:val="1"/>
          <w:bCs w:val="1"/>
          <w:color w:val="auto"/>
        </w:rPr>
      </w:pPr>
    </w:p>
    <w:p>
      <w:pPr>
        <w:ind w:left="700" w:hanging="692"/>
        <w:spacing w:after="0"/>
        <w:tabs>
          <w:tab w:leader="none" w:pos="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Destruction of records</w:t>
      </w:r>
    </w:p>
    <w:p>
      <w:pPr>
        <w:spacing w:after="0" w:line="229" w:lineRule="exact"/>
        <w:rPr>
          <w:rFonts w:ascii="Arial" w:cs="Arial" w:eastAsia="Arial" w:hAnsi="Arial"/>
          <w:sz w:val="18"/>
          <w:szCs w:val="18"/>
          <w:b w:val="1"/>
          <w:bCs w:val="1"/>
          <w:color w:val="auto"/>
        </w:rPr>
      </w:pPr>
    </w:p>
    <w:p>
      <w:pPr>
        <w:ind w:left="7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shall be entitled to destroy all instruments of transfer which have been registered at any time after the expiration of six years from the date of registration thereof, all notifications of change of address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3" w:name="page164"/>
    <w:bookmarkEnd w:id="163"/>
    <w:p>
      <w:pPr>
        <w:ind w:left="1372" w:right="220" w:hanging="683"/>
        <w:spacing w:after="0" w:line="277" w:lineRule="auto"/>
        <w:tabs>
          <w:tab w:leader="none" w:pos="137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provision aforesaid shall apply only to the destruction of a document in good faith and without notice of any claim (regardless of the parties thereto) to which the document might be relevant;</w:t>
      </w:r>
    </w:p>
    <w:p>
      <w:pPr>
        <w:spacing w:after="0" w:line="170" w:lineRule="exact"/>
        <w:rPr>
          <w:rFonts w:ascii="Arial" w:cs="Arial" w:eastAsia="Arial" w:hAnsi="Arial"/>
          <w:sz w:val="18"/>
          <w:szCs w:val="18"/>
          <w:color w:val="auto"/>
        </w:rPr>
      </w:pPr>
    </w:p>
    <w:p>
      <w:pPr>
        <w:ind w:left="1372" w:right="340" w:hanging="683"/>
        <w:spacing w:after="0" w:line="342" w:lineRule="auto"/>
        <w:tabs>
          <w:tab w:leader="none" w:pos="1372" w:val="left"/>
        </w:tabs>
        <w:numPr>
          <w:ilvl w:val="1"/>
          <w:numId w:val="137"/>
        </w:numPr>
        <w:rPr>
          <w:rFonts w:ascii="Arial" w:cs="Arial" w:eastAsia="Arial" w:hAnsi="Arial"/>
          <w:sz w:val="16"/>
          <w:szCs w:val="16"/>
          <w:color w:val="auto"/>
        </w:rPr>
      </w:pPr>
      <w:r>
        <w:rPr>
          <w:rFonts w:ascii="Arial" w:cs="Arial" w:eastAsia="Arial" w:hAnsi="Arial"/>
          <w:sz w:val="16"/>
          <w:szCs w:val="16"/>
          <w:color w:val="auto"/>
        </w:rPr>
        <w:t>nothing herein contained shall be construed as imposing upon the Company any liability in respect of the destruction of any document earlier than as aforesaid or in any other circumstances which would not attach to the Company in the absence of this Article; and</w:t>
      </w:r>
    </w:p>
    <w:p>
      <w:pPr>
        <w:spacing w:after="0" w:line="123" w:lineRule="exact"/>
        <w:rPr>
          <w:rFonts w:ascii="Arial" w:cs="Arial" w:eastAsia="Arial" w:hAnsi="Arial"/>
          <w:sz w:val="16"/>
          <w:szCs w:val="16"/>
          <w:color w:val="auto"/>
        </w:rPr>
      </w:pPr>
    </w:p>
    <w:p>
      <w:pPr>
        <w:ind w:left="1372" w:hanging="683"/>
        <w:spacing w:after="0"/>
        <w:tabs>
          <w:tab w:leader="none" w:pos="137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references herein to the destruction of any document include references to the disposal thereof in any manner.</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692" w:hanging="692"/>
        <w:spacing w:after="0"/>
        <w:tabs>
          <w:tab w:leader="none" w:pos="692"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Untraced Shareholders</w:t>
      </w:r>
    </w:p>
    <w:p>
      <w:pPr>
        <w:spacing w:after="0" w:line="229" w:lineRule="exact"/>
        <w:rPr>
          <w:rFonts w:ascii="Arial" w:cs="Arial" w:eastAsia="Arial" w:hAnsi="Arial"/>
          <w:sz w:val="18"/>
          <w:szCs w:val="18"/>
          <w:b w:val="1"/>
          <w:bCs w:val="1"/>
          <w:color w:val="auto"/>
        </w:rPr>
      </w:pPr>
    </w:p>
    <w:p>
      <w:pPr>
        <w:ind w:left="692"/>
        <w:spacing w:after="0"/>
        <w:rPr>
          <w:rFonts w:ascii="Arial" w:cs="Arial" w:eastAsia="Arial" w:hAnsi="Arial"/>
          <w:sz w:val="18"/>
          <w:szCs w:val="18"/>
          <w:b w:val="1"/>
          <w:bCs w:val="1"/>
          <w:color w:val="auto"/>
        </w:rPr>
      </w:pPr>
      <w:r>
        <w:rPr>
          <w:rFonts w:ascii="Arial" w:cs="Arial" w:eastAsia="Arial" w:hAnsi="Arial"/>
          <w:sz w:val="18"/>
          <w:szCs w:val="18"/>
          <w:color w:val="auto"/>
        </w:rPr>
        <w:t>The Company may sell any Shares in the Company on behalf of a Holder, or person entitled by transmission to, the Shares, if:-</w:t>
      </w:r>
    </w:p>
    <w:p>
      <w:pPr>
        <w:spacing w:after="0" w:line="225" w:lineRule="exact"/>
        <w:rPr>
          <w:rFonts w:ascii="Arial" w:cs="Arial" w:eastAsia="Arial" w:hAnsi="Arial"/>
          <w:sz w:val="18"/>
          <w:szCs w:val="18"/>
          <w:b w:val="1"/>
          <w:bCs w:val="1"/>
          <w:color w:val="auto"/>
        </w:rPr>
      </w:pPr>
    </w:p>
    <w:p>
      <w:pPr>
        <w:ind w:left="1372" w:right="20" w:hanging="683"/>
        <w:spacing w:after="0" w:line="277" w:lineRule="auto"/>
        <w:tabs>
          <w:tab w:leader="none" w:pos="137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Shares have been in issue throughout the qualifying period and at least three cash dividends have become payable on the Shares during the qualifying period;</w:t>
      </w:r>
    </w:p>
    <w:p>
      <w:pPr>
        <w:spacing w:after="0" w:line="170" w:lineRule="exact"/>
        <w:rPr>
          <w:rFonts w:ascii="Arial" w:cs="Arial" w:eastAsia="Arial" w:hAnsi="Arial"/>
          <w:sz w:val="18"/>
          <w:szCs w:val="18"/>
          <w:color w:val="auto"/>
        </w:rPr>
      </w:pPr>
    </w:p>
    <w:p>
      <w:pPr>
        <w:ind w:left="1372" w:right="100" w:hanging="683"/>
        <w:spacing w:after="0" w:line="259" w:lineRule="auto"/>
        <w:tabs>
          <w:tab w:leader="none" w:pos="137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no cash dividend payable on the Shares has either been claimed by presentation to the paying bank of the relative cheque or warrant or been satisfied by the crediting of any account which the Holder has with the Company, whether in the sole name of such Holder or jointly with another person or persons, or by the transfer of funds to a bank account designated by the Holder of, or person entitled by transmission to, the Shares at any time during the relevant period;</w:t>
      </w:r>
    </w:p>
    <w:p>
      <w:pPr>
        <w:spacing w:after="0" w:line="186" w:lineRule="exact"/>
        <w:rPr>
          <w:rFonts w:ascii="Arial" w:cs="Arial" w:eastAsia="Arial" w:hAnsi="Arial"/>
          <w:sz w:val="18"/>
          <w:szCs w:val="18"/>
          <w:color w:val="auto"/>
        </w:rPr>
      </w:pPr>
    </w:p>
    <w:p>
      <w:pPr>
        <w:ind w:left="1372" w:hanging="683"/>
        <w:spacing w:after="0" w:line="277" w:lineRule="auto"/>
        <w:tabs>
          <w:tab w:leader="none" w:pos="137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has not at any time during the relevant period received, so far as the Company at the end of the relevant period is then aware, any communication from the Holder of, or person entitled by transmission to, the Shares;</w:t>
      </w:r>
    </w:p>
    <w:p>
      <w:pPr>
        <w:spacing w:after="0" w:line="170" w:lineRule="exact"/>
        <w:rPr>
          <w:rFonts w:ascii="Arial" w:cs="Arial" w:eastAsia="Arial" w:hAnsi="Arial"/>
          <w:sz w:val="18"/>
          <w:szCs w:val="18"/>
          <w:color w:val="auto"/>
        </w:rPr>
      </w:pPr>
    </w:p>
    <w:p>
      <w:pPr>
        <w:ind w:left="1372" w:right="20" w:hanging="683"/>
        <w:spacing w:after="0" w:line="259" w:lineRule="auto"/>
        <w:tabs>
          <w:tab w:leader="none" w:pos="137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has caused advertisements giving notice of its intention to sell the Shares to be published in a leading daily newspaper with a national circulation in the State and another in a newspaper circulating in the area of the address shown in the register of the Holder of, or person entitled by transmission to, the untraced Shares, and (in either such case) a period of three months has elapsed from the date of publication of the advertisement; and</w:t>
      </w:r>
    </w:p>
    <w:p>
      <w:pPr>
        <w:spacing w:after="0" w:line="186" w:lineRule="exact"/>
        <w:rPr>
          <w:rFonts w:ascii="Arial" w:cs="Arial" w:eastAsia="Arial" w:hAnsi="Arial"/>
          <w:sz w:val="18"/>
          <w:szCs w:val="18"/>
          <w:color w:val="auto"/>
        </w:rPr>
      </w:pPr>
    </w:p>
    <w:p>
      <w:pPr>
        <w:ind w:left="1372" w:hanging="683"/>
        <w:spacing w:after="0"/>
        <w:tabs>
          <w:tab w:leader="none" w:pos="137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has given notice to the relevant departments of The Stock Exchanges of its intention to make the sale.</w:t>
      </w:r>
    </w:p>
    <w:p>
      <w:pPr>
        <w:spacing w:after="0" w:line="225" w:lineRule="exact"/>
        <w:rPr>
          <w:sz w:val="20"/>
          <w:szCs w:val="20"/>
          <w:color w:val="auto"/>
        </w:rPr>
      </w:pPr>
    </w:p>
    <w:p>
      <w:pPr>
        <w:ind w:left="692"/>
        <w:spacing w:after="0"/>
        <w:rPr>
          <w:sz w:val="20"/>
          <w:szCs w:val="20"/>
          <w:color w:val="auto"/>
        </w:rPr>
      </w:pPr>
      <w:r>
        <w:rPr>
          <w:rFonts w:ascii="Arial" w:cs="Arial" w:eastAsia="Arial" w:hAnsi="Arial"/>
          <w:sz w:val="18"/>
          <w:szCs w:val="18"/>
          <w:color w:val="auto"/>
        </w:rPr>
        <w:t>For the purposes of this Article:</w:t>
      </w:r>
    </w:p>
    <w:p>
      <w:pPr>
        <w:spacing w:after="0" w:line="225" w:lineRule="exact"/>
        <w:rPr>
          <w:sz w:val="20"/>
          <w:szCs w:val="20"/>
          <w:color w:val="auto"/>
        </w:rPr>
      </w:pPr>
    </w:p>
    <w:p>
      <w:pPr>
        <w:ind w:left="692" w:right="80"/>
        <w:spacing w:after="0" w:line="277" w:lineRule="auto"/>
        <w:rPr>
          <w:sz w:val="20"/>
          <w:szCs w:val="20"/>
          <w:color w:val="auto"/>
        </w:rPr>
      </w:pPr>
      <w:r>
        <w:rPr>
          <w:rFonts w:ascii="Arial" w:cs="Arial" w:eastAsia="Arial" w:hAnsi="Arial"/>
          <w:sz w:val="18"/>
          <w:szCs w:val="18"/>
          <w:i w:val="1"/>
          <w:iCs w:val="1"/>
          <w:color w:val="auto"/>
        </w:rPr>
        <w:t xml:space="preserve">"the qualifying period" </w:t>
      </w:r>
      <w:r>
        <w:rPr>
          <w:rFonts w:ascii="Arial" w:cs="Arial" w:eastAsia="Arial" w:hAnsi="Arial"/>
          <w:sz w:val="18"/>
          <w:szCs w:val="18"/>
          <w:color w:val="auto"/>
        </w:rPr>
        <w:t>means the period of twelve years immediately preceding the date of publication of the relevant advertisements referred to in</w:t>
      </w:r>
      <w:r>
        <w:rPr>
          <w:rFonts w:ascii="Arial" w:cs="Arial" w:eastAsia="Arial" w:hAnsi="Arial"/>
          <w:sz w:val="18"/>
          <w:szCs w:val="18"/>
          <w:i w:val="1"/>
          <w:iCs w:val="1"/>
          <w:color w:val="auto"/>
        </w:rPr>
        <w:t xml:space="preserve"> </w:t>
      </w:r>
      <w:r>
        <w:rPr>
          <w:rFonts w:ascii="Arial" w:cs="Arial" w:eastAsia="Arial" w:hAnsi="Arial"/>
          <w:sz w:val="18"/>
          <w:szCs w:val="18"/>
          <w:color w:val="auto"/>
        </w:rPr>
        <w:t>sub-paragraph (d) above;</w:t>
      </w:r>
    </w:p>
    <w:p>
      <w:pPr>
        <w:spacing w:after="0" w:line="170" w:lineRule="exact"/>
        <w:rPr>
          <w:sz w:val="20"/>
          <w:szCs w:val="20"/>
          <w:color w:val="auto"/>
        </w:rPr>
      </w:pPr>
    </w:p>
    <w:p>
      <w:pPr>
        <w:ind w:left="692"/>
        <w:spacing w:after="0" w:line="277" w:lineRule="auto"/>
        <w:rPr>
          <w:sz w:val="20"/>
          <w:szCs w:val="20"/>
          <w:color w:val="auto"/>
        </w:rPr>
      </w:pPr>
      <w:r>
        <w:rPr>
          <w:rFonts w:ascii="Arial" w:cs="Arial" w:eastAsia="Arial" w:hAnsi="Arial"/>
          <w:sz w:val="18"/>
          <w:szCs w:val="18"/>
          <w:i w:val="1"/>
          <w:iCs w:val="1"/>
          <w:color w:val="auto"/>
        </w:rPr>
        <w:t xml:space="preserve">"the relevant period" </w:t>
      </w:r>
      <w:r>
        <w:rPr>
          <w:rFonts w:ascii="Arial" w:cs="Arial" w:eastAsia="Arial" w:hAnsi="Arial"/>
          <w:sz w:val="18"/>
          <w:szCs w:val="18"/>
          <w:color w:val="auto"/>
        </w:rPr>
        <w:t>means the period beginning at the commencement of the qualifying period and ending on the date when all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sub-paragraphs (a) to (e) above have been satisfied.</w:t>
      </w:r>
    </w:p>
    <w:p>
      <w:pPr>
        <w:spacing w:after="0" w:line="170" w:lineRule="exact"/>
        <w:rPr>
          <w:sz w:val="20"/>
          <w:szCs w:val="20"/>
          <w:color w:val="auto"/>
        </w:rPr>
      </w:pPr>
    </w:p>
    <w:p>
      <w:pPr>
        <w:ind w:left="692" w:right="80"/>
        <w:spacing w:after="0" w:line="259" w:lineRule="auto"/>
        <w:rPr>
          <w:sz w:val="20"/>
          <w:szCs w:val="20"/>
          <w:color w:val="auto"/>
        </w:rPr>
      </w:pPr>
      <w:r>
        <w:rPr>
          <w:rFonts w:ascii="Arial" w:cs="Arial" w:eastAsia="Arial" w:hAnsi="Arial"/>
          <w:sz w:val="18"/>
          <w:szCs w:val="18"/>
          <w:color w:val="auto"/>
        </w:rPr>
        <w:t>For the purposes of sub-paragraph (c) above, a statutory declaration that the declarant is a Director of the Company or the secretary and that the Company was not aware at the end of the relevant period of having at any time during the relevant period received any communication from the Holder of, or person entitled by transmission to, the Shares shall be conclusive evidence of the facts stated in it as against all persons claiming to be entitled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64" w:name="page165"/>
    <w:bookmarkEnd w:id="164"/>
    <w:p>
      <w:pPr>
        <w:jc w:val="both"/>
        <w:ind w:left="692" w:right="220"/>
        <w:spacing w:after="0" w:line="286" w:lineRule="auto"/>
        <w:rPr>
          <w:sz w:val="20"/>
          <w:szCs w:val="20"/>
          <w:color w:val="auto"/>
        </w:rPr>
      </w:pPr>
      <w:r>
        <w:rPr>
          <w:rFonts w:ascii="Arial" w:cs="Arial" w:eastAsia="Arial" w:hAnsi="Arial"/>
          <w:sz w:val="17"/>
          <w:szCs w:val="17"/>
          <w:color w:val="auto"/>
        </w:rPr>
        <w:t>If, after the publication of the advertisement referred to in sub-paragraph (d) above but before the Company has become entitled to sell the Shares pursuant to this Article, the requirements of sub- paragraph (b) or (c) above cease to be satisfied, the Company may nevertheless sell those Shares after the requirements of sub-paragraphs (a) to (e) above have been satisfied afresh in relation to them.</w:t>
      </w:r>
    </w:p>
    <w:p>
      <w:pPr>
        <w:spacing w:after="0" w:line="166" w:lineRule="exact"/>
        <w:rPr>
          <w:sz w:val="20"/>
          <w:szCs w:val="20"/>
          <w:color w:val="auto"/>
        </w:rPr>
      </w:pPr>
    </w:p>
    <w:p>
      <w:pPr>
        <w:ind w:left="692" w:right="60"/>
        <w:spacing w:after="0" w:line="264" w:lineRule="auto"/>
        <w:rPr>
          <w:sz w:val="20"/>
          <w:szCs w:val="20"/>
          <w:color w:val="auto"/>
        </w:rPr>
      </w:pPr>
      <w:r>
        <w:rPr>
          <w:rFonts w:ascii="Arial" w:cs="Arial" w:eastAsia="Arial" w:hAnsi="Arial"/>
          <w:sz w:val="18"/>
          <w:szCs w:val="18"/>
          <w:color w:val="auto"/>
        </w:rPr>
        <w:t>If during any relevant period further Shares have been issued in right of those held at the beginning of that relevant period or of any previously so issued during that relevant period and all the requirements of sub- paragraphs (b) to (e) above have been satisfied in regard to the further Shares, the Company may also sell the further Shares.</w:t>
      </w:r>
    </w:p>
    <w:p>
      <w:pPr>
        <w:spacing w:after="0" w:line="181" w:lineRule="exact"/>
        <w:rPr>
          <w:sz w:val="20"/>
          <w:szCs w:val="20"/>
          <w:color w:val="auto"/>
        </w:rPr>
      </w:pPr>
    </w:p>
    <w:p>
      <w:pPr>
        <w:ind w:left="692" w:right="40"/>
        <w:spacing w:after="0" w:line="257" w:lineRule="auto"/>
        <w:rPr>
          <w:sz w:val="20"/>
          <w:szCs w:val="20"/>
          <w:color w:val="auto"/>
        </w:rPr>
      </w:pPr>
      <w:r>
        <w:rPr>
          <w:rFonts w:ascii="Arial" w:cs="Arial" w:eastAsia="Arial" w:hAnsi="Arial"/>
          <w:sz w:val="18"/>
          <w:szCs w:val="18"/>
          <w:color w:val="auto"/>
        </w:rPr>
        <w:t>The manner, timing and terms of any sale of Shares pursuant to this Article (including but not limited to the price or prices at which the same is made) shall be such as the Directors determine, based upon advice from such bankers, brokers or other persons as the Directors consider appropriate which are consulted by it for the purposes, to be reasonably practicable having regard to all the circumstances including the number of Shares to be disposed of and the requirement that the disposal be made without delay; and the Directors shall not be liable to any person for any of the consequences of reliance on such advice.</w:t>
      </w:r>
    </w:p>
    <w:p>
      <w:pPr>
        <w:spacing w:after="0" w:line="188" w:lineRule="exact"/>
        <w:rPr>
          <w:sz w:val="20"/>
          <w:szCs w:val="20"/>
          <w:color w:val="auto"/>
        </w:rPr>
      </w:pPr>
    </w:p>
    <w:p>
      <w:pPr>
        <w:ind w:left="692" w:right="20"/>
        <w:spacing w:after="0" w:line="272" w:lineRule="auto"/>
        <w:rPr>
          <w:sz w:val="20"/>
          <w:szCs w:val="20"/>
          <w:color w:val="auto"/>
        </w:rPr>
      </w:pPr>
      <w:r>
        <w:rPr>
          <w:rFonts w:ascii="Arial" w:cs="Arial" w:eastAsia="Arial" w:hAnsi="Arial"/>
          <w:sz w:val="17"/>
          <w:szCs w:val="17"/>
          <w:color w:val="auto"/>
        </w:rPr>
        <w:t>To give effect to any sale of Shares pursuant to this Article the Directors may take such steps as the Directors consider are necessary or desirable in order to effect such sale and, for this purpose, may authorise some person to transfer the Shares in question and may enter the name of the transferee in respect of the transferred Shares in the register notwithstanding the absence of any Share certificate being lodged in respect thereof and may issue a new certificate to the transferee and an instrument of transfer executed by that person or such other method of transfer as is employed by this person shall be as effective as if it had been executed or employed by the Holder of, or person entitled by transmission to, the Shares. The purchaser shall not be bound to see to the application of the purchase moneys nor shall his title to the Shares be affected by any irregularity or invalidity in the proceedings relating to the sale.</w:t>
      </w:r>
    </w:p>
    <w:p>
      <w:pPr>
        <w:spacing w:after="0" w:line="178" w:lineRule="exact"/>
        <w:rPr>
          <w:sz w:val="20"/>
          <w:szCs w:val="20"/>
          <w:color w:val="auto"/>
        </w:rPr>
      </w:pPr>
    </w:p>
    <w:p>
      <w:pPr>
        <w:ind w:left="692"/>
        <w:spacing w:after="0" w:line="259" w:lineRule="auto"/>
        <w:rPr>
          <w:sz w:val="20"/>
          <w:szCs w:val="20"/>
          <w:color w:val="auto"/>
        </w:rPr>
      </w:pPr>
      <w:r>
        <w:rPr>
          <w:rFonts w:ascii="Arial" w:cs="Arial" w:eastAsia="Arial" w:hAnsi="Arial"/>
          <w:sz w:val="18"/>
          <w:szCs w:val="18"/>
          <w:color w:val="auto"/>
        </w:rPr>
        <w:t>The Company shall account to the Holder or other person entitled to such Shares for the net proceeds of such sale by carrying all moneys in respect thereof to a separate account which shall be a permanent debt of the Company and the Company shall be deemed to be a debtor and not a trustee in respect thereof for such Holder or other person. Moneys carried to such separate account may be either employed in the business of the Company or invested in such investments as the Directors may think fit, from time to time.</w:t>
      </w:r>
    </w:p>
    <w:p>
      <w:pPr>
        <w:spacing w:after="0" w:line="399" w:lineRule="exact"/>
        <w:rPr>
          <w:sz w:val="20"/>
          <w:szCs w:val="20"/>
          <w:color w:val="auto"/>
        </w:rPr>
      </w:pPr>
    </w:p>
    <w:p>
      <w:pPr>
        <w:ind w:left="692" w:hanging="692"/>
        <w:spacing w:after="0"/>
        <w:tabs>
          <w:tab w:leader="none" w:pos="692"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rFonts w:ascii="Arial" w:cs="Arial" w:eastAsia="Arial" w:hAnsi="Arial"/>
          <w:sz w:val="18"/>
          <w:szCs w:val="18"/>
          <w:b w:val="1"/>
          <w:bCs w:val="1"/>
          <w:color w:val="auto"/>
        </w:rPr>
      </w:pPr>
    </w:p>
    <w:p>
      <w:pPr>
        <w:ind w:left="69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89" w:lineRule="exact"/>
        <w:rPr>
          <w:rFonts w:ascii="Arial" w:cs="Arial" w:eastAsia="Arial" w:hAnsi="Arial"/>
          <w:sz w:val="18"/>
          <w:szCs w:val="18"/>
          <w:b w:val="1"/>
          <w:bCs w:val="1"/>
          <w:color w:val="auto"/>
        </w:rPr>
      </w:pPr>
    </w:p>
    <w:p>
      <w:pPr>
        <w:ind w:left="692" w:right="1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ectPr>
          <w:pgSz w:w="11900" w:h="16838" w:orient="portrait"/>
          <w:cols w:equalWidth="0" w:num="1">
            <w:col w:w="11412"/>
          </w:cols>
          <w:pgMar w:left="248" w:top="517"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 TO LEASE AGREEMENT</w:t>
      </w:r>
    </w:p>
    <w:p>
      <w:pPr>
        <w:spacing w:after="0" w:line="256" w:lineRule="exact"/>
        <w:rPr>
          <w:sz w:val="20"/>
          <w:szCs w:val="20"/>
          <w:color w:val="auto"/>
        </w:rPr>
      </w:pPr>
    </w:p>
    <w:p>
      <w:pPr>
        <w:jc w:val="both"/>
        <w:ind w:right="640" w:firstLine="648"/>
        <w:spacing w:after="0" w:line="342" w:lineRule="auto"/>
        <w:rPr>
          <w:sz w:val="20"/>
          <w:szCs w:val="20"/>
          <w:color w:val="auto"/>
        </w:rPr>
      </w:pPr>
      <w:r>
        <w:rPr>
          <w:rFonts w:ascii="Arial" w:cs="Arial" w:eastAsia="Arial" w:hAnsi="Arial"/>
          <w:sz w:val="16"/>
          <w:szCs w:val="16"/>
          <w:color w:val="auto"/>
        </w:rPr>
        <w:t xml:space="preserve">THIS FOURTH AMENDMENT TO LEASE AGREEMENT ("Amendment") is made this </w:t>
      </w:r>
      <w:r>
        <w:rPr>
          <w:rFonts w:ascii="Arial" w:cs="Arial" w:eastAsia="Arial" w:hAnsi="Arial"/>
          <w:sz w:val="16"/>
          <w:szCs w:val="16"/>
          <w:u w:val="single" w:color="auto"/>
          <w:color w:val="auto"/>
        </w:rPr>
        <w:t>20th</w:t>
      </w:r>
      <w:r>
        <w:rPr>
          <w:rFonts w:ascii="Arial" w:cs="Arial" w:eastAsia="Arial" w:hAnsi="Arial"/>
          <w:sz w:val="16"/>
          <w:szCs w:val="16"/>
          <w:color w:val="auto"/>
        </w:rPr>
        <w:t xml:space="preserve"> day of April, 2010, by and between STONE MANOR PARTNERS, L.P., a Pennsylvania limited partnership ("Landlord") and BEACON BIOSCIENCE, INC., a Delaware corporation ("Tenant</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252" w:lineRule="exact"/>
        <w:rPr>
          <w:sz w:val="20"/>
          <w:szCs w:val="20"/>
          <w:color w:val="auto"/>
        </w:rPr>
      </w:pPr>
    </w:p>
    <w:p>
      <w:pPr>
        <w:ind w:right="120" w:firstLine="656"/>
        <w:spacing w:after="0" w:line="254" w:lineRule="auto"/>
        <w:tabs>
          <w:tab w:leader="none" w:pos="136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Landlord and Tenant are parties to a certain Lease Agreement dated May 23, 2006 (the "Original Lease"), amended by Amendment to Lease Agreement dated July 7, 2006 (the </w:t>
      </w:r>
      <w:r>
        <w:rPr>
          <w:rFonts w:ascii="Arial" w:cs="Arial" w:eastAsia="Arial" w:hAnsi="Arial"/>
          <w:sz w:val="24"/>
          <w:szCs w:val="24"/>
          <w:color w:val="auto"/>
          <w:vertAlign w:val="superscript"/>
        </w:rPr>
        <w:t>"</w:t>
      </w:r>
      <w:r>
        <w:rPr>
          <w:rFonts w:ascii="Arial" w:cs="Arial" w:eastAsia="Arial" w:hAnsi="Arial"/>
          <w:sz w:val="17"/>
          <w:szCs w:val="17"/>
          <w:color w:val="auto"/>
        </w:rPr>
        <w:t>First Amendment"), amended by Memorandum dated December 11, 2006 (the "Second Amendment"), and further amended by Third Amendment to Lease Agreement, dated April 9, 2009 (the "Third Amendment") (collectively defined herein as the "Lease"), pursuant to which (i) Tenant is currently leasing 44,952 rentable square feet of space (the "Existing Space") on the first, second and third floors of a building commonly known as 2800 Kelly Road, Stone Manor Corporate Center, Warrington Township, Bucks County, Pennsylvania 18976 (the "Building"), and (ii) Tenant has agreed to lease an additional 8,000 rentable square feet of space on the third floor of the Building as of July 1, 2010 (the "Additional Space") (the "Existing Space" and the "Additional Space" are collectively defined herein as the "Premises").</w:t>
      </w:r>
    </w:p>
    <w:p>
      <w:pPr>
        <w:spacing w:after="0" w:line="222" w:lineRule="exact"/>
        <w:rPr>
          <w:rFonts w:ascii="Arial" w:cs="Arial" w:eastAsia="Arial" w:hAnsi="Arial"/>
          <w:sz w:val="17"/>
          <w:szCs w:val="17"/>
          <w:color w:val="auto"/>
        </w:rPr>
      </w:pPr>
    </w:p>
    <w:p>
      <w:pPr>
        <w:ind w:left="1360" w:hanging="704"/>
        <w:spacing w:after="0"/>
        <w:tabs>
          <w:tab w:leader="none" w:pos="1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Landlord and Tenant now desire to further amend the Lease as herein provided.</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set forth, and intending to be legally bound hereby, the parties hereto agree to amend the Lease as follows:</w:t>
      </w:r>
    </w:p>
    <w:p>
      <w:pPr>
        <w:spacing w:after="0" w:line="197" w:lineRule="exact"/>
        <w:rPr>
          <w:sz w:val="20"/>
          <w:szCs w:val="20"/>
          <w:color w:val="auto"/>
        </w:rPr>
      </w:pPr>
    </w:p>
    <w:p>
      <w:pPr>
        <w:ind w:left="1340" w:hanging="684"/>
        <w:spacing w:after="0"/>
        <w:tabs>
          <w:tab w:leader="none" w:pos="13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the Lease is hereby extended so that it terminates on April 30, 2020.</w:t>
      </w:r>
    </w:p>
    <w:p>
      <w:pPr>
        <w:spacing w:after="0" w:line="252" w:lineRule="exact"/>
        <w:rPr>
          <w:rFonts w:ascii="Arial" w:cs="Arial" w:eastAsia="Arial" w:hAnsi="Arial"/>
          <w:sz w:val="18"/>
          <w:szCs w:val="18"/>
          <w:color w:val="auto"/>
        </w:rPr>
      </w:pPr>
    </w:p>
    <w:p>
      <w:pPr>
        <w:ind w:left="1340" w:hanging="684"/>
        <w:spacing w:after="0"/>
        <w:tabs>
          <w:tab w:leader="none" w:pos="13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Base Rental and Base Year.</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As of May 1, 2010, the Base Rental for the Premises shall be as follows:</w:t>
      </w:r>
    </w:p>
    <w:p>
      <w:pPr>
        <w:spacing w:after="0" w:line="252" w:lineRule="exact"/>
        <w:rPr>
          <w:rFonts w:ascii="Arial" w:cs="Arial" w:eastAsia="Arial" w:hAnsi="Arial"/>
          <w:sz w:val="18"/>
          <w:szCs w:val="18"/>
          <w:color w:val="auto"/>
        </w:rPr>
      </w:pPr>
    </w:p>
    <w:p>
      <w:pPr>
        <w:ind w:right="640" w:firstLine="1953"/>
        <w:spacing w:after="0" w:line="277" w:lineRule="auto"/>
        <w:tabs>
          <w:tab w:leader="none" w:pos="261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 xml:space="preserve">5/1/10 through 3/31/13: $1,382,995.08 per year ($25.50 per square foot plus additional construction allowance of </w:t>
      </w:r>
      <w:r>
        <w:rPr>
          <w:rFonts w:ascii="Arial" w:cs="Arial" w:eastAsia="Arial" w:hAnsi="Arial"/>
          <w:sz w:val="18"/>
          <w:szCs w:val="18"/>
          <w:i w:val="1"/>
          <w:iCs w:val="1"/>
          <w:color w:val="auto"/>
        </w:rPr>
        <w:t xml:space="preserve">$2,726.59 </w:t>
      </w:r>
      <w:r>
        <w:rPr>
          <w:rFonts w:ascii="Arial" w:cs="Arial" w:eastAsia="Arial" w:hAnsi="Arial"/>
          <w:sz w:val="18"/>
          <w:szCs w:val="18"/>
          <w:color w:val="auto"/>
        </w:rPr>
        <w:t>per month); $115,249.59 per month.</w:t>
      </w:r>
    </w:p>
    <w:p>
      <w:pPr>
        <w:spacing w:after="0" w:line="197" w:lineRule="exact"/>
        <w:rPr>
          <w:rFonts w:ascii="Arial" w:cs="Arial" w:eastAsia="Arial" w:hAnsi="Arial"/>
          <w:sz w:val="18"/>
          <w:szCs w:val="18"/>
          <w:color w:val="auto"/>
        </w:rPr>
      </w:pPr>
    </w:p>
    <w:p>
      <w:pPr>
        <w:ind w:left="2660" w:hanging="707"/>
        <w:spacing w:after="0"/>
        <w:tabs>
          <w:tab w:leader="none" w:pos="266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4/1113 through 4/30/15: $1,350,276 per year ($25.50 per square foot); $112,523.00 per month.</w:t>
      </w:r>
    </w:p>
    <w:p>
      <w:pPr>
        <w:spacing w:after="0" w:line="252" w:lineRule="exact"/>
        <w:rPr>
          <w:rFonts w:ascii="Arial" w:cs="Arial" w:eastAsia="Arial" w:hAnsi="Arial"/>
          <w:sz w:val="18"/>
          <w:szCs w:val="18"/>
          <w:color w:val="auto"/>
        </w:rPr>
      </w:pPr>
    </w:p>
    <w:p>
      <w:pPr>
        <w:ind w:left="2720" w:hanging="767"/>
        <w:spacing w:after="0"/>
        <w:tabs>
          <w:tab w:leader="none" w:pos="272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511/15 through 4/30120: $1,376,752 per year ($26.00 per square foot); $114,729.33 per month.</w:t>
      </w:r>
    </w:p>
    <w:p>
      <w:pPr>
        <w:spacing w:after="0" w:line="252" w:lineRule="exact"/>
        <w:rPr>
          <w:rFonts w:ascii="Arial" w:cs="Arial" w:eastAsia="Arial" w:hAnsi="Arial"/>
          <w:sz w:val="18"/>
          <w:szCs w:val="18"/>
          <w:color w:val="auto"/>
        </w:rPr>
      </w:pPr>
    </w:p>
    <w:p>
      <w:pPr>
        <w:ind w:right="340" w:firstLine="1305"/>
        <w:spacing w:after="0" w:line="277" w:lineRule="auto"/>
        <w:tabs>
          <w:tab w:leader="none" w:pos="200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Provided that Tenant is not in default under the Lease, Tenant shall be relieved of its obligation to pay Base Rental due for the Additional Space for the months of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and June 2010. The total value of this rent credit is $34,000 ($25.50 x 8,000 square feet = $204,000 - 12 = $17,000 x 2 = $34,000).</w:t>
      </w:r>
    </w:p>
    <w:p>
      <w:pPr>
        <w:spacing w:after="0" w:line="252" w:lineRule="exact"/>
        <w:rPr>
          <w:sz w:val="20"/>
          <w:szCs w:val="20"/>
          <w:color w:val="auto"/>
        </w:rPr>
      </w:pPr>
    </w:p>
    <w:p>
      <w:pPr>
        <w:ind w:firstLine="1305"/>
        <w:spacing w:after="0" w:line="277" w:lineRule="auto"/>
        <w:tabs>
          <w:tab w:leader="none" w:pos="19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Tenant shall continue to pay all utilities incurred in both the Existing Space and the Additional Space, notwithstanding the fact that Tenant is not taking possession of the Additional Space until July 1, 2010.</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As of January 1, 2010, the Base Year shall be calendar year 2009. No pass through charges are owed by Tenant for calendar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 2008 and/or 2009 relating to Operating Expenses.</w:t>
      </w:r>
    </w:p>
    <w:p>
      <w:pPr>
        <w:spacing w:after="0" w:line="238" w:lineRule="exact"/>
        <w:rPr>
          <w:sz w:val="20"/>
          <w:szCs w:val="20"/>
          <w:color w:val="auto"/>
        </w:rPr>
      </w:pPr>
    </w:p>
    <w:p>
      <w:pPr>
        <w:ind w:right="100" w:firstLine="656"/>
        <w:spacing w:after="0" w:line="259" w:lineRule="auto"/>
        <w:tabs>
          <w:tab w:leader="none" w:pos="1233"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Estoppel.</w:t>
      </w:r>
      <w:r>
        <w:rPr>
          <w:rFonts w:ascii="Arial" w:cs="Arial" w:eastAsia="Arial" w:hAnsi="Arial"/>
          <w:sz w:val="18"/>
          <w:szCs w:val="18"/>
          <w:color w:val="auto"/>
        </w:rPr>
        <w:t xml:space="preserve"> Tenant hereby represents and warrants to and agrees with Landlord that: (i) the Lease is in full force and effect and has not been modified or amended, except as set forth herein; (ii) to Tenant's knowledge, Landlord is not in default under the Lease and Tenant knows of no matter which, with the passage of time, would result in default by Landlord; (iii) Tenant is not in default under the terms of the Lease; and (iv) there are no outstanding Landlord obligations under the Lease, except as set forth in this Amendment.</w:t>
      </w:r>
    </w:p>
    <w:p>
      <w:pPr>
        <w:spacing w:after="0" w:line="213" w:lineRule="exact"/>
        <w:rPr>
          <w:rFonts w:ascii="Arial" w:cs="Arial" w:eastAsia="Arial" w:hAnsi="Arial"/>
          <w:sz w:val="18"/>
          <w:szCs w:val="18"/>
          <w:color w:val="auto"/>
        </w:rPr>
      </w:pPr>
    </w:p>
    <w:p>
      <w:pPr>
        <w:ind w:left="600" w:hanging="592"/>
        <w:spacing w:after="0"/>
        <w:tabs>
          <w:tab w:leader="none" w:pos="6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Reaffirmation of Confession of Judgment.</w:t>
      </w:r>
    </w:p>
    <w:p>
      <w:pPr>
        <w:spacing w:after="0" w:line="252" w:lineRule="exact"/>
        <w:rPr>
          <w:rFonts w:ascii="Arial" w:cs="Arial" w:eastAsia="Arial" w:hAnsi="Arial"/>
          <w:sz w:val="18"/>
          <w:szCs w:val="18"/>
          <w:color w:val="auto"/>
        </w:rPr>
      </w:pPr>
    </w:p>
    <w:p>
      <w:pPr>
        <w:ind w:right="280" w:firstLine="1305"/>
        <w:spacing w:after="0" w:line="259" w:lineRule="auto"/>
        <w:tabs>
          <w:tab w:leader="none" w:pos="1981" w:val="left"/>
        </w:tabs>
        <w:numPr>
          <w:ilvl w:val="2"/>
          <w:numId w:val="144"/>
        </w:numPr>
        <w:rPr>
          <w:rFonts w:ascii="Arial" w:cs="Arial" w:eastAsia="Arial" w:hAnsi="Arial"/>
          <w:sz w:val="18"/>
          <w:szCs w:val="18"/>
          <w:color w:val="auto"/>
        </w:rPr>
      </w:pPr>
      <w:r>
        <w:rPr>
          <w:rFonts w:ascii="Arial" w:cs="Arial" w:eastAsia="Arial" w:hAnsi="Arial"/>
          <w:sz w:val="18"/>
          <w:szCs w:val="18"/>
          <w:color w:val="auto"/>
        </w:rPr>
        <w:t>AFTER CONSULTATION WITH COUNSEL, TENANT ACKNOWLEDGES THAT (I) SECTION 22.2(e) OF THE LEASE PROVIDES FOR CONFESSION OF JUDGMENT RECOVERY OF POSSESSION OF THE PREMISES AGAINST TENANT, (II) SUCH PROVISION REMAINS IN FULL FORCE AND EFFECT, AND (III) TENANT SHALL BE BOUND BY SUCH PROVISION AS IF SUCH CONFESSION OF JUDGMENT PROVISION WAS SET FORTH IN THIS AMENDMENT.</w:t>
      </w:r>
    </w:p>
    <w:p>
      <w:pPr>
        <w:spacing w:after="0" w:line="213" w:lineRule="exact"/>
        <w:rPr>
          <w:rFonts w:ascii="Arial" w:cs="Arial" w:eastAsia="Arial" w:hAnsi="Arial"/>
          <w:sz w:val="18"/>
          <w:szCs w:val="18"/>
          <w:color w:val="auto"/>
        </w:rPr>
      </w:pPr>
    </w:p>
    <w:p>
      <w:pPr>
        <w:ind w:left="2000" w:hanging="695"/>
        <w:spacing w:after="0"/>
        <w:tabs>
          <w:tab w:leader="none" w:pos="200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Landlord shall not be permitted to confess judgment for money.</w:t>
      </w:r>
    </w:p>
    <w:p>
      <w:pPr>
        <w:spacing w:after="0" w:line="252" w:lineRule="exact"/>
        <w:rPr>
          <w:rFonts w:ascii="Arial" w:cs="Arial" w:eastAsia="Arial" w:hAnsi="Arial"/>
          <w:sz w:val="18"/>
          <w:szCs w:val="18"/>
          <w:color w:val="auto"/>
        </w:rPr>
      </w:pPr>
    </w:p>
    <w:p>
      <w:pPr>
        <w:ind w:right="220" w:firstLine="656"/>
        <w:spacing w:after="0" w:line="308" w:lineRule="auto"/>
        <w:tabs>
          <w:tab w:leader="none" w:pos="1233"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Ratification and Confirmation of Terms.</w:t>
      </w:r>
      <w:r>
        <w:rPr>
          <w:rFonts w:ascii="Arial" w:cs="Arial" w:eastAsia="Arial" w:hAnsi="Arial"/>
          <w:sz w:val="17"/>
          <w:szCs w:val="17"/>
          <w:color w:val="auto"/>
        </w:rPr>
        <w:t xml:space="preserve"> As specifically modified by this Amendment, the Lease and all covenants, agreements, terms and conditions hereof are and shall remain in full force and effect, and are hereby in all respects adopted, ratified and confirmed.</w:t>
      </w:r>
    </w:p>
    <w:p>
      <w:pPr>
        <w:spacing w:after="0" w:line="173" w:lineRule="exact"/>
        <w:rPr>
          <w:rFonts w:ascii="Arial" w:cs="Arial" w:eastAsia="Arial" w:hAnsi="Arial"/>
          <w:sz w:val="17"/>
          <w:szCs w:val="17"/>
          <w:color w:val="auto"/>
        </w:rPr>
      </w:pPr>
    </w:p>
    <w:p>
      <w:pPr>
        <w:ind w:right="280" w:firstLine="656"/>
        <w:spacing w:after="0" w:line="259" w:lineRule="auto"/>
        <w:tabs>
          <w:tab w:leader="none" w:pos="1233"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No Change.</w:t>
      </w:r>
      <w:r>
        <w:rPr>
          <w:rFonts w:ascii="Arial" w:cs="Arial" w:eastAsia="Arial" w:hAnsi="Arial"/>
          <w:sz w:val="18"/>
          <w:szCs w:val="18"/>
          <w:color w:val="auto"/>
        </w:rPr>
        <w:t xml:space="preserve"> This Amendment may not be changed orally but only by an agreement in writing signed by the party against which enforcement of any waiver, change, modification or discharge is sought. This Amendment represents the entire agreement and understanding of the parties in relation to the subject matter of this Amendment. All other agreements, writings or oral representations are hereby deemed merged into the terms of this Amendment.</w:t>
      </w:r>
    </w:p>
    <w:p>
      <w:pPr>
        <w:spacing w:after="0" w:line="213" w:lineRule="exact"/>
        <w:rPr>
          <w:rFonts w:ascii="Arial" w:cs="Arial" w:eastAsia="Arial" w:hAnsi="Arial"/>
          <w:sz w:val="18"/>
          <w:szCs w:val="18"/>
          <w:color w:val="auto"/>
        </w:rPr>
      </w:pPr>
    </w:p>
    <w:p>
      <w:pPr>
        <w:ind w:right="420" w:firstLine="656"/>
        <w:spacing w:after="0" w:line="277" w:lineRule="auto"/>
        <w:tabs>
          <w:tab w:leader="none" w:pos="1233"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multiple counterparts and each counterpart shall be an original and all counterparts, together, shall constitute this Amendment.</w:t>
      </w:r>
    </w:p>
    <w:p>
      <w:pPr>
        <w:spacing w:after="0" w:line="197" w:lineRule="exact"/>
        <w:rPr>
          <w:rFonts w:ascii="Arial" w:cs="Arial" w:eastAsia="Arial" w:hAnsi="Arial"/>
          <w:sz w:val="18"/>
          <w:szCs w:val="18"/>
          <w:color w:val="auto"/>
        </w:rPr>
      </w:pPr>
    </w:p>
    <w:p>
      <w:pPr>
        <w:ind w:left="1240" w:hanging="584"/>
        <w:spacing w:after="0"/>
        <w:tabs>
          <w:tab w:leader="none" w:pos="1240"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Amendment shall be governed by and construed in accordance with the laws of the Commonwealth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7" w:name="page168"/>
    <w:bookmarkEnd w:id="167"/>
    <w:p>
      <w:pPr>
        <w:ind w:left="1340" w:hanging="684"/>
        <w:spacing w:after="0"/>
        <w:tabs>
          <w:tab w:leader="none" w:pos="13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52" w:lineRule="exact"/>
        <w:rPr>
          <w:rFonts w:ascii="Arial" w:cs="Arial" w:eastAsia="Arial" w:hAnsi="Arial"/>
          <w:sz w:val="18"/>
          <w:szCs w:val="18"/>
          <w:color w:val="auto"/>
        </w:rPr>
      </w:pPr>
    </w:p>
    <w:p>
      <w:pPr>
        <w:ind w:right="940" w:firstLine="1305"/>
        <w:spacing w:after="0" w:line="277" w:lineRule="auto"/>
        <w:tabs>
          <w:tab w:leader="none" w:pos="1991"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the event that there are any inconsistencies between the terms and conditions of this Amendment and the terms and conditions of the Lease, the terms and conditions of this Amendment shall control.</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All capitalized terms not otherwise defined herein shall have the meanings which said capitalized terms have in the Lease.</w:t>
      </w:r>
    </w:p>
    <w:p>
      <w:pPr>
        <w:spacing w:after="0" w:line="263" w:lineRule="exact"/>
        <w:rPr>
          <w:rFonts w:ascii="Arial" w:cs="Arial" w:eastAsia="Arial" w:hAnsi="Arial"/>
          <w:sz w:val="17"/>
          <w:szCs w:val="17"/>
          <w:color w:val="auto"/>
        </w:rPr>
      </w:pPr>
    </w:p>
    <w:p>
      <w:pPr>
        <w:ind w:firstLine="1305"/>
        <w:spacing w:after="0" w:line="277" w:lineRule="auto"/>
        <w:tabs>
          <w:tab w:leader="none" w:pos="204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terms of the Lease not specifically amended hereby (including without limitation, the confession of judgment provisions) are ratified, confirmed and approved and shall remain in full force and effect.</w:t>
      </w:r>
    </w:p>
    <w:p>
      <w:pPr>
        <w:spacing w:after="0" w:line="197" w:lineRule="exact"/>
        <w:rPr>
          <w:rFonts w:ascii="Arial" w:cs="Arial" w:eastAsia="Arial" w:hAnsi="Arial"/>
          <w:sz w:val="18"/>
          <w:szCs w:val="18"/>
          <w:color w:val="auto"/>
        </w:rPr>
      </w:pPr>
    </w:p>
    <w:p>
      <w:pPr>
        <w:ind w:right="700" w:firstLine="1305"/>
        <w:spacing w:after="0" w:line="277" w:lineRule="auto"/>
        <w:tabs>
          <w:tab w:leader="none" w:pos="199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Amendment shall be binding upon and inure to the benefit of the parties hereto and their respective heirs, executors, administrators, successors and assigns.</w:t>
      </w:r>
    </w:p>
    <w:p>
      <w:pPr>
        <w:spacing w:after="0" w:line="193" w:lineRule="exact"/>
        <w:rPr>
          <w:rFonts w:ascii="Arial" w:cs="Arial" w:eastAsia="Arial" w:hAnsi="Arial"/>
          <w:sz w:val="18"/>
          <w:szCs w:val="18"/>
          <w:color w:val="auto"/>
        </w:rPr>
      </w:pPr>
    </w:p>
    <w:p>
      <w:pPr>
        <w:ind w:right="120" w:firstLine="1305"/>
        <w:spacing w:after="0" w:line="266" w:lineRule="auto"/>
        <w:tabs>
          <w:tab w:leader="none" w:pos="1991"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LANDLORD AND TENANT HEREBY EACH WAIVE THE RIGHT TO A JURY TRIAL IN CONNECTION WITH ANY LITIGATION INSTITUTED BY EITHER PARTY AGAINST THE OTHER CONCERNING THE LEASE OR THE TENANCY CREATED THEREUNDER.</w:t>
      </w:r>
    </w:p>
    <w:p>
      <w:pPr>
        <w:spacing w:after="0" w:line="20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 WITNESS WHEREOF, and intending to be legally bound hereby, the parties hereto have executed this Fourth Amendment to Agreement of Lease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TENANT:</w:t>
            </w:r>
          </w:p>
        </w:tc>
      </w:tr>
      <w:tr>
        <w:trPr>
          <w:trHeight w:val="230"/>
        </w:trPr>
        <w:tc>
          <w:tcPr>
            <w:tcW w:w="13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BEACON BIOSCIENCE, INC.</w:t>
            </w: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auto"/>
              </w:rPr>
              <w:t>Witness:</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Gastineau</w:t>
            </w:r>
          </w:p>
        </w:tc>
        <w:tc>
          <w:tcPr>
            <w:tcW w:w="900" w:type="dxa"/>
            <w:vAlign w:val="bottom"/>
          </w:tcPr>
          <w:p>
            <w:pPr>
              <w:ind w:left="3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Gastineau</w:t>
            </w:r>
          </w:p>
        </w:tc>
      </w:tr>
      <w:tr>
        <w:trPr>
          <w:trHeight w:val="202"/>
        </w:trPr>
        <w:tc>
          <w:tcPr>
            <w:tcW w:w="138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Richard Gastineau, Esquire</w:t>
            </w:r>
          </w:p>
        </w:tc>
        <w:tc>
          <w:tcPr>
            <w:tcW w:w="90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Edward Gastineau, President</w:t>
            </w:r>
          </w:p>
        </w:tc>
      </w:tr>
      <w:tr>
        <w:trPr>
          <w:trHeight w:val="230"/>
        </w:trPr>
        <w:tc>
          <w:tcPr>
            <w:tcW w:w="13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General Counsel</w:t>
            </w:r>
          </w:p>
        </w:tc>
        <w:tc>
          <w:tcPr>
            <w:tcW w:w="900" w:type="dxa"/>
            <w:vAlign w:val="bottom"/>
          </w:tcPr>
          <w:p>
            <w:pPr>
              <w:spacing w:after="0"/>
              <w:rPr>
                <w:sz w:val="20"/>
                <w:szCs w:val="20"/>
                <w:color w:val="auto"/>
              </w:rPr>
            </w:pPr>
          </w:p>
        </w:tc>
        <w:tc>
          <w:tcPr>
            <w:tcW w:w="4560" w:type="dxa"/>
            <w:vAlign w:val="bottom"/>
          </w:tcPr>
          <w:p>
            <w:pPr>
              <w:spacing w:after="0"/>
              <w:rPr>
                <w:sz w:val="20"/>
                <w:szCs w:val="20"/>
                <w:color w:val="auto"/>
              </w:rPr>
            </w:pPr>
          </w:p>
        </w:tc>
      </w:tr>
    </w:tbl>
    <w:p>
      <w:pPr>
        <w:spacing w:after="0" w:line="20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STONE MANOR PARTNERS, L.P., 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Pennsylvania limited partnership</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SMPB3, INC., 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80" w:type="dxa"/>
            <w:vAlign w:val="bottom"/>
          </w:tcPr>
          <w:p>
            <w:pPr>
              <w:spacing w:after="0"/>
              <w:rPr>
                <w:sz w:val="20"/>
                <w:szCs w:val="20"/>
                <w:color w:val="auto"/>
              </w:rPr>
            </w:pPr>
            <w:r>
              <w:rPr>
                <w:rFonts w:ascii="Arial" w:cs="Arial" w:eastAsia="Arial" w:hAnsi="Arial"/>
                <w:sz w:val="18"/>
                <w:szCs w:val="18"/>
                <w:color w:val="auto"/>
              </w:rPr>
              <w:t>Witness:</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Gundlach</w:t>
            </w:r>
          </w:p>
        </w:tc>
        <w:tc>
          <w:tcPr>
            <w:tcW w:w="900" w:type="dxa"/>
            <w:vAlign w:val="bottom"/>
          </w:tcPr>
          <w:p>
            <w:pPr>
              <w:ind w:left="3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S. Smerconish</w:t>
            </w:r>
          </w:p>
        </w:tc>
      </w:tr>
      <w:tr>
        <w:trPr>
          <w:trHeight w:val="230"/>
        </w:trPr>
        <w:tc>
          <w:tcPr>
            <w:tcW w:w="13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Robert W. Gundlach, Jr., Esquire</w:t>
            </w:r>
          </w:p>
        </w:tc>
        <w:tc>
          <w:tcPr>
            <w:tcW w:w="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Walter S. Smerconish,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Exhibit 12.1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Peter Gray, certify that:</w:t>
      </w:r>
    </w:p>
    <w:p>
      <w:pPr>
        <w:spacing w:after="0" w:line="252" w:lineRule="exact"/>
        <w:rPr>
          <w:sz w:val="20"/>
          <w:szCs w:val="20"/>
          <w:color w:val="auto"/>
        </w:rPr>
      </w:pPr>
    </w:p>
    <w:p>
      <w:pPr>
        <w:ind w:left="180" w:hanging="172"/>
        <w:spacing w:after="0"/>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900" w:hanging="4"/>
        <w:spacing w:after="0" w:line="342" w:lineRule="auto"/>
        <w:tabs>
          <w:tab w:leader="none" w:pos="84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480" w:hanging="4"/>
        <w:spacing w:after="0" w:line="342" w:lineRule="auto"/>
        <w:tabs>
          <w:tab w:leader="none" w:pos="85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0" w:lineRule="exact"/>
        <w:rPr>
          <w:rFonts w:ascii="Arial" w:cs="Arial" w:eastAsia="Arial" w:hAnsi="Arial"/>
          <w:sz w:val="16"/>
          <w:szCs w:val="16"/>
          <w:color w:val="auto"/>
        </w:rPr>
      </w:pPr>
    </w:p>
    <w:p>
      <w:pPr>
        <w:ind w:right="660" w:firstLine="8"/>
        <w:spacing w:after="0" w:line="308" w:lineRule="auto"/>
        <w:tabs>
          <w:tab w:leader="none" w:pos="1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80" w:firstLine="8"/>
        <w:spacing w:after="0" w:line="277" w:lineRule="auto"/>
        <w:tabs>
          <w:tab w:leader="none" w:pos="1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520" w:firstLine="8"/>
        <w:spacing w:after="0" w:line="277" w:lineRule="auto"/>
        <w:tabs>
          <w:tab w:leader="none" w:pos="1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9" w:name="page170"/>
    <w:bookmarkEnd w:id="169"/>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52" w:lineRule="exact"/>
        <w:rPr>
          <w:sz w:val="20"/>
          <w:szCs w:val="20"/>
          <w:color w:val="auto"/>
        </w:rPr>
      </w:pPr>
    </w:p>
    <w:p>
      <w:pPr>
        <w:ind w:left="180" w:hanging="172"/>
        <w:spacing w:after="0"/>
        <w:tabs>
          <w:tab w:leader="none" w:pos="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52"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firstLine="8"/>
        <w:spacing w:after="0" w:line="264" w:lineRule="auto"/>
        <w:tabs>
          <w:tab w:leader="none" w:pos="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hanging="4"/>
        <w:spacing w:after="0" w:line="264" w:lineRule="auto"/>
        <w:tabs>
          <w:tab w:leader="none" w:pos="84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20" w:hanging="4"/>
        <w:spacing w:after="0" w:line="264" w:lineRule="auto"/>
        <w:tabs>
          <w:tab w:leader="none" w:pos="85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460" w:hanging="4"/>
        <w:spacing w:after="0" w:line="342" w:lineRule="auto"/>
        <w:tabs>
          <w:tab w:leader="none" w:pos="85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50" w:lineRule="exact"/>
        <w:rPr>
          <w:rFonts w:ascii="Arial" w:cs="Arial" w:eastAsia="Arial" w:hAnsi="Arial"/>
          <w:sz w:val="16"/>
          <w:szCs w:val="16"/>
          <w:color w:val="auto"/>
        </w:rPr>
      </w:pPr>
    </w:p>
    <w:p>
      <w:pPr>
        <w:ind w:right="640" w:firstLine="8"/>
        <w:spacing w:after="0" w:line="308" w:lineRule="auto"/>
        <w:tabs>
          <w:tab w:leader="none" w:pos="1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260" w:firstLine="8"/>
        <w:spacing w:after="0" w:line="277" w:lineRule="auto"/>
        <w:tabs>
          <w:tab w:leader="none" w:pos="1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486" w:right="259" w:bottom="1440" w:gutter="0" w:footer="0" w:header="0"/>
        </w:sectPr>
      </w:pPr>
    </w:p>
    <w:bookmarkStart w:id="170" w:name="page171"/>
    <w:bookmarkEnd w:id="170"/>
    <w:p>
      <w:pPr>
        <w:ind w:left="10300"/>
        <w:spacing w:after="0"/>
        <w:rPr>
          <w:sz w:val="20"/>
          <w:szCs w:val="20"/>
          <w:color w:val="auto"/>
        </w:rPr>
      </w:pPr>
      <w:r>
        <w:rPr>
          <w:rFonts w:ascii="Arial" w:cs="Arial" w:eastAsia="Arial" w:hAnsi="Arial"/>
          <w:sz w:val="19"/>
          <w:szCs w:val="19"/>
          <w:b w:val="1"/>
          <w:bCs w:val="1"/>
          <w:color w:val="auto"/>
        </w:rPr>
        <w:t>Exhibit 12.2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2010 as filed with the Securities and Exchange Commission on the date hereof (the “Report”), I, Peter Gray, Chief Executive Officer of the Company, certify, pursuant to 18 U.S.C. § 1350, as adopted pursuant to §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22,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Gray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Gray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2010 as filed with the Securities and Exchange Commission on the date hereof (the “Report”), I, Ciaran Murray, Chief Financial Officer of the Company, certify, pursuant to 18 U.S.C. § 1350, as adopted pursuant to § 906 of the Sarbanes-Oxley Act of 2002, that to my knowledge:</w:t>
      </w:r>
    </w:p>
    <w:p>
      <w:pPr>
        <w:spacing w:after="0" w:line="208" w:lineRule="exact"/>
        <w:rPr>
          <w:sz w:val="20"/>
          <w:szCs w:val="20"/>
          <w:color w:val="auto"/>
        </w:rPr>
      </w:pPr>
    </w:p>
    <w:p>
      <w:pPr>
        <w:ind w:left="260" w:hanging="252"/>
        <w:spacing w:after="0"/>
        <w:tabs>
          <w:tab w:leader="none" w:pos="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22,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420"/>
          </w:cols>
          <w:pgMar w:left="240" w:top="756" w:right="239" w:bottom="1440" w:gutter="0" w:footer="0" w:header="0"/>
        </w:sectPr>
      </w:pPr>
    </w:p>
    <w:bookmarkStart w:id="172" w:name="page173"/>
    <w:bookmarkEnd w:id="172"/>
    <w:p>
      <w:pPr>
        <w:ind w:left="1048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(No. 333-152802) of ICON plc of our reports dated March 22, 2011, with respect to the consolidated balance sheets of ICON plc as of December 31, 2010 and 2009 and the related consolidated statements of operations, shareholders’ equity and comprehensive income, and cash flows for each of the years in the three-year period ended December 31, 2010, and the effectiveness of internal control over financial reporting as of December 31, 2010, which reports appear in the December 31, 2010 Annual Report on Form 20-F of ICON plc.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2011</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1)"/>
      <w:numFmt w:val="decimal"/>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o"/>
      <w:numFmt w:val="bullet"/>
      <w:start w:val="1"/>
    </w:lvl>
  </w:abstractNum>
  <w:abstractNum w:abstractNumId="5">
    <w:nsid w:val="8F2B15E"/>
    <w:multiLevelType w:val="hybridMultilevel"/>
    <w:lvl w:ilvl="0">
      <w:lvlJc w:val="left"/>
      <w:lvlText w:val="o"/>
      <w:numFmt w:val="bullet"/>
      <w:start w:val="1"/>
    </w:lvl>
  </w:abstractNum>
  <w:abstractNum w:abstractNumId="6">
    <w:nsid w:val="1A32234B"/>
    <w:multiLevelType w:val="hybridMultilevel"/>
    <w:lvl w:ilvl="0">
      <w:lvlJc w:val="left"/>
      <w:lvlText w:val="(%1)"/>
      <w:numFmt w:val="decimal"/>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1)"/>
      <w:numFmt w:val="decimal"/>
      <w:start w:val="1"/>
    </w:lvl>
  </w:abstractNum>
  <w:abstractNum w:abstractNumId="10">
    <w:nsid w:val="60B6DF70"/>
    <w:multiLevelType w:val="hybridMultilevel"/>
    <w:lvl w:ilvl="0">
      <w:lvlJc w:val="left"/>
      <w:lvlText w:val="(%1)"/>
      <w:numFmt w:val="decimal"/>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1)"/>
      <w:numFmt w:val="decimal"/>
      <w:start w:val="1"/>
    </w:lvl>
  </w:abstractNum>
  <w:abstractNum w:abstractNumId="22">
    <w:nsid w:val="76272110"/>
    <w:multiLevelType w:val="hybridMultilevel"/>
    <w:lvl w:ilvl="0">
      <w:lvlJc w:val="left"/>
      <w:lvlText w:val="(%1)"/>
      <w:numFmt w:val="lowerLetter"/>
      <w:start w:val="1"/>
    </w:lvl>
  </w:abstractNum>
  <w:abstractNum w:abstractNumId="23">
    <w:nsid w:val="4C04A8AF"/>
    <w:multiLevelType w:val="hybridMultilevel"/>
    <w:lvl w:ilvl="0">
      <w:lvlJc w:val="left"/>
      <w:lvlText w:val="(%1)"/>
      <w:numFmt w:val="lowerLetter"/>
      <w:start w:val="2"/>
    </w:lvl>
  </w:abstractNum>
  <w:abstractNum w:abstractNumId="24">
    <w:nsid w:val="1716703B"/>
    <w:multiLevelType w:val="hybridMultilevel"/>
    <w:lvl w:ilvl="0">
      <w:lvlJc w:val="left"/>
      <w:lvlText w:val="(%1)"/>
      <w:numFmt w:val="lowerLetter"/>
      <w:start w:val="3"/>
    </w:lvl>
  </w:abstractNum>
  <w:abstractNum w:abstractNumId="25">
    <w:nsid w:val="14E17E33"/>
    <w:multiLevelType w:val="hybridMultilevel"/>
    <w:lvl w:ilvl="0">
      <w:lvlJc w:val="left"/>
      <w:lvlText w:val="(%1)"/>
      <w:numFmt w:val="lowerLetter"/>
      <w:start w:val="4"/>
    </w:lvl>
  </w:abstractNum>
  <w:abstractNum w:abstractNumId="26">
    <w:nsid w:val="3222E7CD"/>
    <w:multiLevelType w:val="hybridMultilevel"/>
    <w:lvl w:ilvl="0">
      <w:lvlJc w:val="left"/>
      <w:lvlText w:val="(%1)"/>
      <w:numFmt w:val="lowerLetter"/>
      <w:start w:val="5"/>
    </w:lvl>
  </w:abstractNum>
  <w:abstractNum w:abstractNumId="27">
    <w:nsid w:val="74DE0EE3"/>
    <w:multiLevelType w:val="hybridMultilevel"/>
    <w:lvl w:ilvl="0">
      <w:lvlJc w:val="left"/>
      <w:lvlText w:val="(%1)"/>
      <w:numFmt w:val="lowerLetter"/>
      <w:start w:val="6"/>
    </w:lvl>
  </w:abstractNum>
  <w:abstractNum w:abstractNumId="28">
    <w:nsid w:val="68EBC550"/>
    <w:multiLevelType w:val="hybridMultilevel"/>
    <w:lvl w:ilvl="0">
      <w:lvlJc w:val="left"/>
      <w:lvlText w:val="(%1)"/>
      <w:numFmt w:val="lowerLetter"/>
      <w:start w:val="7"/>
    </w:lvl>
  </w:abstractNum>
  <w:abstractNum w:abstractNumId="29">
    <w:nsid w:val="2DF6D648"/>
    <w:multiLevelType w:val="hybridMultilevel"/>
    <w:lvl w:ilvl="0">
      <w:lvlJc w:val="left"/>
      <w:lvlText w:val="(%1)"/>
      <w:numFmt w:val="lowerLetter"/>
      <w:start w:val="8"/>
    </w:lvl>
  </w:abstractNum>
  <w:abstractNum w:abstractNumId="30">
    <w:nsid w:val="46B7D447"/>
    <w:multiLevelType w:val="hybridMultilevel"/>
    <w:lvl w:ilvl="0">
      <w:lvlJc w:val="left"/>
      <w:lvlText w:val="(%1)"/>
      <w:numFmt w:val="lowerRoman"/>
      <w:start w:val="1"/>
    </w:lvl>
  </w:abstractNum>
  <w:abstractNum w:abstractNumId="31">
    <w:nsid w:val="4A2AC315"/>
    <w:multiLevelType w:val="hybridMultilevel"/>
    <w:lvl w:ilvl="0">
      <w:lvlJc w:val="left"/>
      <w:lvlText w:val="(%1)"/>
      <w:numFmt w:val="lowerLetter"/>
      <w:start w:val="10"/>
    </w:lvl>
  </w:abstractNum>
  <w:abstractNum w:abstractNumId="32">
    <w:nsid w:val="39EE015C"/>
    <w:multiLevelType w:val="hybridMultilevel"/>
    <w:lvl w:ilvl="0">
      <w:lvlJc w:val="left"/>
      <w:lvlText w:val="(%1)"/>
      <w:numFmt w:val="lowerLetter"/>
      <w:start w:val="11"/>
    </w:lvl>
  </w:abstractNum>
  <w:abstractNum w:abstractNumId="33">
    <w:nsid w:val="57FC4FBB"/>
    <w:multiLevelType w:val="hybridMultilevel"/>
    <w:lvl w:ilvl="0">
      <w:lvlJc w:val="left"/>
      <w:lvlText w:val="(%1)"/>
      <w:numFmt w:val="lowerLetter"/>
      <w:start w:val="12"/>
    </w:lvl>
  </w:abstractNum>
  <w:abstractNum w:abstractNumId="34">
    <w:nsid w:val="CC1016F"/>
    <w:multiLevelType w:val="hybridMultilevel"/>
    <w:lvl w:ilvl="0">
      <w:lvlJc w:val="left"/>
      <w:lvlText w:val="(%1)"/>
      <w:numFmt w:val="lowerLetter"/>
      <w:start w:val="13"/>
    </w:lvl>
  </w:abstractNum>
  <w:abstractNum w:abstractNumId="35">
    <w:nsid w:val="43F18422"/>
    <w:multiLevelType w:val="hybridMultilevel"/>
    <w:lvl w:ilvl="0">
      <w:lvlJc w:val="left"/>
      <w:lvlText w:val="(%1)"/>
      <w:numFmt w:val="lowerLetter"/>
      <w:start w:val="14"/>
    </w:lvl>
  </w:abstractNum>
  <w:abstractNum w:abstractNumId="36">
    <w:nsid w:val="60EF0119"/>
    <w:multiLevelType w:val="hybridMultilevel"/>
    <w:lvl w:ilvl="0">
      <w:lvlJc w:val="left"/>
      <w:lvlText w:val="(%1)"/>
      <w:numFmt w:val="lowerLetter"/>
      <w:start w:val="15"/>
    </w:lvl>
  </w:abstractNum>
  <w:abstractNum w:abstractNumId="37">
    <w:nsid w:val="26F324BA"/>
    <w:multiLevelType w:val="hybridMultilevel"/>
    <w:lvl w:ilvl="0">
      <w:lvlJc w:val="left"/>
      <w:lvlText w:val="(%1)"/>
      <w:numFmt w:val="lowerLetter"/>
      <w:start w:val="16"/>
    </w:lvl>
  </w:abstractNum>
  <w:abstractNum w:abstractNumId="38">
    <w:nsid w:val="7F01579B"/>
    <w:multiLevelType w:val="hybridMultilevel"/>
    <w:lvl w:ilvl="0">
      <w:lvlJc w:val="left"/>
      <w:lvlText w:val="(%1)"/>
      <w:numFmt w:val="lowerLetter"/>
      <w:start w:val="17"/>
    </w:lvl>
  </w:abstractNum>
  <w:abstractNum w:abstractNumId="39">
    <w:nsid w:val="49DA307D"/>
    <w:multiLevelType w:val="hybridMultilevel"/>
    <w:lvl w:ilvl="0">
      <w:lvlJc w:val="left"/>
      <w:lvlText w:val="(%1)"/>
      <w:numFmt w:val="lowerLetter"/>
      <w:start w:val="18"/>
    </w:lvl>
  </w:abstractNum>
  <w:abstractNum w:abstractNumId="40">
    <w:nsid w:val="7055A5F5"/>
    <w:multiLevelType w:val="hybridMultilevel"/>
    <w:lvl w:ilvl="0">
      <w:lvlJc w:val="left"/>
      <w:lvlText w:val="(%1)"/>
      <w:numFmt w:val="lowerLetter"/>
      <w:start w:val="19"/>
    </w:lvl>
  </w:abstractNum>
  <w:abstractNum w:abstractNumId="41">
    <w:nsid w:val="5FB8370B"/>
    <w:multiLevelType w:val="hybridMultilevel"/>
    <w:lvl w:ilvl="0">
      <w:lvlJc w:val="left"/>
      <w:lvlText w:val="(%1)"/>
      <w:numFmt w:val="lowerLetter"/>
      <w:start w:val="20"/>
    </w:lvl>
  </w:abstractNum>
  <w:abstractNum w:abstractNumId="42">
    <w:nsid w:val="50801EE1"/>
    <w:multiLevelType w:val="hybridMultilevel"/>
    <w:lvl w:ilvl="0">
      <w:lvlJc w:val="left"/>
      <w:lvlText w:val="(%1)"/>
      <w:numFmt w:val="lowerRoman"/>
      <w:start w:val="5"/>
    </w:lvl>
  </w:abstractNum>
  <w:abstractNum w:abstractNumId="43">
    <w:nsid w:val="488AC1A"/>
    <w:multiLevelType w:val="hybridMultilevel"/>
    <w:lvl w:ilvl="0">
      <w:lvlJc w:val="left"/>
      <w:lvlText w:val="(%1)"/>
      <w:numFmt w:val="lowerLetter"/>
      <w:start w:val="23"/>
    </w:lvl>
  </w:abstractNum>
  <w:abstractNum w:abstractNumId="44">
    <w:nsid w:val="5FB8011C"/>
    <w:multiLevelType w:val="hybridMultilevel"/>
    <w:lvl w:ilvl="0">
      <w:lvlJc w:val="left"/>
      <w:lvlText w:val="%1)"/>
      <w:numFmt w:val="lowerLetter"/>
      <w:start w:val="2"/>
    </w:lvl>
  </w:abstractNum>
  <w:abstractNum w:abstractNumId="45">
    <w:nsid w:val="6AA78F7F"/>
    <w:multiLevelType w:val="hybridMultilevel"/>
    <w:lvl w:ilvl="0">
      <w:lvlJc w:val="left"/>
      <w:lvlText w:val="%1)"/>
      <w:numFmt w:val="lowerLetter"/>
      <w:start w:val="13"/>
    </w:lvl>
    <w:lvl w:ilvl="1">
      <w:lvlJc w:val="left"/>
      <w:lvlText w:val="●"/>
      <w:numFmt w:val="bullet"/>
      <w:start w:val="1"/>
    </w:lvl>
  </w:abstractNum>
  <w:abstractNum w:abstractNumId="46">
    <w:nsid w:val="7672BD23"/>
    <w:multiLevelType w:val="hybridMultilevel"/>
    <w:lvl w:ilvl="0">
      <w:lvlJc w:val="left"/>
      <w:lvlText w:val="%1."/>
      <w:numFmt w:val="decimal"/>
      <w:start w:val="1"/>
    </w:lvl>
  </w:abstractNum>
  <w:abstractNum w:abstractNumId="47">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8">
    <w:nsid w:val="6A5F7029"/>
    <w:multiLevelType w:val="hybridMultilevel"/>
    <w:lvl w:ilvl="0">
      <w:lvlJc w:val="left"/>
      <w:lvlText w:val="%1"/>
      <w:numFmt w:val="decimal"/>
      <w:start w:val="1"/>
    </w:lvl>
    <w:lvl w:ilvl="1">
      <w:lvlJc w:val="left"/>
      <w:lvlText w:val="(%2)"/>
      <w:numFmt w:val="lowerLetter"/>
      <w:start w:val="3"/>
    </w:lvl>
  </w:abstractNum>
  <w:abstractNum w:abstractNumId="49">
    <w:nsid w:val="7D5E18F8"/>
    <w:multiLevelType w:val="hybridMultilevel"/>
    <w:lvl w:ilvl="0">
      <w:lvlJc w:val="left"/>
      <w:lvlText w:val="(%1)"/>
      <w:numFmt w:val="decimal"/>
      <w:start w:val="2"/>
    </w:lvl>
    <w:lvl w:ilvl="1">
      <w:lvlJc w:val="left"/>
      <w:lvlText w:val="%2"/>
      <w:numFmt w:val="lowerLetter"/>
      <w:start w:val="1"/>
    </w:lvl>
  </w:abstractNum>
  <w:abstractNum w:abstractNumId="50">
    <w:nsid w:val="5F3534A4"/>
    <w:multiLevelType w:val="hybridMultilevel"/>
    <w:lvl w:ilvl="0">
      <w:lvlJc w:val="left"/>
      <w:lvlText w:val="(%1)"/>
      <w:numFmt w:val="decimal"/>
      <w:start w:val="8"/>
    </w:lvl>
  </w:abstractNum>
  <w:abstractNum w:abstractNumId="51">
    <w:nsid w:val="73A1821B"/>
    <w:multiLevelType w:val="hybridMultilevel"/>
    <w:lvl w:ilvl="0">
      <w:lvlJc w:val="left"/>
      <w:lvlText w:val="(%1)"/>
      <w:numFmt w:val="decimal"/>
      <w:start w:val="17"/>
    </w:lvl>
  </w:abstractNum>
  <w:abstractNum w:abstractNumId="52">
    <w:nsid w:val="7DE67713"/>
    <w:multiLevelType w:val="hybridMultilevel"/>
    <w:lvl w:ilvl="0">
      <w:lvlJc w:val="left"/>
      <w:lvlText w:val="(%1)"/>
      <w:numFmt w:val="decimal"/>
      <w:start w:val="25"/>
    </w:lvl>
  </w:abstractNum>
  <w:abstractNum w:abstractNumId="53">
    <w:nsid w:val="555C55B5"/>
    <w:multiLevelType w:val="hybridMultilevel"/>
    <w:lvl w:ilvl="0">
      <w:lvlJc w:val="left"/>
      <w:lvlText w:val="%1."/>
      <w:numFmt w:val="decimal"/>
      <w:start w:val="4"/>
    </w:lvl>
  </w:abstractNum>
  <w:abstractNum w:abstractNumId="54">
    <w:nsid w:val="3FA62ACA"/>
    <w:multiLevelType w:val="hybridMultilevel"/>
    <w:lvl w:ilvl="0">
      <w:lvlJc w:val="left"/>
      <w:lvlText w:val="%1."/>
      <w:numFmt w:val="decimal"/>
      <w:start w:val="123"/>
    </w:lvl>
  </w:abstractNum>
  <w:abstractNum w:abstractNumId="55">
    <w:nsid w:val="14FCE74E"/>
    <w:multiLevelType w:val="hybridMultilevel"/>
    <w:lvl w:ilvl="0">
      <w:lvlJc w:val="left"/>
      <w:lvlText w:val="%1."/>
      <w:numFmt w:val="decimal"/>
      <w:start w:val="126"/>
    </w:lvl>
  </w:abstractNum>
  <w:abstractNum w:abstractNumId="56">
    <w:nsid w:val="6A3DD3E8"/>
    <w:multiLevelType w:val="hybridMultilevel"/>
    <w:lvl w:ilvl="0">
      <w:lvlJc w:val="left"/>
      <w:lvlText w:val="%1."/>
      <w:numFmt w:val="decimal"/>
      <w:start w:val="133"/>
    </w:lvl>
  </w:abstractNum>
  <w:abstractNum w:abstractNumId="57">
    <w:nsid w:val="71C91298"/>
    <w:multiLevelType w:val="hybridMultilevel"/>
    <w:lvl w:ilvl="0">
      <w:lvlJc w:val="left"/>
      <w:lvlText w:val="%1."/>
      <w:numFmt w:val="decimal"/>
      <w:start w:val="136"/>
    </w:lvl>
  </w:abstractNum>
  <w:abstractNum w:abstractNumId="58">
    <w:nsid w:val="9DAF632"/>
    <w:multiLevelType w:val="hybridMultilevel"/>
    <w:lvl w:ilvl="0">
      <w:lvlJc w:val="left"/>
      <w:lvlText w:val="%1."/>
      <w:numFmt w:val="decimal"/>
      <w:start w:val="138"/>
    </w:lvl>
  </w:abstractNum>
  <w:abstractNum w:abstractNumId="59">
    <w:nsid w:val="53299938"/>
    <w:multiLevelType w:val="hybridMultilevel"/>
    <w:lvl w:ilvl="0">
      <w:lvlJc w:val="left"/>
      <w:lvlText w:val="%1."/>
      <w:numFmt w:val="decimal"/>
      <w:start w:val="1"/>
    </w:lvl>
    <w:lvl w:ilvl="1">
      <w:lvlJc w:val="left"/>
      <w:lvlText w:val="(%2)"/>
      <w:numFmt w:val="lowerLetter"/>
      <w:start w:val="1"/>
    </w:lvl>
  </w:abstractNum>
  <w:abstractNum w:abstractNumId="60">
    <w:nsid w:val="1FBFE8E0"/>
    <w:multiLevelType w:val="hybridMultilevel"/>
    <w:lvl w:ilvl="0">
      <w:lvlJc w:val="left"/>
      <w:lvlText w:val="(%1)"/>
      <w:numFmt w:val="lowerLetter"/>
      <w:start w:val="3"/>
    </w:lvl>
  </w:abstractNum>
  <w:abstractNum w:abstractNumId="61">
    <w:nsid w:val="5092CA79"/>
    <w:multiLevelType w:val="hybridMultilevel"/>
    <w:lvl w:ilvl="0">
      <w:lvlJc w:val="left"/>
      <w:lvlText w:val="%1."/>
      <w:numFmt w:val="decimal"/>
      <w:start w:val="2"/>
    </w:lvl>
    <w:lvl w:ilvl="1">
      <w:lvlJc w:val="left"/>
      <w:lvlText w:val="(%2)"/>
      <w:numFmt w:val="lowerLetter"/>
      <w:start w:val="1"/>
    </w:lvl>
  </w:abstractNum>
  <w:abstractNum w:abstractNumId="62">
    <w:nsid w:val="1D545C4D"/>
    <w:multiLevelType w:val="hybridMultilevel"/>
    <w:lvl w:ilvl="0">
      <w:lvlJc w:val="left"/>
      <w:lvlText w:val="(%1)"/>
      <w:numFmt w:val="lowerLetter"/>
      <w:start w:val="2"/>
    </w:lvl>
    <w:lvl w:ilvl="1">
      <w:lvlJc w:val="left"/>
      <w:lvlText w:val="(%2)"/>
      <w:numFmt w:val="lowerLetter"/>
      <w:start w:val="9"/>
    </w:lvl>
  </w:abstractNum>
  <w:abstractNum w:abstractNumId="63">
    <w:nsid w:val="59ADEA3D"/>
    <w:multiLevelType w:val="hybridMultilevel"/>
    <w:lvl w:ilvl="0">
      <w:lvlJc w:val="left"/>
      <w:lvlText w:val="%1"/>
      <w:numFmt w:val="decimal"/>
      <w:start w:val="1"/>
    </w:lvl>
    <w:lvl w:ilvl="1">
      <w:lvlJc w:val="left"/>
      <w:lvlText w:val="(%2)"/>
      <w:numFmt w:val="lowerLetter"/>
      <w:start w:val="6"/>
    </w:lvl>
  </w:abstractNum>
  <w:abstractNum w:abstractNumId="64">
    <w:nsid w:val="288F1A34"/>
    <w:multiLevelType w:val="hybridMultilevel"/>
    <w:lvl w:ilvl="0">
      <w:lvlJc w:val="left"/>
      <w:lvlText w:val="%1."/>
      <w:numFmt w:val="decimal"/>
      <w:start w:val="8"/>
    </w:lvl>
    <w:lvl w:ilvl="1">
      <w:lvlJc w:val="left"/>
      <w:lvlText w:val="(%2)"/>
      <w:numFmt w:val="lowerLetter"/>
      <w:start w:val="1"/>
    </w:lvl>
  </w:abstractNum>
  <w:abstractNum w:abstractNumId="65">
    <w:nsid w:val="2A155DBC"/>
    <w:multiLevelType w:val="hybridMultilevel"/>
    <w:lvl w:ilvl="0">
      <w:lvlJc w:val="left"/>
      <w:lvlText w:val="%1."/>
      <w:numFmt w:val="decimal"/>
      <w:start w:val="10"/>
    </w:lvl>
  </w:abstractNum>
  <w:abstractNum w:abstractNumId="66">
    <w:nsid w:val="1D9F6E5F"/>
    <w:multiLevelType w:val="hybridMultilevel"/>
    <w:lvl w:ilvl="0">
      <w:lvlJc w:val="left"/>
      <w:lvlText w:val="%1."/>
      <w:numFmt w:val="decimal"/>
      <w:start w:val="11"/>
    </w:lvl>
    <w:lvl w:ilvl="1">
      <w:lvlJc w:val="left"/>
      <w:lvlText w:val="(%2)"/>
      <w:numFmt w:val="lowerLetter"/>
      <w:start w:val="1"/>
    </w:lvl>
  </w:abstractNum>
  <w:abstractNum w:abstractNumId="67">
    <w:nsid w:val="97E1B4E"/>
    <w:multiLevelType w:val="hybridMultilevel"/>
    <w:lvl w:ilvl="0">
      <w:lvlJc w:val="left"/>
      <w:lvlText w:val="%1."/>
      <w:numFmt w:val="decimal"/>
      <w:start w:val="14"/>
    </w:lvl>
  </w:abstractNum>
  <w:abstractNum w:abstractNumId="68">
    <w:nsid w:val="51088277"/>
    <w:multiLevelType w:val="hybridMultilevel"/>
    <w:lvl w:ilvl="0">
      <w:lvlJc w:val="left"/>
      <w:lvlText w:val="%1."/>
      <w:numFmt w:val="decimal"/>
      <w:start w:val="18"/>
    </w:lvl>
  </w:abstractNum>
  <w:abstractNum w:abstractNumId="69">
    <w:nsid w:val="1CA0C5FA"/>
    <w:multiLevelType w:val="hybridMultilevel"/>
    <w:lvl w:ilvl="0">
      <w:lvlJc w:val="left"/>
      <w:lvlText w:val="%1."/>
      <w:numFmt w:val="decimal"/>
      <w:start w:val="19"/>
    </w:lvl>
    <w:lvl w:ilvl="1">
      <w:lvlJc w:val="left"/>
      <w:lvlText w:val="(%2)"/>
      <w:numFmt w:val="lowerLetter"/>
      <w:start w:val="1"/>
    </w:lvl>
  </w:abstractNum>
  <w:abstractNum w:abstractNumId="70">
    <w:nsid w:val="53584BCB"/>
    <w:multiLevelType w:val="hybridMultilevel"/>
    <w:lvl w:ilvl="0">
      <w:lvlJc w:val="left"/>
      <w:lvlText w:val="%1"/>
      <w:numFmt w:val="decimal"/>
      <w:start w:val="1"/>
    </w:lvl>
    <w:lvl w:ilvl="1">
      <w:lvlJc w:val="left"/>
      <w:lvlText w:val="(%2)"/>
      <w:numFmt w:val="lowerLetter"/>
      <w:start w:val="3"/>
    </w:lvl>
  </w:abstractNum>
  <w:abstractNum w:abstractNumId="71">
    <w:nsid w:val="415E286C"/>
    <w:multiLevelType w:val="hybridMultilevel"/>
    <w:lvl w:ilvl="0">
      <w:lvlJc w:val="left"/>
      <w:lvlText w:val="%1."/>
      <w:numFmt w:val="decimal"/>
      <w:start w:val="26"/>
    </w:lvl>
    <w:lvl w:ilvl="1">
      <w:lvlJc w:val="left"/>
      <w:lvlText w:val="%2"/>
      <w:numFmt w:val="lowerLetter"/>
      <w:start w:val="1"/>
    </w:lvl>
  </w:abstractNum>
  <w:abstractNum w:abstractNumId="72">
    <w:nsid w:val="7C58FD05"/>
    <w:multiLevelType w:val="hybridMultilevel"/>
    <w:lvl w:ilvl="0">
      <w:lvlJc w:val="left"/>
      <w:lvlText w:val="%1."/>
      <w:numFmt w:val="decimal"/>
      <w:start w:val="30"/>
    </w:lvl>
    <w:lvl w:ilvl="1">
      <w:lvlJc w:val="left"/>
      <w:lvlText w:val="(%2)"/>
      <w:numFmt w:val="lowerLetter"/>
      <w:start w:val="1"/>
    </w:lvl>
  </w:abstractNum>
  <w:abstractNum w:abstractNumId="73">
    <w:nsid w:val="23D86AAC"/>
    <w:multiLevelType w:val="hybridMultilevel"/>
    <w:lvl w:ilvl="0">
      <w:lvlJc w:val="left"/>
      <w:lvlText w:val="%1."/>
      <w:numFmt w:val="decimal"/>
      <w:start w:val="33"/>
    </w:lvl>
    <w:lvl w:ilvl="1">
      <w:lvlJc w:val="left"/>
      <w:lvlText w:val="(%2)"/>
      <w:numFmt w:val="lowerLetter"/>
      <w:start w:val="1"/>
    </w:lvl>
  </w:abstractNum>
  <w:abstractNum w:abstractNumId="74">
    <w:nsid w:val="45E6D48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5C10FE21"/>
    <w:multiLevelType w:val="hybridMultilevel"/>
    <w:lvl w:ilvl="0">
      <w:lvlJc w:val="left"/>
      <w:lvlText w:val="%1."/>
      <w:numFmt w:val="decimal"/>
      <w:start w:val="36"/>
    </w:lvl>
    <w:lvl w:ilvl="1">
      <w:lvlJc w:val="left"/>
      <w:lvlText w:val="%2"/>
      <w:numFmt w:val="lowerLetter"/>
      <w:start w:val="1"/>
    </w:lvl>
    <w:lvl w:ilvl="2">
      <w:lvlJc w:val="left"/>
      <w:lvlText w:val="%3"/>
      <w:numFmt w:val="lowerRoman"/>
      <w:start w:val="1"/>
    </w:lvl>
  </w:abstractNum>
  <w:abstractNum w:abstractNumId="76">
    <w:nsid w:val="E7FFA2B"/>
    <w:multiLevelType w:val="hybridMultilevel"/>
    <w:lvl w:ilvl="0">
      <w:lvlJc w:val="left"/>
      <w:lvlText w:val="%1."/>
      <w:numFmt w:val="decimal"/>
      <w:start w:val="39"/>
    </w:lvl>
  </w:abstractNum>
  <w:abstractNum w:abstractNumId="77">
    <w:nsid w:val="3C5991AA"/>
    <w:multiLevelType w:val="hybridMultilevel"/>
    <w:lvl w:ilvl="0">
      <w:lvlJc w:val="left"/>
      <w:lvlText w:val="%1."/>
      <w:numFmt w:val="decimal"/>
      <w:start w:val="41"/>
    </w:lvl>
    <w:lvl w:ilvl="1">
      <w:lvlJc w:val="left"/>
      <w:lvlText w:val="(%2)"/>
      <w:numFmt w:val="lowerLetter"/>
      <w:start w:val="1"/>
    </w:lvl>
  </w:abstractNum>
  <w:abstractNum w:abstractNumId="78">
    <w:nsid w:val="4BD8591A"/>
    <w:multiLevelType w:val="hybridMultilevel"/>
    <w:lvl w:ilvl="0">
      <w:lvlJc w:val="left"/>
      <w:lvlText w:val="%1."/>
      <w:numFmt w:val="decimal"/>
      <w:start w:val="42"/>
    </w:lvl>
  </w:abstractNum>
  <w:abstractNum w:abstractNumId="79">
    <w:nsid w:val="78DF6A55"/>
    <w:multiLevelType w:val="hybridMultilevel"/>
    <w:lvl w:ilvl="0">
      <w:lvlJc w:val="left"/>
      <w:lvlText w:val="%1."/>
      <w:numFmt w:val="decimal"/>
      <w:start w:val="44"/>
    </w:lvl>
  </w:abstractNum>
  <w:abstractNum w:abstractNumId="80">
    <w:nsid w:val="39B7AAA2"/>
    <w:multiLevelType w:val="hybridMultilevel"/>
    <w:lvl w:ilvl="0">
      <w:lvlJc w:val="left"/>
      <w:lvlText w:val="%1."/>
      <w:numFmt w:val="decimal"/>
      <w:start w:val="45"/>
    </w:lvl>
    <w:lvl w:ilvl="1">
      <w:lvlJc w:val="left"/>
      <w:lvlText w:val="(%2)"/>
      <w:numFmt w:val="lowerLetter"/>
      <w:start w:val="1"/>
    </w:lvl>
  </w:abstractNum>
  <w:abstractNum w:abstractNumId="81">
    <w:nsid w:val="2B0D8DBE"/>
    <w:multiLevelType w:val="hybridMultilevel"/>
    <w:lvl w:ilvl="0">
      <w:lvlJc w:val="left"/>
      <w:lvlText w:val="%1."/>
      <w:numFmt w:val="decimal"/>
      <w:start w:val="47"/>
    </w:lvl>
  </w:abstractNum>
  <w:abstractNum w:abstractNumId="82">
    <w:nsid w:val="6C80EC70"/>
    <w:multiLevelType w:val="hybridMultilevel"/>
    <w:lvl w:ilvl="0">
      <w:lvlJc w:val="left"/>
      <w:lvlText w:val="%1."/>
      <w:numFmt w:val="decimal"/>
      <w:start w:val="50"/>
    </w:lvl>
  </w:abstractNum>
  <w:abstractNum w:abstractNumId="83">
    <w:nsid w:val="379E21B5"/>
    <w:multiLevelType w:val="hybridMultilevel"/>
    <w:lvl w:ilvl="0">
      <w:lvlJc w:val="left"/>
      <w:lvlText w:val="%1."/>
      <w:numFmt w:val="decimal"/>
      <w:start w:val="53"/>
    </w:lvl>
    <w:lvl w:ilvl="1">
      <w:lvlJc w:val="left"/>
      <w:lvlText w:val="(%2)"/>
      <w:numFmt w:val="lowerLetter"/>
      <w:start w:val="1"/>
    </w:lvl>
  </w:abstractNum>
  <w:abstractNum w:abstractNumId="84">
    <w:nsid w:val="69E373"/>
    <w:multiLevelType w:val="hybridMultilevel"/>
    <w:lvl w:ilvl="0">
      <w:lvlJc w:val="left"/>
      <w:lvlText w:val="%1."/>
      <w:numFmt w:val="decimal"/>
      <w:start w:val="54"/>
    </w:lvl>
    <w:lvl w:ilvl="1">
      <w:lvlJc w:val="left"/>
      <w:lvlText w:val="(%2)"/>
      <w:numFmt w:val="lowerLetter"/>
      <w:start w:val="1"/>
    </w:lvl>
  </w:abstractNum>
  <w:abstractNum w:abstractNumId="85">
    <w:nsid w:val="2C27173B"/>
    <w:multiLevelType w:val="hybridMultilevel"/>
    <w:lvl w:ilvl="0">
      <w:lvlJc w:val="left"/>
      <w:lvlText w:val="%1."/>
      <w:numFmt w:val="decimal"/>
      <w:start w:val="57"/>
    </w:lvl>
    <w:lvl w:ilvl="1">
      <w:lvlJc w:val="left"/>
      <w:lvlText w:val="(%2)"/>
      <w:numFmt w:val="lowerLetter"/>
      <w:start w:val="1"/>
    </w:lvl>
  </w:abstractNum>
  <w:abstractNum w:abstractNumId="86">
    <w:nsid w:val="4C9B090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7">
    <w:nsid w:val="6AA7B75C"/>
    <w:multiLevelType w:val="hybridMultilevel"/>
    <w:lvl w:ilvl="0">
      <w:lvlJc w:val="left"/>
      <w:lvlText w:val="%1."/>
      <w:numFmt w:val="decimal"/>
      <w:start w:val="62"/>
    </w:lvl>
    <w:lvl w:ilvl="1">
      <w:lvlJc w:val="left"/>
      <w:lvlText w:val="(%2)"/>
      <w:numFmt w:val="lowerLetter"/>
      <w:start w:val="1"/>
    </w:lvl>
    <w:lvl w:ilvl="2">
      <w:lvlJc w:val="left"/>
      <w:lvlText w:val="(%3)"/>
      <w:numFmt w:val="lowerLetter"/>
      <w:start w:val="1"/>
    </w:lvl>
  </w:abstractNum>
  <w:abstractNum w:abstractNumId="88">
    <w:nsid w:val="1DF029D3"/>
    <w:multiLevelType w:val="hybridMultilevel"/>
    <w:lvl w:ilvl="0">
      <w:lvlJc w:val="left"/>
      <w:lvlText w:val="%1."/>
      <w:numFmt w:val="decimal"/>
      <w:start w:val="65"/>
    </w:lvl>
    <w:lvl w:ilvl="1">
      <w:lvlJc w:val="left"/>
      <w:lvlText w:val="(%2)"/>
      <w:numFmt w:val="lowerLetter"/>
      <w:start w:val="1"/>
    </w:lvl>
    <w:lvl w:ilvl="2">
      <w:lvlJc w:val="left"/>
      <w:lvlText w:val="(%3)"/>
      <w:numFmt w:val="lowerRoman"/>
      <w:start w:val="1"/>
    </w:lvl>
  </w:abstractNum>
  <w:abstractNum w:abstractNumId="89">
    <w:nsid w:val="5675FF3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0">
    <w:nsid w:val="3DD15094"/>
    <w:multiLevelType w:val="hybridMultilevel"/>
    <w:lvl w:ilvl="0">
      <w:lvlJc w:val="left"/>
      <w:lvlText w:val="%1."/>
      <w:numFmt w:val="decimal"/>
      <w:start w:val="69"/>
    </w:lvl>
    <w:lvl w:ilvl="1">
      <w:lvlJc w:val="left"/>
      <w:lvlText w:val="%2"/>
      <w:numFmt w:val="lowerLetter"/>
      <w:start w:val="1"/>
    </w:lvl>
    <w:lvl w:ilvl="2">
      <w:lvlJc w:val="left"/>
      <w:lvlText w:val="%3"/>
      <w:numFmt w:val="lowerRoman"/>
      <w:start w:val="1"/>
    </w:lvl>
  </w:abstractNum>
  <w:abstractNum w:abstractNumId="91">
    <w:nsid w:val="3DB012B3"/>
    <w:multiLevelType w:val="hybridMultilevel"/>
    <w:lvl w:ilvl="0">
      <w:lvlJc w:val="left"/>
      <w:lvlText w:val="%1."/>
      <w:numFmt w:val="decimal"/>
      <w:start w:val="71"/>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92">
    <w:nsid w:val="2708C9AF"/>
    <w:multiLevelType w:val="hybridMultilevel"/>
    <w:lvl w:ilvl="0">
      <w:lvlJc w:val="left"/>
      <w:lvlText w:val="%1."/>
      <w:numFmt w:val="decimal"/>
      <w:start w:val="73"/>
    </w:lvl>
    <w:lvl w:ilvl="1">
      <w:lvlJc w:val="left"/>
      <w:lvlText w:val="%2)"/>
      <w:numFmt w:val="lowerLetter"/>
      <w:start w:val="1"/>
    </w:lvl>
    <w:lvl w:ilvl="2">
      <w:lvlJc w:val="left"/>
      <w:lvlText w:val="%3)"/>
      <w:numFmt w:val="lowerLetter"/>
      <w:start w:val="2"/>
    </w:lvl>
  </w:abstractNum>
  <w:abstractNum w:abstractNumId="93">
    <w:nsid w:val="5B25ACE2"/>
    <w:multiLevelType w:val="hybridMultilevel"/>
    <w:lvl w:ilvl="0">
      <w:lvlJc w:val="left"/>
      <w:lvlText w:val="%1."/>
      <w:numFmt w:val="decimal"/>
      <w:start w:val="75"/>
    </w:lvl>
    <w:lvl w:ilvl="1">
      <w:lvlJc w:val="left"/>
      <w:lvlText w:val="(%2)"/>
      <w:numFmt w:val="lowerLetter"/>
      <w:start w:val="1"/>
    </w:lvl>
  </w:abstractNum>
  <w:abstractNum w:abstractNumId="94">
    <w:nsid w:val="175DFCF0"/>
    <w:multiLevelType w:val="hybridMultilevel"/>
    <w:lvl w:ilvl="0">
      <w:lvlJc w:val="left"/>
      <w:lvlText w:val="%1."/>
      <w:numFmt w:val="decimal"/>
      <w:start w:val="79"/>
    </w:lvl>
    <w:lvl w:ilvl="1">
      <w:lvlJc w:val="left"/>
      <w:lvlText w:val="(%2)"/>
      <w:numFmt w:val="lowerLetter"/>
      <w:start w:val="1"/>
    </w:lvl>
  </w:abstractNum>
  <w:abstractNum w:abstractNumId="95">
    <w:nsid w:val="4F97E3E4"/>
    <w:multiLevelType w:val="hybridMultilevel"/>
    <w:lvl w:ilvl="0">
      <w:lvlJc w:val="left"/>
      <w:lvlText w:val="%1."/>
      <w:numFmt w:val="decimal"/>
      <w:start w:val="81"/>
    </w:lvl>
  </w:abstractNum>
  <w:abstractNum w:abstractNumId="96">
    <w:nsid w:val="53B0A9E"/>
    <w:multiLevelType w:val="hybridMultilevel"/>
    <w:lvl w:ilvl="0">
      <w:lvlJc w:val="left"/>
      <w:lvlText w:val="%1."/>
      <w:numFmt w:val="decimal"/>
      <w:start w:val="82"/>
    </w:lvl>
  </w:abstractNum>
  <w:abstractNum w:abstractNumId="97">
    <w:nsid w:val="34FD6B4F"/>
    <w:multiLevelType w:val="hybridMultilevel"/>
    <w:lvl w:ilvl="0">
      <w:lvlJc w:val="left"/>
      <w:lvlText w:val="%1."/>
      <w:numFmt w:val="decimal"/>
      <w:start w:val="86"/>
    </w:lvl>
  </w:abstractNum>
  <w:abstractNum w:abstractNumId="98">
    <w:nsid w:val="5915FF32"/>
    <w:multiLevelType w:val="hybridMultilevel"/>
    <w:lvl w:ilvl="0">
      <w:lvlJc w:val="left"/>
      <w:lvlText w:val="%1."/>
      <w:numFmt w:val="decimal"/>
      <w:start w:val="88"/>
    </w:lvl>
    <w:lvl w:ilvl="1">
      <w:lvlJc w:val="left"/>
      <w:lvlText w:val="(%2)"/>
      <w:numFmt w:val="lowerLetter"/>
      <w:start w:val="2"/>
    </w:lvl>
    <w:lvl w:ilvl="2">
      <w:lvlJc w:val="left"/>
      <w:lvlText w:val="(%3)"/>
      <w:numFmt w:val="lowerLetter"/>
      <w:start w:val="1"/>
    </w:lvl>
  </w:abstractNum>
  <w:abstractNum w:abstractNumId="99">
    <w:nsid w:val="56438D15"/>
    <w:multiLevelType w:val="hybridMultilevel"/>
    <w:lvl w:ilvl="0">
      <w:lvlJc w:val="left"/>
      <w:lvlText w:val="%1."/>
      <w:numFmt w:val="decimal"/>
      <w:start w:val="89"/>
    </w:lvl>
    <w:lvl w:ilvl="1">
      <w:lvlJc w:val="left"/>
      <w:lvlText w:val="(%2)"/>
      <w:numFmt w:val="lowerLetter"/>
      <w:start w:val="1"/>
    </w:lvl>
  </w:abstractNum>
  <w:abstractNum w:abstractNumId="100">
    <w:nsid w:val="519E3149"/>
    <w:multiLevelType w:val="hybridMultilevel"/>
    <w:lvl w:ilvl="0">
      <w:lvlJc w:val="left"/>
      <w:lvlText w:val="%1."/>
      <w:numFmt w:val="decimal"/>
      <w:start w:val="92"/>
    </w:lvl>
  </w:abstractNum>
  <w:abstractNum w:abstractNumId="101">
    <w:nsid w:val="2C6E4AFD"/>
    <w:multiLevelType w:val="hybridMultilevel"/>
    <w:lvl w:ilvl="0">
      <w:lvlJc w:val="left"/>
      <w:lvlText w:val="%1"/>
      <w:numFmt w:val="decimal"/>
      <w:start w:val="1"/>
    </w:lvl>
    <w:lvl w:ilvl="1">
      <w:lvlJc w:val="left"/>
      <w:lvlText w:val="(%2)"/>
      <w:numFmt w:val="lowerLetter"/>
      <w:start w:val="1"/>
    </w:lvl>
  </w:abstractNum>
  <w:abstractNum w:abstractNumId="102">
    <w:nsid w:val="17A1B582"/>
    <w:multiLevelType w:val="hybridMultilevel"/>
    <w:lvl w:ilvl="0">
      <w:lvlJc w:val="left"/>
      <w:lvlText w:val="%1."/>
      <w:numFmt w:val="decimal"/>
      <w:start w:val="93"/>
    </w:lvl>
    <w:lvl w:ilvl="1">
      <w:lvlJc w:val="left"/>
      <w:lvlText w:val="%2"/>
      <w:numFmt w:val="lowerLetter"/>
      <w:start w:val="1"/>
    </w:lvl>
  </w:abstractNum>
  <w:abstractNum w:abstractNumId="103">
    <w:nsid w:val="4DF72E4E"/>
    <w:multiLevelType w:val="hybridMultilevel"/>
    <w:lvl w:ilvl="0">
      <w:lvlJc w:val="left"/>
      <w:lvlText w:val="%1."/>
      <w:numFmt w:val="decimal"/>
      <w:start w:val="94"/>
    </w:lvl>
    <w:lvl w:ilvl="1">
      <w:lvlJc w:val="left"/>
      <w:lvlText w:val="(%2)"/>
      <w:numFmt w:val="lowerLetter"/>
      <w:start w:val="1"/>
    </w:lvl>
  </w:abstractNum>
  <w:abstractNum w:abstractNumId="104">
    <w:nsid w:val="5046B5A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5">
    <w:nsid w:val="5D888A08"/>
    <w:multiLevelType w:val="hybridMultilevel"/>
    <w:lvl w:ilvl="0">
      <w:lvlJc w:val="left"/>
      <w:lvlText w:val="%1."/>
      <w:numFmt w:val="decimal"/>
      <w:start w:val="95"/>
    </w:lvl>
    <w:lvl w:ilvl="1">
      <w:lvlJc w:val="left"/>
      <w:lvlText w:val="(%2)"/>
      <w:numFmt w:val="lowerLetter"/>
      <w:start w:val="1"/>
    </w:lvl>
    <w:lvl w:ilvl="2">
      <w:lvlJc w:val="left"/>
      <w:lvlText w:val="(%3)"/>
      <w:numFmt w:val="lowerRoman"/>
      <w:start w:val="1"/>
    </w:lvl>
  </w:abstractNum>
  <w:abstractNum w:abstractNumId="106">
    <w:nsid w:val="2A082C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7">
    <w:nsid w:val="5EC6AFD4"/>
    <w:multiLevelType w:val="hybridMultilevel"/>
    <w:lvl w:ilvl="0">
      <w:lvlJc w:val="left"/>
      <w:lvlText w:val="%1."/>
      <w:numFmt w:val="decimal"/>
      <w:start w:val="97"/>
    </w:lvl>
    <w:lvl w:ilvl="1">
      <w:lvlJc w:val="left"/>
      <w:lvlText w:val="(%2)"/>
      <w:numFmt w:val="lowerLetter"/>
      <w:start w:val="1"/>
    </w:lvl>
    <w:lvl w:ilvl="2">
      <w:lvlJc w:val="left"/>
      <w:lvlText w:val="(%3)"/>
      <w:numFmt w:val="lowerRoman"/>
      <w:start w:val="1"/>
    </w:lvl>
  </w:abstractNum>
  <w:abstractNum w:abstractNumId="108">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9">
    <w:nsid w:val="75E0858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0">
    <w:nsid w:val="57A61A29"/>
    <w:multiLevelType w:val="hybridMultilevel"/>
    <w:lvl w:ilvl="0">
      <w:lvlJc w:val="left"/>
      <w:lvlText w:val="%1."/>
      <w:numFmt w:val="decimal"/>
      <w:start w:val="98"/>
    </w:lvl>
    <w:lvl w:ilvl="1">
      <w:lvlJc w:val="left"/>
      <w:lvlText w:val="%2"/>
      <w:numFmt w:val="lowerLetter"/>
      <w:start w:val="1"/>
    </w:lvl>
    <w:lvl w:ilvl="2">
      <w:lvlJc w:val="left"/>
      <w:lvlText w:val="%3"/>
      <w:numFmt w:val="lowerRoman"/>
      <w:start w:val="1"/>
    </w:lvl>
  </w:abstractNum>
  <w:abstractNum w:abstractNumId="111">
    <w:nsid w:val="5399C654"/>
    <w:multiLevelType w:val="hybridMultilevel"/>
    <w:lvl w:ilvl="0">
      <w:lvlJc w:val="left"/>
      <w:lvlText w:val="%1."/>
      <w:numFmt w:val="decimal"/>
      <w:start w:val="99"/>
    </w:lvl>
    <w:lvl w:ilvl="1">
      <w:lvlJc w:val="left"/>
      <w:lvlText w:val="(%2)"/>
      <w:numFmt w:val="lowerLetter"/>
      <w:start w:val="1"/>
    </w:lvl>
  </w:abstractNum>
  <w:abstractNum w:abstractNumId="112">
    <w:nsid w:val="20EE1348"/>
    <w:multiLevelType w:val="hybridMultilevel"/>
    <w:lvl w:ilvl="0">
      <w:lvlJc w:val="left"/>
      <w:lvlText w:val="%1"/>
      <w:numFmt w:val="decimal"/>
      <w:start w:val="1"/>
    </w:lvl>
    <w:lvl w:ilvl="1">
      <w:lvlJc w:val="left"/>
      <w:lvlText w:val="(%2)"/>
      <w:numFmt w:val="lowerLetter"/>
      <w:start w:val="2"/>
    </w:lvl>
  </w:abstractNum>
  <w:abstractNum w:abstractNumId="113">
    <w:nsid w:val="4427069A"/>
    <w:multiLevelType w:val="hybridMultilevel"/>
    <w:lvl w:ilvl="0">
      <w:lvlJc w:val="left"/>
      <w:lvlText w:val="%1."/>
      <w:numFmt w:val="decimal"/>
      <w:start w:val="102"/>
    </w:lvl>
    <w:lvl w:ilvl="1">
      <w:lvlJc w:val="left"/>
      <w:lvlText w:val="%2"/>
      <w:numFmt w:val="lowerLetter"/>
      <w:start w:val="1"/>
    </w:lvl>
  </w:abstractNum>
  <w:abstractNum w:abstractNumId="114">
    <w:nsid w:val="B37E80A"/>
    <w:multiLevelType w:val="hybridMultilevel"/>
    <w:lvl w:ilvl="0">
      <w:lvlJc w:val="left"/>
      <w:lvlText w:val="%1."/>
      <w:numFmt w:val="decimal"/>
      <w:start w:val="106"/>
    </w:lvl>
  </w:abstractNum>
  <w:abstractNum w:abstractNumId="115">
    <w:nsid w:val="2157F6BC"/>
    <w:multiLevelType w:val="hybridMultilevel"/>
    <w:lvl w:ilvl="0">
      <w:lvlJc w:val="left"/>
      <w:lvlText w:val="%1."/>
      <w:numFmt w:val="decimal"/>
      <w:start w:val="107"/>
    </w:lvl>
    <w:lvl w:ilvl="1">
      <w:lvlJc w:val="left"/>
      <w:lvlText w:val="(%2)"/>
      <w:numFmt w:val="lowerLetter"/>
      <w:start w:val="1"/>
    </w:lvl>
  </w:abstractNum>
  <w:abstractNum w:abstractNumId="116">
    <w:nsid w:val="704E1DD5"/>
    <w:multiLevelType w:val="hybridMultilevel"/>
    <w:lvl w:ilvl="0">
      <w:lvlJc w:val="left"/>
      <w:lvlText w:val="%1."/>
      <w:numFmt w:val="decimal"/>
      <w:start w:val="110"/>
    </w:lvl>
  </w:abstractNum>
  <w:abstractNum w:abstractNumId="117">
    <w:nsid w:val="57D2F10E"/>
    <w:multiLevelType w:val="hybridMultilevel"/>
    <w:lvl w:ilvl="0">
      <w:lvlJc w:val="left"/>
      <w:lvlText w:val="%1"/>
      <w:numFmt w:val="decimal"/>
      <w:start w:val="1"/>
    </w:lvl>
    <w:lvl w:ilvl="1">
      <w:lvlJc w:val="left"/>
      <w:lvlText w:val="(%2)"/>
      <w:numFmt w:val="lowerLetter"/>
      <w:start w:val="1"/>
    </w:lvl>
  </w:abstractNum>
  <w:abstractNum w:abstractNumId="118">
    <w:nsid w:val="BFFAE18"/>
    <w:multiLevelType w:val="hybridMultilevel"/>
    <w:lvl w:ilvl="0">
      <w:lvlJc w:val="left"/>
      <w:lvlText w:val="%1."/>
      <w:numFmt w:val="decimal"/>
      <w:start w:val="111"/>
    </w:lvl>
    <w:lvl w:ilvl="1">
      <w:lvlJc w:val="left"/>
      <w:lvlText w:val="(%2)"/>
      <w:numFmt w:val="lowerLetter"/>
      <w:start w:val="1"/>
    </w:lvl>
  </w:abstractNum>
  <w:abstractNum w:abstractNumId="119">
    <w:nsid w:val="E3E47A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2"/>
    </w:lvl>
  </w:abstractNum>
  <w:abstractNum w:abstractNumId="120">
    <w:nsid w:val="2E48F044"/>
    <w:multiLevelType w:val="hybridMultilevel"/>
    <w:lvl w:ilvl="0">
      <w:lvlJc w:val="left"/>
      <w:lvlText w:val="%1."/>
      <w:numFmt w:val="decimal"/>
      <w:start w:val="112"/>
    </w:lvl>
    <w:lvl w:ilvl="1">
      <w:lvlJc w:val="left"/>
      <w:lvlText w:val="%2"/>
      <w:numFmt w:val="lowerLetter"/>
      <w:start w:val="1"/>
    </w:lvl>
    <w:lvl w:ilvl="2">
      <w:lvlJc w:val="left"/>
      <w:lvlText w:val="%3"/>
      <w:numFmt w:val="lowerRoman"/>
      <w:start w:val="1"/>
    </w:lvl>
  </w:abstractNum>
  <w:abstractNum w:abstractNumId="121">
    <w:nsid w:val="49D0FEAC"/>
    <w:multiLevelType w:val="hybridMultilevel"/>
    <w:lvl w:ilvl="0">
      <w:lvlJc w:val="left"/>
      <w:lvlText w:val="%1."/>
      <w:numFmt w:val="decimal"/>
      <w:start w:val="113"/>
    </w:lvl>
    <w:lvl w:ilvl="1">
      <w:lvlJc w:val="left"/>
      <w:lvlText w:val="(%2)"/>
      <w:numFmt w:val="lowerLetter"/>
      <w:start w:val="1"/>
    </w:lvl>
  </w:abstractNum>
  <w:abstractNum w:abstractNumId="122">
    <w:nsid w:val="4BEE5A5B"/>
    <w:multiLevelType w:val="hybridMultilevel"/>
    <w:lvl w:ilvl="0">
      <w:lvlJc w:val="left"/>
      <w:lvlText w:val="%1."/>
      <w:numFmt w:val="decimal"/>
      <w:start w:val="117"/>
    </w:lvl>
  </w:abstractNum>
  <w:abstractNum w:abstractNumId="123">
    <w:nsid w:val="5551B9F3"/>
    <w:multiLevelType w:val="hybridMultilevel"/>
    <w:lvl w:ilvl="0">
      <w:lvlJc w:val="left"/>
      <w:lvlText w:val="%1."/>
      <w:numFmt w:val="decimal"/>
      <w:start w:val="121"/>
    </w:lvl>
    <w:lvl w:ilvl="1">
      <w:lvlJc w:val="left"/>
      <w:lvlText w:val="(%2)"/>
      <w:numFmt w:val="lowerLetter"/>
      <w:start w:val="1"/>
    </w:lvl>
    <w:lvl w:ilvl="2">
      <w:lvlJc w:val="left"/>
      <w:lvlText w:val="(%3)"/>
      <w:numFmt w:val="lowerLetter"/>
      <w:start w:val="9"/>
    </w:lvl>
  </w:abstractNum>
  <w:abstractNum w:abstractNumId="124">
    <w:nsid w:val="24F6AB8E"/>
    <w:multiLevelType w:val="hybridMultilevel"/>
    <w:lvl w:ilvl="0">
      <w:lvlJc w:val="left"/>
      <w:lvlText w:val="%1"/>
      <w:numFmt w:val="lowerLetter"/>
      <w:start w:val="1"/>
    </w:lvl>
    <w:lvl w:ilvl="1">
      <w:lvlJc w:val="left"/>
      <w:lvlText w:val="(%2)"/>
      <w:numFmt w:val="lowerRoman"/>
      <w:start w:val="2"/>
    </w:lvl>
  </w:abstractNum>
  <w:abstractNum w:abstractNumId="125">
    <w:nsid w:val="634C574C"/>
    <w:multiLevelType w:val="hybridMultilevel"/>
    <w:lvl w:ilvl="0">
      <w:lvlJc w:val="left"/>
      <w:lvlText w:val="(%1)"/>
      <w:numFmt w:val="lowerLetter"/>
      <w:start w:val="2"/>
    </w:lvl>
    <w:lvl w:ilvl="1">
      <w:lvlJc w:val="left"/>
      <w:lvlText w:val="%2"/>
      <w:numFmt w:val="lowerRoman"/>
      <w:start w:val="1"/>
    </w:lvl>
  </w:abstractNum>
  <w:abstractNum w:abstractNumId="126">
    <w:nsid w:val="24E99DD7"/>
    <w:multiLevelType w:val="hybridMultilevel"/>
    <w:lvl w:ilvl="0">
      <w:lvlJc w:val="left"/>
      <w:lvlText w:val="%1."/>
      <w:numFmt w:val="decimal"/>
      <w:start w:val="122"/>
    </w:lvl>
  </w:abstractNum>
  <w:abstractNum w:abstractNumId="127">
    <w:nsid w:val="2A31B62D"/>
    <w:multiLevelType w:val="hybridMultilevel"/>
    <w:lvl w:ilvl="0">
      <w:lvlJc w:val="left"/>
      <w:lvlText w:val="%1."/>
      <w:numFmt w:val="decimal"/>
      <w:start w:val="123"/>
    </w:lvl>
  </w:abstractNum>
  <w:abstractNum w:abstractNumId="128">
    <w:nsid w:val="1849C29B"/>
    <w:multiLevelType w:val="hybridMultilevel"/>
    <w:lvl w:ilvl="0">
      <w:lvlJc w:val="left"/>
      <w:lvlText w:val="%1."/>
      <w:numFmt w:val="decimal"/>
      <w:start w:val="125"/>
    </w:lvl>
    <w:lvl w:ilvl="1">
      <w:lvlJc w:val="left"/>
      <w:lvlText w:val="(%2)"/>
      <w:numFmt w:val="lowerLetter"/>
      <w:start w:val="1"/>
    </w:lvl>
    <w:lvl w:ilvl="2">
      <w:lvlJc w:val="left"/>
      <w:lvlText w:val="(%3)"/>
      <w:numFmt w:val="lowerRoman"/>
      <w:start w:val="1"/>
    </w:lvl>
  </w:abstractNum>
  <w:abstractNum w:abstractNumId="129">
    <w:nsid w:val="7DFF9D09"/>
    <w:multiLevelType w:val="hybridMultilevel"/>
    <w:lvl w:ilvl="0">
      <w:lvlJc w:val="left"/>
      <w:lvlText w:val="(%1)"/>
      <w:numFmt w:val="lowerLetter"/>
      <w:start w:val="2"/>
    </w:lvl>
    <w:lvl w:ilvl="1">
      <w:lvlJc w:val="left"/>
      <w:lvlText w:val="(%2)"/>
      <w:numFmt w:val="lowerRoman"/>
      <w:start w:val="1"/>
    </w:lvl>
  </w:abstractNum>
  <w:abstractNum w:abstractNumId="130">
    <w:nsid w:val="754342"/>
    <w:multiLevelType w:val="hybridMultilevel"/>
    <w:lvl w:ilvl="0">
      <w:lvlJc w:val="left"/>
      <w:lvlText w:val="%1"/>
      <w:numFmt w:val="decimal"/>
      <w:start w:val="1"/>
    </w:lvl>
    <w:lvl w:ilvl="1">
      <w:lvlJc w:val="left"/>
      <w:lvlText w:val="(%2)"/>
      <w:numFmt w:val="lowerLetter"/>
      <w:start w:val="8"/>
    </w:lvl>
  </w:abstractNum>
  <w:abstractNum w:abstractNumId="131">
    <w:nsid w:val="69E7F3E5"/>
    <w:multiLevelType w:val="hybridMultilevel"/>
    <w:lvl w:ilvl="0">
      <w:lvlJc w:val="left"/>
      <w:lvlText w:val="%1."/>
      <w:numFmt w:val="decimal"/>
      <w:start w:val="127"/>
    </w:lvl>
    <w:lvl w:ilvl="1">
      <w:lvlJc w:val="left"/>
      <w:lvlText w:val="(%2)"/>
      <w:numFmt w:val="lowerLetter"/>
      <w:start w:val="1"/>
    </w:lvl>
  </w:abstractNum>
  <w:abstractNum w:abstractNumId="132">
    <w:nsid w:val="2A6DE806"/>
    <w:multiLevelType w:val="hybridMultilevel"/>
    <w:lvl w:ilvl="0">
      <w:lvlJc w:val="left"/>
      <w:lvlText w:val="%1."/>
      <w:numFmt w:val="decimal"/>
      <w:start w:val="130"/>
    </w:lvl>
    <w:lvl w:ilvl="1">
      <w:lvlJc w:val="left"/>
      <w:lvlText w:val="(%2)"/>
      <w:numFmt w:val="lowerLetter"/>
      <w:start w:val="1"/>
    </w:lvl>
  </w:abstractNum>
  <w:abstractNum w:abstractNumId="133">
    <w:nsid w:val="1816F8C4"/>
    <w:multiLevelType w:val="hybridMultilevel"/>
    <w:lvl w:ilvl="0">
      <w:lvlJc w:val="left"/>
      <w:lvlText w:val="%1."/>
      <w:numFmt w:val="decimal"/>
      <w:start w:val="133"/>
    </w:lvl>
  </w:abstractNum>
  <w:abstractNum w:abstractNumId="134">
    <w:nsid w:val="37DF2233"/>
    <w:multiLevelType w:val="hybridMultilevel"/>
    <w:lvl w:ilvl="0">
      <w:lvlJc w:val="left"/>
      <w:lvlText w:val="%1."/>
      <w:numFmt w:val="decimal"/>
      <w:start w:val="135"/>
    </w:lvl>
    <w:lvl w:ilvl="1">
      <w:lvlJc w:val="left"/>
      <w:lvlText w:val="(%2)"/>
      <w:numFmt w:val="lowerLetter"/>
      <w:start w:val="1"/>
    </w:lvl>
  </w:abstractNum>
  <w:abstractNum w:abstractNumId="135">
    <w:nsid w:val="7AB49DAF"/>
    <w:multiLevelType w:val="hybridMultilevel"/>
    <w:lvl w:ilvl="0">
      <w:lvlJc w:val="left"/>
      <w:lvlText w:val="%1."/>
      <w:numFmt w:val="decimal"/>
      <w:start w:val="136"/>
    </w:lvl>
  </w:abstractNum>
  <w:abstractNum w:abstractNumId="136">
    <w:nsid w:val="759F82CD"/>
    <w:multiLevelType w:val="hybridMultilevel"/>
    <w:lvl w:ilvl="0">
      <w:lvlJc w:val="left"/>
      <w:lvlText w:val="%1"/>
      <w:numFmt w:val="decimal"/>
      <w:start w:val="1"/>
    </w:lvl>
    <w:lvl w:ilvl="1">
      <w:lvlJc w:val="left"/>
      <w:lvlText w:val="(%2)"/>
      <w:numFmt w:val="lowerLetter"/>
      <w:start w:val="1"/>
    </w:lvl>
  </w:abstractNum>
  <w:abstractNum w:abstractNumId="137">
    <w:nsid w:val="61E74EA3"/>
    <w:multiLevelType w:val="hybridMultilevel"/>
    <w:lvl w:ilvl="0">
      <w:lvlJc w:val="left"/>
      <w:lvlText w:val="%1."/>
      <w:numFmt w:val="decimal"/>
      <w:start w:val="139"/>
    </w:lvl>
    <w:lvl w:ilvl="1">
      <w:lvlJc w:val="left"/>
      <w:lvlText w:val="(%2)"/>
      <w:numFmt w:val="lowerLetter"/>
      <w:start w:val="1"/>
    </w:lvl>
  </w:abstractNum>
  <w:abstractNum w:abstractNumId="138">
    <w:nsid w:val="597B4D84"/>
    <w:multiLevelType w:val="hybridMultilevel"/>
    <w:lvl w:ilvl="0">
      <w:lvlJc w:val="left"/>
      <w:lvlText w:val="%1."/>
      <w:numFmt w:val="decimal"/>
      <w:start w:val="140"/>
    </w:lvl>
  </w:abstractNum>
  <w:abstractNum w:abstractNumId="139">
    <w:nsid w:val="F819E7F"/>
    <w:multiLevelType w:val="hybridMultilevel"/>
    <w:lvl w:ilvl="0">
      <w:lvlJc w:val="left"/>
      <w:lvlText w:val="%1."/>
      <w:numFmt w:val="upperLetter"/>
      <w:start w:val="1"/>
    </w:lvl>
  </w:abstractNum>
  <w:abstractNum w:abstractNumId="140">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1">
    <w:nsid w:val="312167AD"/>
    <w:multiLevelType w:val="hybridMultilevel"/>
    <w:lvl w:ilvl="0">
      <w:lvlJc w:val="left"/>
      <w:lvlText w:val="(%1)"/>
      <w:numFmt w:val="lowerLetter"/>
      <w:start w:val="3"/>
    </w:lvl>
  </w:abstractNum>
  <w:abstractNum w:abstractNumId="142">
    <w:nsid w:val="631B64D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43">
    <w:nsid w:val="78B5E776"/>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abstractNum>
  <w:abstractNum w:abstractNumId="144">
    <w:nsid w:val="75486E47"/>
    <w:multiLevelType w:val="hybridMultilevel"/>
    <w:lvl w:ilvl="0">
      <w:lvlJc w:val="left"/>
      <w:lvlText w:val="%1."/>
      <w:numFmt w:val="decimal"/>
      <w:start w:val="9"/>
    </w:lvl>
    <w:lvl w:ilvl="1">
      <w:lvlJc w:val="left"/>
      <w:lvlText w:val="(%2)"/>
      <w:numFmt w:val="lowerLetter"/>
      <w:start w:val="1"/>
    </w:lvl>
  </w:abstractNum>
  <w:abstractNum w:abstractNumId="145">
    <w:nsid w:val="6E534CDE"/>
    <w:multiLevelType w:val="hybridMultilevel"/>
    <w:lvl w:ilvl="0">
      <w:lvlJc w:val="left"/>
      <w:lvlText w:val="%1."/>
      <w:numFmt w:val="decimal"/>
      <w:start w:val="1"/>
    </w:lvl>
    <w:lvl w:ilvl="1">
      <w:lvlJc w:val="left"/>
      <w:lvlText w:val="%2)"/>
      <w:numFmt w:val="lowerLetter"/>
      <w:start w:val="1"/>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decimal"/>
      <w:start w:val="1"/>
    </w:lvl>
    <w:lvl w:ilvl="1">
      <w:lvlJc w:val="left"/>
      <w:lvlText w:val="%2)"/>
      <w:numFmt w:val="lowerLetter"/>
      <w:start w:val="1"/>
    </w:lvl>
  </w:abstractNum>
  <w:abstractNum w:abstractNumId="148">
    <w:nsid w:val="46263DEC"/>
    <w:multiLevelType w:val="hybridMultilevel"/>
    <w:lvl w:ilvl="0">
      <w:lvlJc w:val="left"/>
      <w:lvlText w:val="%1)"/>
      <w:numFmt w:val="lowerLetter"/>
      <w:start w:val="1"/>
    </w:lvl>
  </w:abstractNum>
  <w:abstractNum w:abstractNumId="149">
    <w:nsid w:val="260D8C4A"/>
    <w:multiLevelType w:val="hybridMultilevel"/>
    <w:lvl w:ilvl="0">
      <w:lvlJc w:val="left"/>
      <w:lvlText w:val="(%1)"/>
      <w:numFmt w:val="decimal"/>
      <w:start w:val="1"/>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2019-12-10T18:26:12Z</dcterms:created>
  <dcterms:modified xsi:type="dcterms:W3CDTF">2019-12-10T18:26:12Z</dcterms:modified>
</cp:coreProperties>
</file>