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5280" w:type="dxa"/>
            <w:vAlign w:val="bottom"/>
          </w:tcPr>
          <w:p>
            <w:pPr>
              <w:spacing w:after="0"/>
              <w:rPr>
                <w:sz w:val="17"/>
                <w:szCs w:val="17"/>
                <w:color w:val="auto"/>
              </w:rPr>
            </w:pP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w w:val="96"/>
              </w:rPr>
              <w:t>Amendment No. 1</w:t>
            </w:r>
          </w:p>
        </w:tc>
        <w:tc>
          <w:tcPr>
            <w:tcW w:w="5280" w:type="dxa"/>
            <w:vAlign w:val="bottom"/>
          </w:tcPr>
          <w:p>
            <w:pPr>
              <w:spacing w:after="0"/>
              <w:rPr>
                <w:sz w:val="24"/>
                <w:szCs w:val="24"/>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ICON PLC</w:t>
            </w:r>
          </w:p>
        </w:tc>
        <w:tc>
          <w:tcPr>
            <w:tcW w:w="72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G4705A100</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G4705A100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363,671</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898,194</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898,194</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6.594%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20" w:type="dxa"/>
            <w:vAlign w:val="bottom"/>
          </w:tcPr>
          <w:p>
            <w:pPr>
              <w:spacing w:after="0"/>
              <w:rPr>
                <w:sz w:val="17"/>
                <w:szCs w:val="17"/>
                <w:color w:val="auto"/>
              </w:rPr>
            </w:pPr>
          </w:p>
        </w:tc>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HC</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G4705A100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898,194</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898,194</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6.594%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G4705A100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898,194</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898,194</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6.594%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20" w:type="dxa"/>
            <w:vAlign w:val="bottom"/>
          </w:tcPr>
          <w:p>
            <w:pPr>
              <w:spacing w:after="0"/>
              <w:rPr>
                <w:sz w:val="17"/>
                <w:szCs w:val="17"/>
                <w:color w:val="auto"/>
              </w:rPr>
            </w:pPr>
          </w:p>
        </w:tc>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w:t>
            </w:r>
          </w:p>
        </w:tc>
      </w:tr>
      <w:tr>
        <w:trPr>
          <w:trHeight w:val="810"/>
        </w:trPr>
        <w:tc>
          <w:tcPr>
            <w:tcW w:w="860" w:type="dxa"/>
            <w:vAlign w:val="bottom"/>
          </w:tcPr>
          <w:p>
            <w:pPr>
              <w:spacing w:after="0"/>
              <w:rPr>
                <w:sz w:val="24"/>
                <w:szCs w:val="24"/>
                <w:color w:val="auto"/>
              </w:rPr>
            </w:pP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SCHEDULE 13G - TO BE INCLUDED IN</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528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FILED PURSUANT TO RULE 13d-1(b) or 13d-2(b)</w:t>
            </w:r>
          </w:p>
        </w:tc>
      </w:tr>
      <w:tr>
        <w:trPr>
          <w:trHeight w:val="1013"/>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ICON PLC</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1(b).</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Name of Issuer's Principal Executive Offices: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South Business Park</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Leopardstown</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Dublin 18, Ireland</w:t>
            </w:r>
          </w:p>
        </w:tc>
      </w:tr>
      <w:tr>
        <w:trPr>
          <w:trHeight w:val="608"/>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2(a).</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FMR Corp.</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2(b).</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w w:val="97"/>
              </w:rPr>
              <w:t>Address or Principal Business Office or, if None,</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528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82 Devonshire Street, Boston,</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Massachusetts</w:t>
            </w:r>
          </w:p>
        </w:tc>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02109</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Common Stock</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G4705A100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898,194</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6.594%</w:t>
            </w:r>
          </w:p>
        </w:tc>
        <w:tc>
          <w:tcPr>
            <w:tcW w:w="84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363,671</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898,194</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ICON PLC. No one person's interest in the Common Stock of ICON PLC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the Common Stock of ICON PLC at March 31, 2004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12, 2004</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534,923 shares or 3.927% of the Common Stock outstanding</w:t>
      </w:r>
    </w:p>
    <w:p>
      <w:pPr>
        <w:spacing w:after="0"/>
        <w:tabs>
          <w:tab w:leader="none" w:pos="1360" w:val="left"/>
        </w:tabs>
        <w:rPr>
          <w:sz w:val="20"/>
          <w:szCs w:val="20"/>
          <w:color w:val="auto"/>
        </w:rPr>
      </w:pPr>
      <w:r>
        <w:rPr>
          <w:rFonts w:ascii="Courier New" w:cs="Courier New" w:eastAsia="Courier New" w:hAnsi="Courier New"/>
          <w:sz w:val="18"/>
          <w:szCs w:val="18"/>
          <w:color w:val="auto"/>
        </w:rPr>
        <w:t>of ICON PLC</w:t>
      </w:r>
      <w:r>
        <w:rPr>
          <w:sz w:val="20"/>
          <w:szCs w:val="20"/>
          <w:color w:val="auto"/>
        </w:rPr>
        <w:tab/>
      </w:r>
      <w:r>
        <w:rPr>
          <w:rFonts w:ascii="Courier New" w:cs="Courier New" w:eastAsia="Courier New" w:hAnsi="Courier New"/>
          <w:sz w:val="16"/>
          <w:szCs w:val="16"/>
          <w:color w:val="auto"/>
        </w:rPr>
        <w:t>("the Company") as a result of acting as</w:t>
      </w:r>
    </w:p>
    <w:p>
      <w:pPr>
        <w:spacing w:after="0" w:line="237" w:lineRule="auto"/>
        <w:rPr>
          <w:sz w:val="20"/>
          <w:szCs w:val="20"/>
          <w:color w:val="auto"/>
        </w:rPr>
      </w:pPr>
      <w:r>
        <w:rPr>
          <w:rFonts w:ascii="Courier New" w:cs="Courier New" w:eastAsia="Courier New" w:hAnsi="Courier New"/>
          <w:sz w:val="18"/>
          <w:szCs w:val="18"/>
          <w:color w:val="auto"/>
        </w:rPr>
        <w:t>investment adviser to various investment companies</w:t>
      </w:r>
    </w:p>
    <w:p>
      <w:pPr>
        <w:spacing w:after="0"/>
        <w:rPr>
          <w:sz w:val="20"/>
          <w:szCs w:val="20"/>
          <w:color w:val="auto"/>
        </w:rPr>
      </w:pPr>
      <w:r>
        <w:rPr>
          <w:rFonts w:ascii="Courier New" w:cs="Courier New" w:eastAsia="Courier New" w:hAnsi="Courier New"/>
          <w:sz w:val="18"/>
          <w:szCs w:val="18"/>
          <w:color w:val="auto"/>
        </w:rPr>
        <w:t>registered under Section 8 of the Investment Company Act of</w:t>
      </w:r>
    </w:p>
    <w:p>
      <w:pPr>
        <w:spacing w:after="0" w:line="237" w:lineRule="auto"/>
        <w:rPr>
          <w:sz w:val="20"/>
          <w:szCs w:val="20"/>
          <w:color w:val="auto"/>
        </w:rPr>
      </w:pPr>
      <w:r>
        <w:rPr>
          <w:rFonts w:ascii="Courier New" w:cs="Courier New" w:eastAsia="Courier New" w:hAnsi="Courier New"/>
          <w:sz w:val="18"/>
          <w:szCs w:val="18"/>
          <w:color w:val="auto"/>
        </w:rPr>
        <w:t>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534,923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21,700 shares or 0.159%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21,700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21,700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341,571 shares or 2.508% of the Common Stock outstanding of the Company. Additional information with respect to the beneficial ownership of Fidelity International Limited is shown on Exhibit B.</w:t>
      </w:r>
    </w:p>
    <w:p>
      <w:pPr>
        <w:sectPr>
          <w:pgSz w:w="11900" w:h="16838" w:orient="portrait"/>
          <w:cols w:equalWidth="0" w:num="1">
            <w:col w:w="10219"/>
          </w:cols>
          <w:pgMar w:left="240" w:top="136" w:right="1440" w:bottom="0" w:gutter="0" w:footer="0" w:header="0"/>
        </w:sectPr>
      </w:pPr>
    </w:p>
    <w:bookmarkStart w:id="3" w:name="page4"/>
    <w:bookmarkEnd w:id="3"/>
    <w:p>
      <w:pPr>
        <w:ind w:right="4199" w:firstLine="843"/>
        <w:spacing w:after="0" w:line="237" w:lineRule="auto"/>
        <w:rPr>
          <w:sz w:val="20"/>
          <w:szCs w:val="20"/>
          <w:color w:val="auto"/>
        </w:rPr>
      </w:pPr>
      <w:r>
        <w:rPr>
          <w:rFonts w:ascii="Courier New" w:cs="Courier New" w:eastAsia="Courier New" w:hAnsi="Courier New"/>
          <w:sz w:val="18"/>
          <w:szCs w:val="18"/>
          <w:color w:val="auto"/>
        </w:rPr>
        <w:t>Some or all of the shares of Common Stock of ICON PLC owned by the investment companies at March 31, 2004 may include shares represented by American Depository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341,571 shares or 2.508% of the Common Stock outstanding of ICON PLC.</w:t>
      </w:r>
    </w:p>
    <w:p>
      <w:pPr>
        <w:spacing w:after="0" w:line="210"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72"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ectPr>
          <w:pgSz w:w="11900" w:h="16838" w:orient="portrait"/>
          <w:cols w:equalWidth="0" w:num="1">
            <w:col w:w="10219"/>
          </w:cols>
          <w:pgMar w:left="240" w:top="344" w:right="1440" w:bottom="0" w:gutter="0" w:footer="0" w:header="0"/>
        </w:sectPr>
      </w:pPr>
    </w:p>
    <w:bookmarkStart w:id="4" w:name="page5"/>
    <w:bookmarkEnd w:id="4"/>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341,571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April 12, 2004, agree and consent to the joint filing on their behalf of this Schedule 13G in connection with their beneficial ownership of the Common Stock of ICON PLC at March 31, 2004.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2019-12-14T19:51:36Z</dcterms:created>
  <dcterms:modified xsi:type="dcterms:W3CDTF">2019-12-14T19:51:36Z</dcterms:modified>
</cp:coreProperties>
</file>