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November, 2010</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 Murray,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Ciaran.Murray@iconplc.com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000"/>
        <w:spacing w:after="0"/>
        <w:tabs>
          <w:tab w:leader="none" w:pos="684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00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00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000"/>
        <w:spacing w:after="0"/>
        <w:tabs>
          <w:tab w:leader="none" w:pos="68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capability and expertise to conduct clinical trials in most major therapeutic areas on a global basis. At September 30, 2010 we had approximately 7,800 employees, in 71 locations in 39 countries, providing Phase I - IV Clinical Trial Management, Drug Development Support Services, Data Management and Biostatistical, Central Laboratory, Imaging and Contract Staffing services. We have the operational flexibility to provide development services on a stand-alone basis or as part of an integrated “full service” solution.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Headquartered in Dublin, Ireland, we began operations in 1990 and have expanded our business through internal growth and strategic acquisitions. ICON plc’s principal executive office is located at: South County Business Park, Leopardstown, Dublin 18, Republic of Ireland. The contact telephone number of this office is 353 (1) 291 2000. For the nine months ended September 30, 2010 we derived approximately 44.1%, 45.6% and 10.3% of our net revenue in the United States, Europe and Rest of World,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17, 2010 the Company acquired Timaq Medical Imaging, a European provider of advanced imaging services to the pharmaceutical and biotechnology industry, headquartered in Zurich, Switzerland for an initial cash consideration of CHF 1.3 million ($1.2 million). Certain performance milestones were built into the acquisition agreement requiring potential additional consideration of up to CHF 2.9 million ($3.0 million) if these milestones are achieved during the years ended December 31, 2010 to December 31,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Credit Lines and Loan Facilities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 2010 a committed 364 day credit facility was negotiated with J.P. Morgan for $10 million. The facility bears interest at LIBOR plus a margin and is secured by certain composite guarantees and pledges in favor of the bank. At September 30, 2010 $10 million was available to be drawn under the facility.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AT SEPTEMBER 30, 2010 AND DECEMBER 31,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September 30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231,289</w:t>
            </w: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144,801</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Short term investments - available for sale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174,375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191,924</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Unbilled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97,218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92,080</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Prepayments and other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24,828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20,126</w:t>
            </w:r>
          </w:p>
        </w:tc>
        <w:tc>
          <w:tcPr>
            <w:tcW w:w="0" w:type="dxa"/>
            <w:vAlign w:val="bottom"/>
          </w:tcPr>
          <w:p>
            <w:pPr>
              <w:spacing w:after="0"/>
              <w:rPr>
                <w:sz w:val="1"/>
                <w:szCs w:val="1"/>
                <w:color w:val="auto"/>
              </w:rPr>
            </w:pPr>
          </w:p>
        </w:tc>
      </w:tr>
      <w:tr>
        <w:trPr>
          <w:trHeight w:val="237"/>
        </w:trPr>
        <w:tc>
          <w:tcPr>
            <w:tcW w:w="882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20,330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202"/>
        </w:trPr>
        <w:tc>
          <w:tcPr>
            <w:tcW w:w="8820" w:type="dxa"/>
            <w:vAlign w:val="bottom"/>
          </w:tcPr>
          <w:p>
            <w:pPr>
              <w:ind w:left="340"/>
              <w:spacing w:after="0" w:line="201" w:lineRule="exact"/>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569,494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535,426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172,883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178,989</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176,715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173,568</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Non-current 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Non-current income taxes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Non-current deferred tax asset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37"/>
        </w:trPr>
        <w:tc>
          <w:tcPr>
            <w:tcW w:w="882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937,857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8,569</w:t>
            </w: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12,123</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Payments on account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143,583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165,198</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107,357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119,666</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7"/>
        </w:trPr>
        <w:tc>
          <w:tcPr>
            <w:tcW w:w="882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2"/>
        </w:trPr>
        <w:tc>
          <w:tcPr>
            <w:tcW w:w="8820" w:type="dxa"/>
            <w:vAlign w:val="bottom"/>
          </w:tcPr>
          <w:p>
            <w:pPr>
              <w:ind w:left="340"/>
              <w:spacing w:after="0" w:line="201" w:lineRule="exact"/>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263,016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299,520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Non-current other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Non-current government grants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Non-current income taxes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Non-current deferred tax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60,074,916 shares issued and outstanding at September 30, 2010 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59,007,565 shares issued and outstanding at December 31, 2009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193,494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174,188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445,480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380,509</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5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7"/>
              </w:rPr>
              <w:t>ICON plc</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10"/>
          </w:tcPr>
          <w:p>
            <w:pPr>
              <w:jc w:val="center"/>
              <w:ind w:left="25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13"/>
          </w:tcPr>
          <w:p>
            <w:pPr>
              <w:jc w:val="center"/>
              <w:ind w:left="1230"/>
              <w:spacing w:after="0"/>
              <w:rPr>
                <w:sz w:val="20"/>
                <w:szCs w:val="20"/>
                <w:color w:val="auto"/>
              </w:rPr>
            </w:pPr>
            <w:r>
              <w:rPr>
                <w:rFonts w:ascii="Arial" w:cs="Arial" w:eastAsia="Arial" w:hAnsi="Arial"/>
                <w:sz w:val="18"/>
                <w:szCs w:val="18"/>
                <w:b w:val="1"/>
                <w:bCs w:val="1"/>
                <w:color w:val="auto"/>
                <w:w w:val="98"/>
              </w:rPr>
              <w:t>FOR THE THREE AND NINE MONTHS ENDED SEPTEMBER 30, 2010 AND SEPTEMBER 30, 2009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2700" w:type="dxa"/>
            <w:vAlign w:val="bottom"/>
            <w:gridSpan w:val="5"/>
          </w:tcPr>
          <w:p>
            <w:pPr>
              <w:jc w:val="center"/>
              <w:ind w:right="55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88"/>
              </w:rPr>
              <w:t>September 30</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9"/>
                <w:szCs w:val="19"/>
                <w:color w:val="auto"/>
              </w:rPr>
            </w:pPr>
          </w:p>
        </w:tc>
        <w:tc>
          <w:tcPr>
            <w:tcW w:w="12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78"/>
              </w:rPr>
              <w:t>thousands except</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77"/>
              </w:rPr>
              <w:t>share and per share</w:t>
            </w:r>
          </w:p>
        </w:tc>
        <w:tc>
          <w:tcPr>
            <w:tcW w:w="220" w:type="dxa"/>
            <w:vAlign w:val="bottom"/>
            <w:gridSpan w:val="2"/>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7"/>
                <w:szCs w:val="17"/>
                <w:b w:val="1"/>
                <w:bCs w:val="1"/>
                <w:color w:val="auto"/>
                <w:w w:val="73"/>
              </w:rPr>
              <w:t>data)</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Gross revenue</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323,230</w:t>
            </w:r>
          </w:p>
        </w:tc>
        <w:tc>
          <w:tcPr>
            <w:tcW w:w="120" w:type="dxa"/>
            <w:vAlign w:val="bottom"/>
          </w:tcPr>
          <w:p>
            <w:pPr>
              <w:spacing w:after="0"/>
              <w:rPr>
                <w:sz w:val="18"/>
                <w:szCs w:val="18"/>
                <w:color w:val="auto"/>
              </w:rPr>
            </w:pP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317,179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945,868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936,686</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Reimbursable expenses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(96,818)</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(277,910)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(276,493)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Net revenue</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225,095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220,361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667,958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660,193</w:t>
            </w:r>
          </w:p>
        </w:tc>
        <w:tc>
          <w:tcPr>
            <w:tcW w:w="0" w:type="dxa"/>
            <w:vAlign w:val="bottom"/>
          </w:tcPr>
          <w:p>
            <w:pPr>
              <w:spacing w:after="0"/>
              <w:rPr>
                <w:sz w:val="1"/>
                <w:szCs w:val="1"/>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color w:val="auto"/>
              </w:rPr>
              <w:t>Costs and expenses: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Direct costs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127,179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401,647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376,493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54,369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171,225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173,637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8,404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25,005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23,420</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One-time net charges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207,470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189,952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597,877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582,491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30,409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70,081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77,702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Interest income</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70,226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75,398</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Provision for income taxes (including one-time credits)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(5,765)</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(11,973)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19,899</w:t>
            </w:r>
          </w:p>
        </w:tc>
        <w:tc>
          <w:tcPr>
            <w:tcW w:w="120" w:type="dxa"/>
            <w:vAlign w:val="bottom"/>
          </w:tcPr>
          <w:p>
            <w:pPr>
              <w:spacing w:after="0"/>
              <w:rPr>
                <w:sz w:val="24"/>
                <w:szCs w:val="24"/>
                <w:color w:val="auto"/>
              </w:rPr>
            </w:pP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23,951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64,971</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63,425</w:t>
            </w: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Arial" w:cs="Arial" w:eastAsia="Arial" w:hAnsi="Arial"/>
                <w:sz w:val="18"/>
                <w:szCs w:val="18"/>
                <w:color w:val="auto"/>
              </w:rPr>
              <w:t>Net income per Ordinary Share:</w:t>
            </w: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Basic</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3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0.41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46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40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Arial" w:cs="Arial" w:eastAsia="Arial" w:hAnsi="Arial"/>
                <w:sz w:val="18"/>
                <w:szCs w:val="18"/>
                <w:color w:val="auto"/>
                <w:w w:val="98"/>
              </w:rPr>
              <w:t>Weighted average number of Ordinary Shares outstanding:</w:t>
            </w: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6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tcPr>
          <w:p>
            <w:pPr>
              <w:ind w:left="180"/>
              <w:spacing w:after="0"/>
              <w:rPr>
                <w:sz w:val="20"/>
                <w:szCs w:val="20"/>
                <w:color w:val="auto"/>
              </w:rPr>
            </w:pPr>
            <w:r>
              <w:rPr>
                <w:rFonts w:ascii="Arial" w:cs="Arial" w:eastAsia="Arial" w:hAnsi="Arial"/>
                <w:sz w:val="18"/>
                <w:szCs w:val="18"/>
                <w:color w:val="auto"/>
              </w:rPr>
              <w:t>Basic</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59,940,045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58,624,028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59,576,777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58,579,402</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60,743,403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59,953,574</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60,576,058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59,781,092</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820" w:type="dxa"/>
            <w:vAlign w:val="bottom"/>
          </w:tcPr>
          <w:p>
            <w:pPr>
              <w:jc w:val="center"/>
              <w:ind w:left="2510"/>
              <w:spacing w:after="0"/>
              <w:rPr>
                <w:sz w:val="20"/>
                <w:szCs w:val="20"/>
                <w:color w:val="auto"/>
              </w:rPr>
            </w:pPr>
            <w:r>
              <w:rPr>
                <w:rFonts w:ascii="Arial" w:cs="Arial" w:eastAsia="Arial" w:hAnsi="Arial"/>
                <w:sz w:val="18"/>
                <w:szCs w:val="18"/>
                <w:b w:val="1"/>
                <w:bCs w:val="1"/>
                <w:color w:val="auto"/>
                <w:w w:val="97"/>
              </w:rPr>
              <w:t>ICON plc</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jc w:val="center"/>
              <w:ind w:left="25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5"/>
          </w:tcPr>
          <w:p>
            <w:pPr>
              <w:jc w:val="center"/>
              <w:ind w:left="1250"/>
              <w:spacing w:after="0"/>
              <w:rPr>
                <w:sz w:val="20"/>
                <w:szCs w:val="20"/>
                <w:color w:val="auto"/>
              </w:rPr>
            </w:pPr>
            <w:r>
              <w:rPr>
                <w:rFonts w:ascii="Arial" w:cs="Arial" w:eastAsia="Arial" w:hAnsi="Arial"/>
                <w:sz w:val="18"/>
                <w:szCs w:val="18"/>
                <w:b w:val="1"/>
                <w:bCs w:val="1"/>
                <w:color w:val="auto"/>
                <w:w w:val="97"/>
              </w:rPr>
              <w:t>FOR THE NINE MONTHS ENDED SEPTEMBER 30, 2010 AND SEPTEMBER 30, 2009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20" w:type="dxa"/>
            <w:vAlign w:val="bottom"/>
          </w:tcPr>
          <w:p>
            <w:pPr>
              <w:jc w:val="center"/>
              <w:ind w:left="251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2480" w:type="dxa"/>
            <w:vAlign w:val="bottom"/>
            <w:gridSpan w:val="7"/>
            <w:vMerge w:val="restart"/>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88"/>
              </w:rPr>
              <w:t>September 30</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680" w:type="dxa"/>
            <w:vAlign w:val="bottom"/>
            <w:gridSpan w:val="4"/>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64,971</w:t>
            </w:r>
          </w:p>
        </w:tc>
        <w:tc>
          <w:tcPr>
            <w:tcW w:w="120" w:type="dxa"/>
            <w:vAlign w:val="bottom"/>
          </w:tcPr>
          <w:p>
            <w:pPr>
              <w:spacing w:after="0"/>
              <w:rPr>
                <w:sz w:val="18"/>
                <w:szCs w:val="18"/>
                <w:color w:val="auto"/>
              </w:rPr>
            </w:pPr>
          </w:p>
        </w:tc>
        <w:tc>
          <w:tcPr>
            <w:tcW w:w="54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63,425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23,420</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Amortization of grants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Share compensation expense</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Decrease in accounts receivable</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27,463</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(Increase)/decrease in unbilled revenue</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20,516</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Decrease in other receivables</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Increase in prepayments and other current assets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(4,978)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Increase in other non current assets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(Decrease)/increase in payments on account</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(20,075)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50,300</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(Decrease)/increase in other current liabilities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(7,731)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Increase in other non current liabilities</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(Decrease)/increase in income taxes payable</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(12,768)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Decrease in accounts payable</w:t>
            </w:r>
          </w:p>
        </w:tc>
        <w:tc>
          <w:tcPr>
            <w:tcW w:w="8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(3,173)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(10,539)</w:t>
            </w:r>
          </w:p>
        </w:tc>
        <w:tc>
          <w:tcPr>
            <w:tcW w:w="0" w:type="dxa"/>
            <w:vAlign w:val="bottom"/>
          </w:tcPr>
          <w:p>
            <w:pPr>
              <w:spacing w:after="0"/>
              <w:rPr>
                <w:sz w:val="1"/>
                <w:szCs w:val="1"/>
                <w:color w:val="auto"/>
              </w:rPr>
            </w:pPr>
          </w:p>
        </w:tc>
      </w:tr>
      <w:tr>
        <w:trPr>
          <w:trHeight w:val="198"/>
        </w:trPr>
        <w:tc>
          <w:tcPr>
            <w:tcW w:w="8820" w:type="dxa"/>
            <w:vAlign w:val="bottom"/>
          </w:tcPr>
          <w:p>
            <w:pPr>
              <w:spacing w:after="0" w:line="198" w:lineRule="exact"/>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color w:val="auto"/>
              </w:rPr>
              <w:t>55,501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198,373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(23,906)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(26,023)</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 of subsidiary undertakings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 of short term investments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(30,260)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(126,087)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Sale of short term investments</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79,487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66,564</w:t>
            </w:r>
          </w:p>
        </w:tc>
        <w:tc>
          <w:tcPr>
            <w:tcW w:w="0" w:type="dxa"/>
            <w:vAlign w:val="bottom"/>
          </w:tcPr>
          <w:p>
            <w:pPr>
              <w:spacing w:after="0"/>
              <w:rPr>
                <w:sz w:val="1"/>
                <w:szCs w:val="1"/>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Cash received on acquisition</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Grants received</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(110,945)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Drawdown of bank credit lines and loan facilities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Repayment of credit lines and facilities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(98,370)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Share issuance costs</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Repayment of other liabilities</w:t>
            </w:r>
          </w:p>
        </w:tc>
        <w:tc>
          <w:tcPr>
            <w:tcW w:w="8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Net cash provided by/(used in) financing activities</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13,677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(79,875)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Effect of exchange rate movements on cash</w:t>
            </w:r>
          </w:p>
        </w:tc>
        <w:tc>
          <w:tcPr>
            <w:tcW w:w="8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b w:val="1"/>
                <w:bCs w:val="1"/>
                <w:color w:val="auto"/>
              </w:rPr>
              <w:t>Net increase in cash and cash equivalents</w:t>
            </w: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86,488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9,802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144,801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29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Paid-in</w:t>
            </w:r>
          </w:p>
        </w:tc>
        <w:tc>
          <w:tcPr>
            <w:tcW w:w="148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2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gridSpan w:val="11"/>
          </w:tcPr>
          <w:p>
            <w:pPr>
              <w:jc w:val="right"/>
              <w:ind w:right="130"/>
              <w:spacing w:after="0"/>
              <w:rPr>
                <w:sz w:val="20"/>
                <w:szCs w:val="20"/>
                <w:color w:val="auto"/>
              </w:rPr>
            </w:pPr>
            <w:r>
              <w:rPr>
                <w:rFonts w:ascii="Arial" w:cs="Arial" w:eastAsia="Arial" w:hAnsi="Arial"/>
                <w:sz w:val="18"/>
                <w:szCs w:val="18"/>
                <w:b w:val="1"/>
                <w:bCs w:val="1"/>
                <w:color w:val="auto"/>
              </w:rPr>
              <w:t>(dollars in thousands, except share data)</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3340" w:type="dxa"/>
            <w:vAlign w:val="bottom"/>
          </w:tcPr>
          <w:p>
            <w:pPr>
              <w:spacing w:after="0"/>
              <w:rPr>
                <w:sz w:val="20"/>
                <w:szCs w:val="20"/>
                <w:color w:val="auto"/>
              </w:rPr>
            </w:pPr>
            <w:r>
              <w:rPr>
                <w:rFonts w:ascii="Arial" w:cs="Arial" w:eastAsia="Arial" w:hAnsi="Arial"/>
                <w:sz w:val="18"/>
                <w:szCs w:val="18"/>
                <w:b w:val="1"/>
                <w:bCs w:val="1"/>
                <w:color w:val="auto"/>
              </w:rPr>
              <w:t>Balance at December 31, 2009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59,007,565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174,188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12,584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380,509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572,246</w:t>
            </w:r>
          </w:p>
        </w:tc>
        <w:tc>
          <w:tcPr>
            <w:tcW w:w="60" w:type="dxa"/>
            <w:vAlign w:val="bottom"/>
          </w:tcPr>
          <w:p>
            <w:pPr>
              <w:spacing w:after="0"/>
              <w:rPr>
                <w:sz w:val="24"/>
                <w:szCs w:val="24"/>
                <w:color w:val="auto"/>
              </w:rPr>
            </w:pP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64,971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64,971</w:t>
            </w:r>
          </w:p>
        </w:tc>
        <w:tc>
          <w:tcPr>
            <w:tcW w:w="6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Currency translation adjustment (net of</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taxation)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(9,445)</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(9,445)</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Total comprehensive income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55,526</w:t>
            </w:r>
          </w:p>
        </w:tc>
        <w:tc>
          <w:tcPr>
            <w:tcW w:w="60" w:type="dxa"/>
            <w:vAlign w:val="bottom"/>
          </w:tcPr>
          <w:p>
            <w:pPr>
              <w:spacing w:after="0"/>
              <w:rPr>
                <w:sz w:val="17"/>
                <w:szCs w:val="17"/>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Share issuance costs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1,067,351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11,560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11,645</w:t>
            </w:r>
          </w:p>
        </w:tc>
        <w:tc>
          <w:tcPr>
            <w:tcW w:w="6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5,549</w:t>
            </w:r>
          </w:p>
        </w:tc>
        <w:tc>
          <w:tcPr>
            <w:tcW w:w="60" w:type="dxa"/>
            <w:vAlign w:val="bottom"/>
          </w:tcPr>
          <w:p>
            <w:pPr>
              <w:spacing w:after="0"/>
              <w:rPr>
                <w:sz w:val="18"/>
                <w:szCs w:val="18"/>
                <w:color w:val="auto"/>
              </w:rPr>
            </w:pPr>
          </w:p>
        </w:tc>
      </w:tr>
      <w:tr>
        <w:trPr>
          <w:trHeight w:val="237"/>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 on exercise of options</w:t>
            </w: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2,248</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60" w:type="dxa"/>
            <w:vAlign w:val="bottom"/>
          </w:tcPr>
          <w:p>
            <w:pPr>
              <w:spacing w:after="0"/>
              <w:rPr>
                <w:sz w:val="20"/>
                <w:szCs w:val="20"/>
                <w:color w:val="auto"/>
              </w:rPr>
            </w:pPr>
          </w:p>
        </w:tc>
      </w:tr>
      <w:tr>
        <w:trPr>
          <w:trHeight w:val="439"/>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September 30, 2010</w:t>
            </w: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60,074,916</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193,494</w:t>
            </w:r>
          </w:p>
        </w:tc>
        <w:tc>
          <w:tcPr>
            <w:tcW w:w="2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3,139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445,480</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647,163</w:t>
            </w:r>
          </w:p>
        </w:tc>
        <w:tc>
          <w:tcPr>
            <w:tcW w:w="6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2009. Operating results for the nine months ended September 30, 2010, are not necessarily indicative of the results that may be expected for the fiscal period ending December 31,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2. Goodwill</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66"/>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Opening balance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173,568</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169,344</w:t>
            </w:r>
          </w:p>
        </w:tc>
        <w:tc>
          <w:tcPr>
            <w:tcW w:w="4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1,584</w:t>
            </w:r>
          </w:p>
        </w:tc>
        <w:tc>
          <w:tcPr>
            <w:tcW w:w="4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Prior period acquisitions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(836)</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3,476</w:t>
            </w:r>
          </w:p>
        </w:tc>
        <w:tc>
          <w:tcPr>
            <w:tcW w:w="40" w:type="dxa"/>
            <w:vAlign w:val="bottom"/>
          </w:tcPr>
          <w:p>
            <w:pPr>
              <w:spacing w:after="0"/>
              <w:rPr>
                <w:sz w:val="20"/>
                <w:szCs w:val="20"/>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Closing balance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176,715</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173,568</w:t>
            </w:r>
          </w:p>
        </w:tc>
        <w:tc>
          <w:tcPr>
            <w:tcW w:w="4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17, 2010 the Company acquired Timaq Medical Imaging (“Timaq”), a European provider of advanced imaging services to the pharmaceutical and biotechnology industry, headquartered in Zurich, Switzerland for an initial cash consideration of CHF 1.3 million ($1.2 million). Certain performance milestones were built into the acquisition agreement requiring potential additional consideration of up to CHF 2.9 million ($3.0 million) if these milestones are achieved during the years ended December 31, 2010 to December 31, 2013. CHF 2.9 million ($3.0 million) was accrued in relation to these milestones at September 30, 2010.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Timaq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following table summarizes the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May 17</w:t>
            </w:r>
          </w:p>
        </w:tc>
      </w:tr>
      <w:tr>
        <w:trPr>
          <w:trHeight w:val="223"/>
        </w:trPr>
        <w:tc>
          <w:tcPr>
            <w:tcW w:w="61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202"/>
        </w:trPr>
        <w:tc>
          <w:tcPr>
            <w:tcW w:w="61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Goodwill</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3,732</w:t>
            </w:r>
          </w:p>
        </w:tc>
        <w:tc>
          <w:tcPr>
            <w:tcW w:w="6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current assets</w:t>
            </w: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6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432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60" w:type="dxa"/>
            <w:vAlign w:val="bottom"/>
          </w:tcPr>
          <w:p>
            <w:pPr>
              <w:spacing w:after="0"/>
              <w:rPr>
                <w:sz w:val="18"/>
                <w:szCs w:val="18"/>
                <w:color w:val="auto"/>
              </w:rPr>
            </w:pPr>
          </w:p>
        </w:tc>
      </w:tr>
      <w:tr>
        <w:trPr>
          <w:trHeight w:val="21"/>
        </w:trPr>
        <w:tc>
          <w:tcPr>
            <w:tcW w:w="61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advanced imaging services to the pharmaceutical and biotechnology industry.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Prior Period Acquisitions - Acquisition of Qualia Clinical Services Inc. and Veeda Laboratories Ltd.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2009 the Company completed the acquisitions of Qualia Clinical Services, Inc. a Phase 1 facility located in Omaha, Nebraska and Veeda Laboratories Limited, a specialist provider of biomarker laboratory services to the global pharmaceutical and biotechnology industries, located in Oxford, United Kingdom, neither of which are considered individually significant. In aggregate, the total purchase price for these acquisitions was approximately $2.2 million. The excess of the consideration paid over the carrying value of the assets acquired of $0.6 million has been recorded as goodwill of $1.6 million.</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acquisitions of Qualia Clinical Services Inc. and Veeda Laboratories Ltd. have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which is effective for all acquisitions which have taken place since January 1, 2009</w:t>
      </w:r>
      <w:r>
        <w:rPr>
          <w:rFonts w:ascii="Arial" w:cs="Arial" w:eastAsia="Arial" w:hAnsi="Arial"/>
          <w:sz w:val="18"/>
          <w:szCs w:val="18"/>
          <w:i w:val="1"/>
          <w:i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following table summarizes the fair values of the assets acquired and the liabilities assumed:</w:t>
            </w: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6"/>
        </w:trPr>
        <w:tc>
          <w:tcPr>
            <w:tcW w:w="8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4"/>
                <w:szCs w:val="24"/>
                <w:color w:val="auto"/>
              </w:rPr>
            </w:pPr>
          </w:p>
        </w:tc>
      </w:tr>
      <w:tr>
        <w:trPr>
          <w:trHeight w:val="202"/>
        </w:trPr>
        <w:tc>
          <w:tcPr>
            <w:tcW w:w="8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17"/>
                <w:szCs w:val="17"/>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Intangible assets</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w:t>
            </w:r>
          </w:p>
        </w:tc>
        <w:tc>
          <w:tcPr>
            <w:tcW w:w="6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1,694</w:t>
            </w:r>
          </w:p>
        </w:tc>
        <w:tc>
          <w:tcPr>
            <w:tcW w:w="6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Cash</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(617)</w:t>
            </w:r>
          </w:p>
        </w:tc>
      </w:tr>
      <w:tr>
        <w:trPr>
          <w:trHeight w:val="237"/>
        </w:trPr>
        <w:tc>
          <w:tcPr>
            <w:tcW w:w="85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200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60" w:type="dxa"/>
            <w:vAlign w:val="bottom"/>
          </w:tcPr>
          <w:p>
            <w:pPr>
              <w:spacing w:after="0"/>
              <w:rPr>
                <w:sz w:val="18"/>
                <w:szCs w:val="18"/>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Acquisition of Healthcare Discoveries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11, 2008 the Company acquired 100% of the common stock of Healthcare Discoveries Inc. for an initial cash consideration of $11.1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On September 3, 2010 $2.2 million was paid to the former shareholders of Healthcare Discoveries Inc. in full and final settlement of the outstanding consideration payable.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Healthcare Discoveries has been accounted for as a business combination in accordance with FASB Statement No. 141. The following table summarizes the fair values of the assets acquired and the liabilities assumed at the date of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February 11</w:t>
            </w:r>
          </w:p>
        </w:tc>
      </w:tr>
      <w:tr>
        <w:trPr>
          <w:trHeight w:val="223"/>
        </w:trPr>
        <w:tc>
          <w:tcPr>
            <w:tcW w:w="61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r>
      <w:tr>
        <w:trPr>
          <w:trHeight w:val="202"/>
        </w:trPr>
        <w:tc>
          <w:tcPr>
            <w:tcW w:w="61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Intangible assets</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2,890</w:t>
            </w:r>
          </w:p>
        </w:tc>
        <w:tc>
          <w:tcPr>
            <w:tcW w:w="6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Goodwill</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12,424</w:t>
            </w:r>
          </w:p>
        </w:tc>
        <w:tc>
          <w:tcPr>
            <w:tcW w:w="6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Cash</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 current assets</w:t>
            </w:r>
          </w:p>
        </w:tc>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(1,951)</w:t>
            </w:r>
          </w:p>
        </w:tc>
      </w:tr>
      <w:tr>
        <w:trPr>
          <w:trHeight w:val="216"/>
        </w:trPr>
        <w:tc>
          <w:tcPr>
            <w:tcW w:w="6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4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14,270</w:t>
            </w:r>
          </w:p>
        </w:tc>
        <w:tc>
          <w:tcPr>
            <w:tcW w:w="60" w:type="dxa"/>
            <w:vAlign w:val="bottom"/>
          </w:tcPr>
          <w:p>
            <w:pPr>
              <w:spacing w:after="0"/>
              <w:rPr>
                <w:sz w:val="18"/>
                <w:szCs w:val="18"/>
                <w:color w:val="auto"/>
              </w:rPr>
            </w:pPr>
          </w:p>
        </w:tc>
      </w:tr>
      <w:tr>
        <w:trPr>
          <w:trHeight w:val="21"/>
        </w:trPr>
        <w:tc>
          <w:tcPr>
            <w:tcW w:w="61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Goodwill represents the acquisition of an established workforce with experience in the provision of Phase I clinical trial management services to pharmaceutical and biotechnology companies.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Arial" w:cs="Arial" w:eastAsia="Arial" w:hAnsi="Arial"/>
                <w:sz w:val="18"/>
                <w:szCs w:val="18"/>
                <w:b w:val="1"/>
                <w:bCs w:val="1"/>
                <w:color w:val="auto"/>
              </w:rPr>
              <w:t>3. One-time net charges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18"/>
                <w:szCs w:val="18"/>
                <w:color w:val="auto"/>
              </w:rPr>
              <w:t>One-time net charges recognized during the nine months ended September 30, 2010 comprise:</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7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7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September 30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7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7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Restructuring charge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13,434</w:t>
            </w:r>
          </w:p>
        </w:tc>
        <w:tc>
          <w:tcPr>
            <w:tcW w:w="40" w:type="dxa"/>
            <w:vAlign w:val="bottom"/>
          </w:tcPr>
          <w:p>
            <w:pPr>
              <w:spacing w:after="0"/>
              <w:rPr>
                <w:sz w:val="18"/>
                <w:szCs w:val="18"/>
                <w:color w:val="auto"/>
              </w:rPr>
            </w:pPr>
          </w:p>
        </w:tc>
      </w:tr>
      <w:tr>
        <w:trPr>
          <w:trHeight w:val="237"/>
        </w:trPr>
        <w:tc>
          <w:tcPr>
            <w:tcW w:w="7820" w:type="dxa"/>
            <w:vAlign w:val="bottom"/>
          </w:tcPr>
          <w:p>
            <w:pPr>
              <w:spacing w:after="0"/>
              <w:rPr>
                <w:sz w:val="20"/>
                <w:szCs w:val="20"/>
                <w:color w:val="auto"/>
              </w:rPr>
            </w:pPr>
            <w:r>
              <w:rPr>
                <w:rFonts w:ascii="Arial" w:cs="Arial" w:eastAsia="Arial" w:hAnsi="Arial"/>
                <w:sz w:val="18"/>
                <w:szCs w:val="18"/>
                <w:color w:val="auto"/>
              </w:rPr>
              <w:t>Research and development incentives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(4,493)</w:t>
            </w:r>
          </w:p>
        </w:tc>
      </w:tr>
      <w:tr>
        <w:trPr>
          <w:trHeight w:val="216"/>
        </w:trPr>
        <w:tc>
          <w:tcPr>
            <w:tcW w:w="78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8,941</w:t>
            </w:r>
          </w:p>
        </w:tc>
        <w:tc>
          <w:tcPr>
            <w:tcW w:w="40" w:type="dxa"/>
            <w:vAlign w:val="bottom"/>
          </w:tcPr>
          <w:p>
            <w:pPr>
              <w:spacing w:after="0"/>
              <w:rPr>
                <w:sz w:val="18"/>
                <w:szCs w:val="18"/>
                <w:color w:val="auto"/>
              </w:rPr>
            </w:pPr>
          </w:p>
        </w:tc>
      </w:tr>
      <w:tr>
        <w:trPr>
          <w:trHeight w:val="21"/>
        </w:trPr>
        <w:tc>
          <w:tcPr>
            <w:tcW w:w="7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response to the globalization of clinical studies and its attendant impact on resources in existing and emerging markets, the Company conducted a review of its existing infrastructure during the three months ended June 30, 2009 to better align its resources with the needs of its clients. This realignment resulted in resource rationalizations in certain more mature markets in which the Company operates. A restructuring charge of $13.4 million was recognised during the three months ended June 30, 2009 comprising $8.3 million in respect of office consolidations and $5.1 million is respect of workforce reductions.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Tax Incentives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2009 the Company received research and development incentives in certain jurisdictions in which it operates. 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the operating expenditure to which the credits relate. Income of $4.5 million was recognized duri ng the nine months ended September 30, 2009 in respect of these incentives.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4. Income Taxes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66"/>
        </w:trPr>
        <w:tc>
          <w:tcPr>
            <w:tcW w:w="4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88"/>
              </w:rPr>
              <w:t>September 30</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9"/>
                <w:szCs w:val="19"/>
                <w:color w:val="auto"/>
              </w:rPr>
            </w:pP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4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Provision for income taxes before one-time credits</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(1,998)</w:t>
            </w:r>
          </w:p>
        </w:tc>
        <w:tc>
          <w:tcPr>
            <w:tcW w:w="8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5,765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5,255</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16,687</w:t>
            </w:r>
          </w:p>
        </w:tc>
        <w:tc>
          <w:tcPr>
            <w:tcW w:w="40" w:type="dxa"/>
            <w:vAlign w:val="bottom"/>
          </w:tcPr>
          <w:p>
            <w:pPr>
              <w:spacing w:after="0"/>
              <w:rPr>
                <w:sz w:val="18"/>
                <w:szCs w:val="18"/>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One-time credits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(4,714)</w:t>
            </w:r>
          </w:p>
        </w:tc>
      </w:tr>
      <w:tr>
        <w:trPr>
          <w:trHeight w:val="432"/>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Provision for income taxes after one time credits</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(1,998)</w:t>
            </w:r>
          </w:p>
        </w:tc>
        <w:tc>
          <w:tcPr>
            <w:tcW w:w="80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3"/>
              </w:rPr>
              <w:t>5,765</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5,255</w:t>
            </w:r>
          </w:p>
        </w:tc>
        <w:tc>
          <w:tcPr>
            <w:tcW w:w="4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11,973</w:t>
            </w:r>
          </w:p>
        </w:tc>
        <w:tc>
          <w:tcPr>
            <w:tcW w:w="40" w:type="dxa"/>
            <w:vAlign w:val="bottom"/>
          </w:tcPr>
          <w:p>
            <w:pPr>
              <w:spacing w:after="0"/>
              <w:rPr>
                <w:sz w:val="24"/>
                <w:szCs w:val="24"/>
                <w:color w:val="auto"/>
              </w:rPr>
            </w:pP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Provision for income taxes for the three months ended September 30, 2010 comprised a net tax credit of $2.0 million, compared to a charge of $5.8 million for the three months ended September 30, 2009. The reduction in the provision for income taxes was primarily due to a decrease of $6.0 million in unrecognized tax benefits for uncertain tax positions, arising from both the settlement of positions with the relevant tax authorities and the expiration of the relevant statute of limitations in certain jurisdictions, allowing for the recognition of these benefits during the three months ended September 30, 2010.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Provision for income taxes for the nine months ended September 30, 2009 are inclusive of one-time credits which comprise corporation tax refunds arising from research and development tax credits received in certain jurisdictions in which the Company operates and the tax effect of restructuring costs recognized.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September 30, 2010 the Company maintains a $12.0 million liability (December 31, 2009: $18.9 million) for unrecognized tax benefit, which is comprised of $10.3 million (December 31, 2009: $15.4 million) related to items generating unrecognized tax benefits and $1.7 million (December 31, 2009: $3.5 million) for interest and related penalties to such items. The Company recognizes interest accrued on unrecognized tax benefits as an additional income tax expense.</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2005 through 2009 tax years. The Company does not believe that the outcome of any examination will have a material impact on its financial statements.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September 30</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4"/>
              </w:rPr>
              <w:t>September 30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w w:val="92"/>
              </w:rPr>
              <w:t>Weighted average number of ordinary shares outstanding for basic net income per</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ordinary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59,940,045</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58,624,028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59,576,777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58,579,402</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Effect of dilutive share options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803,358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1,329,546</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999,281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1,201,690</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w w:val="94"/>
              </w:rPr>
              <w:t>Weighted average number of ordinary shares for diluted net income per ordinary</w:t>
            </w: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share</w:t>
            </w:r>
          </w:p>
        </w:tc>
        <w:tc>
          <w:tcPr>
            <w:tcW w:w="1160" w:type="dxa"/>
            <w:vAlign w:val="bottom"/>
          </w:tcPr>
          <w:p>
            <w:pPr>
              <w:jc w:val="right"/>
              <w:spacing w:after="0"/>
              <w:rPr>
                <w:sz w:val="20"/>
                <w:szCs w:val="20"/>
                <w:color w:val="auto"/>
              </w:rPr>
            </w:pPr>
            <w:r>
              <w:rPr>
                <w:rFonts w:ascii="Arial" w:cs="Arial" w:eastAsia="Arial" w:hAnsi="Arial"/>
                <w:sz w:val="18"/>
                <w:szCs w:val="18"/>
                <w:color w:val="auto"/>
              </w:rPr>
              <w:t>60,743,403</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59,953,574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60,576,058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59,781,092</w:t>
            </w:r>
          </w:p>
        </w:tc>
        <w:tc>
          <w:tcPr>
            <w:tcW w:w="0" w:type="dxa"/>
            <w:vAlign w:val="bottom"/>
          </w:tcPr>
          <w:p>
            <w:pPr>
              <w:spacing w:after="0"/>
              <w:rPr>
                <w:sz w:val="1"/>
                <w:szCs w:val="1"/>
                <w:color w:val="auto"/>
              </w:rPr>
            </w:pPr>
          </w:p>
        </w:tc>
      </w:tr>
      <w:tr>
        <w:trPr>
          <w:trHeight w:val="21"/>
        </w:trPr>
        <w:tc>
          <w:tcPr>
            <w:tcW w:w="608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0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0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Stock Options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2008 the Company adopted the Employee Share Option Plan 2008 (the “2008 Employee Plan”) pursuant to which the Compensation and Organization Committee of the Company’s Board of Directors (the “Committee”) may grant options to any employee, or any director holding a salaried office or employment with the Company or a Subsidiary for the purchase of ordinary shares. On the same date, the Company also adopted the Consultants Share Option Plan 2008 (the “2008 Consultants’ Option Plan”), pursuant to which the Committee may grant options to any consultant, adviser or non-executive director retained by the Company or any Subsidiary for the purchase of ordinary shares.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the 2008 Employees Restricted Share Unit Plan (the “2008 RSU Plan”) pursuant to which the Committee may select any employee, or any director holding a salaried office or employment with the Company or a Subsidiary to receive an award under the plan. An aggregate of 1.0 million ordinary shares have been reserved for issuance under the 2008 RSU Plan. Awards under the 2008 RSU Plan may be settled in cash or shares.</w:t>
      </w:r>
    </w:p>
    <w:p>
      <w:pPr>
        <w:spacing w:after="0" w:line="21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January 17, 2003 the Company adopted the Share Option Plan 2003 (the “2003 Plan”) pursuant to which the Committee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17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No options can be granted after January 17, 2013.</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2010 is eight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60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60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60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34"/>
        </w:trPr>
        <w:tc>
          <w:tcPr>
            <w:tcW w:w="608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Life</w:t>
            </w:r>
          </w:p>
        </w:tc>
      </w:tr>
      <w:tr>
        <w:trPr>
          <w:trHeight w:val="439"/>
        </w:trPr>
        <w:tc>
          <w:tcPr>
            <w:tcW w:w="608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5,408,222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18.99</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7.60</w:t>
            </w:r>
          </w:p>
        </w:tc>
        <w:tc>
          <w:tcPr>
            <w:tcW w:w="1140" w:type="dxa"/>
            <w:vAlign w:val="bottom"/>
            <w:tcBorders>
              <w:bottom w:val="single" w:sz="8" w:color="auto"/>
            </w:tcBorders>
          </w:tcPr>
          <w:p>
            <w:pPr>
              <w:spacing w:after="0"/>
              <w:rPr>
                <w:sz w:val="24"/>
                <w:szCs w:val="24"/>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1,003,327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9.15</w:t>
            </w:r>
          </w:p>
        </w:tc>
        <w:tc>
          <w:tcPr>
            <w:tcW w:w="1140" w:type="dxa"/>
            <w:vAlign w:val="bottom"/>
          </w:tcPr>
          <w:p>
            <w:pPr>
              <w:spacing w:after="0"/>
              <w:rPr>
                <w:sz w:val="24"/>
                <w:szCs w:val="24"/>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(1,064,839)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4.82</w:t>
            </w:r>
          </w:p>
        </w:tc>
        <w:tc>
          <w:tcPr>
            <w:tcW w:w="1140" w:type="dxa"/>
            <w:vAlign w:val="bottom"/>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9.96</w:t>
            </w:r>
          </w:p>
        </w:tc>
        <w:tc>
          <w:tcPr>
            <w:tcW w:w="1140" w:type="dxa"/>
            <w:vAlign w:val="bottom"/>
            <w:tcBorders>
              <w:bottom w:val="single" w:sz="8" w:color="auto"/>
            </w:tcBorders>
          </w:tcPr>
          <w:p>
            <w:pPr>
              <w:spacing w:after="0"/>
              <w:rPr>
                <w:sz w:val="20"/>
                <w:szCs w:val="20"/>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Outstanding at September 30, 2010</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5,096,682</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1"/>
        </w:trPr>
        <w:tc>
          <w:tcPr>
            <w:tcW w:w="6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6"/>
        </w:trPr>
        <w:tc>
          <w:tcPr>
            <w:tcW w:w="6080" w:type="dxa"/>
            <w:vAlign w:val="bottom"/>
          </w:tcPr>
          <w:p>
            <w:pPr>
              <w:spacing w:after="0"/>
              <w:rPr>
                <w:sz w:val="20"/>
                <w:szCs w:val="20"/>
                <w:color w:val="auto"/>
              </w:rPr>
            </w:pPr>
            <w:r>
              <w:rPr>
                <w:rFonts w:ascii="Arial" w:cs="Arial" w:eastAsia="Arial" w:hAnsi="Arial"/>
                <w:sz w:val="18"/>
                <w:szCs w:val="18"/>
                <w:color w:val="auto"/>
              </w:rPr>
              <w:t>Exercisable at September 30, 2010</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2,298,244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1"/>
        </w:trPr>
        <w:tc>
          <w:tcPr>
            <w:tcW w:w="6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granted options with fair values ranging from $3.26 to $13.93 per option or a weighted average fair value of $6.63 per option. The Company issues ordinary shares for all options exercised. The total amount of fully vested share options which remained outstanding at September 30, 2010 was 2,298,244. Fully vested share options at September 30, 2010 have an average remaining contractual term of 3.63 years, an average exercise price of $17.34 and a total intrinsic value of $15.5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during the three months ended September 30, 2010 was $2.5 million (September 30, 2009: $0.7 million).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total intrinsic value of options exercised during the nine months ended September 30, 2010 was $11.4 million (September 30, 2009: $1.9 million).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w w:val="92"/>
              </w:rPr>
              <w:t>Non-vested shares outstanding as at September 30, 2010 are as follows:</w:t>
            </w:r>
          </w:p>
        </w:tc>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3"/>
              </w:rPr>
              <w:t>Average 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400" w:type="dxa"/>
            <w:vAlign w:val="bottom"/>
          </w:tcPr>
          <w:p>
            <w:pPr>
              <w:spacing w:after="0"/>
              <w:rPr>
                <w:sz w:val="20"/>
                <w:szCs w:val="20"/>
                <w:color w:val="auto"/>
              </w:rPr>
            </w:pPr>
            <w:r>
              <w:rPr>
                <w:rFonts w:ascii="Arial" w:cs="Arial" w:eastAsia="Arial" w:hAnsi="Arial"/>
                <w:sz w:val="18"/>
                <w:szCs w:val="18"/>
                <w:color w:val="auto"/>
              </w:rPr>
              <w:t>Non-vested outstanding at December 31, 2009</w:t>
            </w:r>
          </w:p>
        </w:tc>
        <w:tc>
          <w:tcPr>
            <w:tcW w:w="2040" w:type="dxa"/>
            <w:vAlign w:val="bottom"/>
          </w:tcPr>
          <w:p>
            <w:pPr>
              <w:spacing w:after="0"/>
              <w:rPr>
                <w:sz w:val="24"/>
                <w:szCs w:val="24"/>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2,904,687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3340" w:type="dxa"/>
            <w:vAlign w:val="bottom"/>
            <w:gridSpan w:val="2"/>
          </w:tcPr>
          <w:p>
            <w:pPr>
              <w:jc w:val="right"/>
              <w:ind w:right="50"/>
              <w:spacing w:after="0"/>
              <w:rPr>
                <w:sz w:val="20"/>
                <w:szCs w:val="20"/>
                <w:color w:val="auto"/>
              </w:rPr>
            </w:pPr>
            <w:r>
              <w:rPr>
                <w:rFonts w:ascii="Arial" w:cs="Arial" w:eastAsia="Arial" w:hAnsi="Arial"/>
                <w:sz w:val="18"/>
                <w:szCs w:val="18"/>
                <w:color w:val="auto"/>
              </w:rPr>
              <w:t>1,003,327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Vested</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(904,689)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204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(204,887)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rPr>
              <w:t>Non-vested outstanding at September 30, 2010</w:t>
            </w:r>
          </w:p>
        </w:tc>
        <w:tc>
          <w:tcPr>
            <w:tcW w:w="3340" w:type="dxa"/>
            <w:vAlign w:val="bottom"/>
            <w:gridSpan w:val="2"/>
          </w:tcPr>
          <w:p>
            <w:pPr>
              <w:jc w:val="right"/>
              <w:ind w:right="50"/>
              <w:spacing w:after="0"/>
              <w:rPr>
                <w:sz w:val="20"/>
                <w:szCs w:val="20"/>
                <w:color w:val="auto"/>
              </w:rPr>
            </w:pPr>
            <w:r>
              <w:rPr>
                <w:rFonts w:ascii="Arial" w:cs="Arial" w:eastAsia="Arial" w:hAnsi="Arial"/>
                <w:sz w:val="18"/>
                <w:szCs w:val="18"/>
                <w:color w:val="auto"/>
              </w:rPr>
              <w:t>2,798,438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040" w:type="dxa"/>
            <w:vAlign w:val="bottom"/>
            <w:vMerge w:val="restart"/>
          </w:tcPr>
          <w:p>
            <w:pPr>
              <w:jc w:val="right"/>
              <w:ind w:right="1550"/>
              <w:spacing w:after="0"/>
              <w:rPr>
                <w:sz w:val="20"/>
                <w:szCs w:val="20"/>
                <w:color w:val="auto"/>
              </w:rPr>
            </w:pPr>
            <w:r>
              <w:rPr>
                <w:rFonts w:ascii="Arial" w:cs="Arial" w:eastAsia="Arial" w:hAnsi="Arial"/>
                <w:sz w:val="18"/>
                <w:szCs w:val="18"/>
                <w:color w:val="auto"/>
              </w:rPr>
              <w:t>12</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4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40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Fair value of Stock Options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period ended September 30, 2010 and September 30, 2009 was calculated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fair values and assumptions used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100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34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4"/>
              </w:rPr>
              <w:t>September 30</w:t>
            </w: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140" w:type="dxa"/>
            <w:vAlign w:val="bottom"/>
          </w:tcPr>
          <w:p>
            <w:pPr>
              <w:spacing w:after="0"/>
              <w:rPr>
                <w:sz w:val="19"/>
                <w:szCs w:val="19"/>
                <w:color w:val="auto"/>
              </w:rPr>
            </w:pPr>
          </w:p>
        </w:tc>
      </w:tr>
      <w:tr>
        <w:trPr>
          <w:trHeight w:val="223"/>
        </w:trPr>
        <w:tc>
          <w:tcPr>
            <w:tcW w:w="100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r>
      <w:tr>
        <w:trPr>
          <w:trHeight w:val="439"/>
        </w:trPr>
        <w:tc>
          <w:tcPr>
            <w:tcW w:w="8720" w:type="dxa"/>
            <w:vAlign w:val="bottom"/>
            <w:gridSpan w:val="2"/>
          </w:tcPr>
          <w:p>
            <w:pPr>
              <w:spacing w:after="0"/>
              <w:rPr>
                <w:sz w:val="20"/>
                <w:szCs w:val="20"/>
                <w:color w:val="auto"/>
              </w:rPr>
            </w:pPr>
            <w:r>
              <w:rPr>
                <w:rFonts w:ascii="Arial" w:cs="Arial" w:eastAsia="Arial" w:hAnsi="Arial"/>
                <w:sz w:val="18"/>
                <w:szCs w:val="18"/>
                <w:color w:val="auto"/>
              </w:rPr>
              <w:t>Weighted average fair value</w:t>
            </w:r>
          </w:p>
        </w:tc>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8.47</w:t>
            </w:r>
          </w:p>
        </w:tc>
      </w:tr>
      <w:tr>
        <w:trPr>
          <w:trHeight w:val="392"/>
        </w:trPr>
        <w:tc>
          <w:tcPr>
            <w:tcW w:w="1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Assumptions:</w:t>
            </w:r>
          </w:p>
        </w:tc>
        <w:tc>
          <w:tcPr>
            <w:tcW w:w="7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4.05 years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 years</w:t>
            </w:r>
          </w:p>
        </w:tc>
        <w:tc>
          <w:tcPr>
            <w:tcW w:w="14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the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August 7, 2008 the Company issued 6,280 restricted share units to certain employees of the Group. These shares are exercisable over periods ranging from February 26, 2009 to February 26, 2011. The market value of the Company’s shares on date of issue was $41.95.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Non-cash stock compensation expense for the three and nine months ended September 30, 2010 has been allocated to direct costs and selling, general and administrative expenses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September 30</w:t>
            </w:r>
          </w:p>
        </w:tc>
        <w:tc>
          <w:tcPr>
            <w:tcW w:w="240" w:type="dxa"/>
            <w:vAlign w:val="bottom"/>
          </w:tcPr>
          <w:p>
            <w:pPr>
              <w:spacing w:after="0"/>
              <w:rPr>
                <w:sz w:val="19"/>
                <w:szCs w:val="19"/>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02"/>
        </w:trPr>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(In</w:t>
            </w:r>
          </w:p>
        </w:tc>
        <w:tc>
          <w:tcPr>
            <w:tcW w:w="94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w w:val="74"/>
              </w:rPr>
              <w:t>thousands)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(In</w:t>
            </w:r>
          </w:p>
        </w:tc>
        <w:tc>
          <w:tcPr>
            <w:tcW w:w="92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w w:val="74"/>
              </w:rPr>
              <w:t>thousands)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Direct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1,018</w:t>
            </w:r>
          </w:p>
        </w:tc>
        <w:tc>
          <w:tcPr>
            <w:tcW w:w="9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924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3,025</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2,718</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753</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2,216</w:t>
            </w:r>
          </w:p>
        </w:tc>
      </w:tr>
      <w:tr>
        <w:trPr>
          <w:trHeight w:val="432"/>
        </w:trPr>
        <w:tc>
          <w:tcPr>
            <w:tcW w:w="60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9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3"/>
              </w:rPr>
              <w:t>1,677</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5,549</w:t>
            </w:r>
          </w:p>
        </w:tc>
        <w:tc>
          <w:tcPr>
            <w:tcW w:w="82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4,934</w:t>
            </w:r>
          </w:p>
        </w:tc>
      </w:tr>
      <w:tr>
        <w:trPr>
          <w:trHeight w:val="21"/>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non-cash stock compensation expense not yet recognized at September 30, 2010 amounted to U.S.$17.8 million. The weighted average period over which this is expected to be recognized is 2.0 years. Total tax benefit recognized in additional paid in capital related to the non-cash compensation expense amounted to U.S. $0.1 million for the three months ended September 30, 2010 (2009:$0.1 million) and $2.2 million for the nine months ended September 30, 2010 (2009:$0.1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Segment Information</w:t>
      </w:r>
    </w:p>
    <w:p>
      <w:pPr>
        <w:spacing w:after="0" w:line="256"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7"/>
          <w:szCs w:val="17"/>
          <w:i w:val="1"/>
          <w:iCs w:val="1"/>
          <w:color w:val="auto"/>
        </w:rPr>
        <w:t>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Segments of an Enterprise and Related Information</w:t>
      </w:r>
      <w:r>
        <w:rPr>
          <w:rFonts w:ascii="Arial" w:cs="Arial" w:eastAsia="Arial" w:hAnsi="Arial"/>
          <w:sz w:val="17"/>
          <w:szCs w:val="17"/>
          <w:color w:val="auto"/>
        </w:rPr>
        <w:t>. The Group has one reportable segment, the Clinical Research segment.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areas of operation outside of Ireland principally include the United States, United Kingdom, France, Germany, Italy, Spain, The Netherlands, Denmark, Sweden, Finland, Poland, Czech Republic, Lithuania, Latvia, Russia, Ukraine, Hungary, Israel, Romania, Canada, Mexico, Brazil, Colombia, Argentina, Chile, Peru, India, China, Hong Kong, South Korea, Japan, Thailand, Taiwan, Singapore, The Philippines, Australia, New Zealand and South Africa. Segment information as at September 30, 2010 and September 30, 2009 and for the three and nine months ended September 30, 2010 and September 30, 2009, is as follows:</w:t>
      </w:r>
    </w:p>
    <w:p>
      <w:pPr>
        <w:spacing w:after="0" w:line="215" w:lineRule="exact"/>
        <w:rPr>
          <w:sz w:val="20"/>
          <w:szCs w:val="20"/>
          <w:color w:val="auto"/>
        </w:rPr>
      </w:pPr>
    </w:p>
    <w:p>
      <w:pPr>
        <w:ind w:left="840" w:hanging="520"/>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net revenue by geographical area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6"/>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September 30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r>
      <w:tr>
        <w:trPr>
          <w:trHeight w:val="202"/>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Ireland</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28,118</w:t>
            </w:r>
          </w:p>
        </w:tc>
        <w:tc>
          <w:tcPr>
            <w:tcW w:w="120" w:type="dxa"/>
            <w:vAlign w:val="bottom"/>
          </w:tcPr>
          <w:p>
            <w:pPr>
              <w:spacing w:after="0"/>
              <w:rPr>
                <w:sz w:val="18"/>
                <w:szCs w:val="18"/>
                <w:color w:val="auto"/>
              </w:rPr>
            </w:pP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46,182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90,996</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116,908</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Rest of Europe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72,897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57,420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213,747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175,229</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98,172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294,369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314,869</w:t>
            </w:r>
          </w:p>
        </w:tc>
      </w:tr>
      <w:tr>
        <w:trPr>
          <w:trHeight w:val="23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2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24,042</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18,587</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68,846</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53,187</w:t>
            </w:r>
          </w:p>
        </w:tc>
      </w:tr>
      <w:tr>
        <w:trPr>
          <w:trHeight w:val="432"/>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225,095</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220,361</w:t>
            </w:r>
          </w:p>
        </w:tc>
        <w:tc>
          <w:tcPr>
            <w:tcW w:w="3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667,958</w:t>
            </w:r>
          </w:p>
        </w:tc>
        <w:tc>
          <w:tcPr>
            <w:tcW w:w="6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660,193</w:t>
            </w: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840" w:hanging="657"/>
        <w:spacing w:after="0"/>
        <w:tabs>
          <w:tab w:leader="none" w:pos="8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6"/>
          </w:tcPr>
          <w:p>
            <w:pPr>
              <w:ind w:left="20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0"/>
                <w:szCs w:val="20"/>
                <w:color w:val="auto"/>
              </w:rPr>
            </w:pPr>
          </w:p>
        </w:tc>
      </w:tr>
      <w:tr>
        <w:trPr>
          <w:trHeight w:val="223"/>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September 30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(in</w:t>
            </w:r>
          </w:p>
        </w:tc>
        <w:tc>
          <w:tcPr>
            <w:tcW w:w="7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w w:val="71"/>
              </w:rPr>
              <w:t>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(in</w:t>
            </w:r>
          </w:p>
        </w:tc>
        <w:tc>
          <w:tcPr>
            <w:tcW w:w="7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w w:val="74"/>
              </w:rPr>
              <w:t>thousands)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Ireland</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4,410</w:t>
            </w:r>
          </w:p>
        </w:tc>
        <w:tc>
          <w:tcPr>
            <w:tcW w:w="120" w:type="dxa"/>
            <w:vAlign w:val="bottom"/>
          </w:tcPr>
          <w:p>
            <w:pPr>
              <w:spacing w:after="0"/>
              <w:rPr>
                <w:sz w:val="18"/>
                <w:szCs w:val="18"/>
                <w:color w:val="auto"/>
              </w:rPr>
            </w:pP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21,767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27,469</w:t>
            </w: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45,349</w:t>
            </w:r>
          </w:p>
        </w:tc>
        <w:tc>
          <w:tcPr>
            <w:tcW w:w="8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 of Europe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17,919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10,862</w:t>
            </w:r>
          </w:p>
        </w:tc>
        <w:tc>
          <w:tcPr>
            <w:tcW w:w="8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U.S.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18,502</w:t>
            </w:r>
          </w:p>
        </w:tc>
        <w:tc>
          <w:tcPr>
            <w:tcW w:w="80" w:type="dxa"/>
            <w:vAlign w:val="bottom"/>
          </w:tcPr>
          <w:p>
            <w:pPr>
              <w:spacing w:after="0"/>
              <w:rPr>
                <w:sz w:val="18"/>
                <w:szCs w:val="18"/>
                <w:color w:val="auto"/>
              </w:rPr>
            </w:pPr>
          </w:p>
        </w:tc>
      </w:tr>
      <w:tr>
        <w:trPr>
          <w:trHeight w:val="237"/>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2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2,989</w:t>
            </w:r>
          </w:p>
        </w:tc>
        <w:tc>
          <w:tcPr>
            <w:tcW w:w="8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17,625</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30,409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70,081</w:t>
            </w: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77,702</w:t>
            </w:r>
          </w:p>
        </w:tc>
        <w:tc>
          <w:tcPr>
            <w:tcW w:w="80" w:type="dxa"/>
            <w:vAlign w:val="bottom"/>
          </w:tcPr>
          <w:p>
            <w:pPr>
              <w:spacing w:after="0"/>
              <w:rPr>
                <w:sz w:val="24"/>
                <w:szCs w:val="24"/>
                <w:color w:val="auto"/>
              </w:rPr>
            </w:pPr>
          </w:p>
        </w:tc>
      </w:tr>
      <w:tr>
        <w:trPr>
          <w:trHeight w:val="21"/>
        </w:trPr>
        <w:tc>
          <w:tcPr>
            <w:tcW w:w="346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1"/>
        </w:trPr>
        <w:tc>
          <w:tcPr>
            <w:tcW w:w="3460" w:type="dxa"/>
            <w:vAlign w:val="bottom"/>
          </w:tcPr>
          <w:p>
            <w:pPr>
              <w:spacing w:after="0"/>
              <w:rPr>
                <w:sz w:val="24"/>
                <w:szCs w:val="24"/>
                <w:color w:val="auto"/>
              </w:rPr>
            </w:pPr>
          </w:p>
        </w:tc>
        <w:tc>
          <w:tcPr>
            <w:tcW w:w="262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8"/>
        </w:trPr>
        <w:tc>
          <w:tcPr>
            <w:tcW w:w="346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 The distribution of property, plant and equipment, net, by geographical area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September 30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5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Ireland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109,838</w:t>
            </w:r>
          </w:p>
        </w:tc>
        <w:tc>
          <w:tcPr>
            <w:tcW w:w="80" w:type="dxa"/>
            <w:vAlign w:val="bottom"/>
          </w:tcPr>
          <w:p>
            <w:pPr>
              <w:spacing w:after="0"/>
              <w:rPr>
                <w:sz w:val="18"/>
                <w:szCs w:val="18"/>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107,049</w:t>
            </w:r>
          </w:p>
        </w:tc>
        <w:tc>
          <w:tcPr>
            <w:tcW w:w="8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16,846</w:t>
            </w:r>
          </w:p>
        </w:tc>
        <w:tc>
          <w:tcPr>
            <w:tcW w:w="6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16,673</w:t>
            </w:r>
          </w:p>
        </w:tc>
        <w:tc>
          <w:tcPr>
            <w:tcW w:w="8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35,955</w:t>
            </w:r>
          </w:p>
        </w:tc>
        <w:tc>
          <w:tcPr>
            <w:tcW w:w="6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45,194</w:t>
            </w:r>
          </w:p>
        </w:tc>
        <w:tc>
          <w:tcPr>
            <w:tcW w:w="80" w:type="dxa"/>
            <w:vAlign w:val="bottom"/>
          </w:tcPr>
          <w:p>
            <w:pPr>
              <w:spacing w:after="0"/>
              <w:rPr>
                <w:sz w:val="18"/>
                <w:szCs w:val="18"/>
                <w:color w:val="auto"/>
              </w:rPr>
            </w:pPr>
          </w:p>
        </w:tc>
      </w:tr>
      <w:tr>
        <w:trPr>
          <w:trHeight w:val="23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10,244</w:t>
            </w: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10,073</w:t>
            </w:r>
          </w:p>
        </w:tc>
        <w:tc>
          <w:tcPr>
            <w:tcW w:w="80" w:type="dxa"/>
            <w:vAlign w:val="bottom"/>
          </w:tcPr>
          <w:p>
            <w:pPr>
              <w:spacing w:after="0"/>
              <w:rPr>
                <w:sz w:val="20"/>
                <w:szCs w:val="20"/>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172,883</w:t>
            </w:r>
          </w:p>
        </w:tc>
        <w:tc>
          <w:tcPr>
            <w:tcW w:w="80" w:type="dxa"/>
            <w:vAlign w:val="bottom"/>
          </w:tcPr>
          <w:p>
            <w:pPr>
              <w:spacing w:after="0"/>
              <w:rPr>
                <w:sz w:val="24"/>
                <w:szCs w:val="24"/>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178,989</w:t>
            </w:r>
          </w:p>
        </w:tc>
        <w:tc>
          <w:tcPr>
            <w:tcW w:w="80" w:type="dxa"/>
            <w:vAlign w:val="bottom"/>
          </w:tcPr>
          <w:p>
            <w:pPr>
              <w:spacing w:after="0"/>
              <w:rPr>
                <w:sz w:val="24"/>
                <w:szCs w:val="24"/>
                <w:color w:val="auto"/>
              </w:rPr>
            </w:pPr>
          </w:p>
        </w:tc>
      </w:tr>
      <w:tr>
        <w:trPr>
          <w:trHeight w:val="21"/>
        </w:trPr>
        <w:tc>
          <w:tcPr>
            <w:tcW w:w="608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240" w:type="dxa"/>
            <w:vAlign w:val="bottom"/>
            <w:gridSpan w:val="4"/>
          </w:tcPr>
          <w:p>
            <w:pPr>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5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6"/>
          </w:tcPr>
          <w:p>
            <w:pPr>
              <w:ind w:left="20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4"/>
                <w:szCs w:val="24"/>
                <w:color w:val="auto"/>
              </w:rPr>
            </w:pPr>
          </w:p>
        </w:tc>
      </w:tr>
      <w:tr>
        <w:trPr>
          <w:trHeight w:val="223"/>
        </w:trPr>
        <w:tc>
          <w:tcPr>
            <w:tcW w:w="5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September 30</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6"/>
              </w:rPr>
              <w:t>September 30</w:t>
            </w: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5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0"/>
              <w:spacing w:after="0" w:line="201" w:lineRule="exact"/>
              <w:rPr>
                <w:sz w:val="20"/>
                <w:szCs w:val="20"/>
                <w:color w:val="auto"/>
              </w:rPr>
            </w:pPr>
            <w:r>
              <w:rPr>
                <w:rFonts w:ascii="Arial" w:cs="Arial" w:eastAsia="Arial" w:hAnsi="Arial"/>
                <w:sz w:val="18"/>
                <w:szCs w:val="18"/>
                <w:b w:val="1"/>
                <w:bCs w:val="1"/>
                <w:color w:val="auto"/>
              </w:rPr>
              <w:t>(in</w:t>
            </w:r>
          </w:p>
        </w:tc>
        <w:tc>
          <w:tcPr>
            <w:tcW w:w="94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71"/>
              </w:rPr>
              <w:t>thousands)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130"/>
              <w:spacing w:after="0" w:line="201" w:lineRule="exact"/>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spacing w:after="0"/>
              <w:rPr>
                <w:sz w:val="20"/>
                <w:szCs w:val="20"/>
                <w:color w:val="auto"/>
              </w:rPr>
            </w:pPr>
            <w:r>
              <w:rPr>
                <w:rFonts w:ascii="Arial" w:cs="Arial" w:eastAsia="Arial" w:hAnsi="Arial"/>
                <w:sz w:val="16"/>
                <w:szCs w:val="16"/>
                <w:b w:val="1"/>
                <w:bCs w:val="1"/>
                <w:color w:val="auto"/>
                <w:w w:val="74"/>
              </w:rPr>
              <w:t>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Ireland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2,470</w:t>
            </w:r>
          </w:p>
        </w:tc>
        <w:tc>
          <w:tcPr>
            <w:tcW w:w="9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2,442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7,447</w:t>
            </w:r>
          </w:p>
        </w:tc>
        <w:tc>
          <w:tcPr>
            <w:tcW w:w="80" w:type="dxa"/>
            <w:vAlign w:val="bottom"/>
          </w:tcPr>
          <w:p>
            <w:pPr>
              <w:spacing w:after="0"/>
              <w:rPr>
                <w:sz w:val="18"/>
                <w:szCs w:val="18"/>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4,195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3,941</w:t>
            </w:r>
          </w:p>
        </w:tc>
        <w:tc>
          <w:tcPr>
            <w:tcW w:w="8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10,381</w:t>
            </w:r>
          </w:p>
        </w:tc>
        <w:tc>
          <w:tcPr>
            <w:tcW w:w="6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10,319</w:t>
            </w:r>
          </w:p>
        </w:tc>
        <w:tc>
          <w:tcPr>
            <w:tcW w:w="80" w:type="dxa"/>
            <w:vAlign w:val="bottom"/>
          </w:tcPr>
          <w:p>
            <w:pPr>
              <w:spacing w:after="0"/>
              <w:rPr>
                <w:sz w:val="18"/>
                <w:szCs w:val="18"/>
                <w:color w:val="auto"/>
              </w:rPr>
            </w:pPr>
          </w:p>
        </w:tc>
      </w:tr>
      <w:tr>
        <w:trPr>
          <w:trHeight w:val="23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2,982</w:t>
            </w: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2,259</w:t>
            </w:r>
          </w:p>
        </w:tc>
        <w:tc>
          <w:tcPr>
            <w:tcW w:w="80" w:type="dxa"/>
            <w:vAlign w:val="bottom"/>
          </w:tcPr>
          <w:p>
            <w:pPr>
              <w:spacing w:after="0"/>
              <w:rPr>
                <w:sz w:val="20"/>
                <w:szCs w:val="20"/>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8,002</w:t>
            </w:r>
          </w:p>
        </w:tc>
        <w:tc>
          <w:tcPr>
            <w:tcW w:w="9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8,404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25,005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23,420</w:t>
            </w:r>
          </w:p>
        </w:tc>
        <w:tc>
          <w:tcPr>
            <w:tcW w:w="80" w:type="dxa"/>
            <w:vAlign w:val="bottom"/>
          </w:tcPr>
          <w:p>
            <w:pPr>
              <w:spacing w:after="0"/>
              <w:rPr>
                <w:sz w:val="24"/>
                <w:szCs w:val="24"/>
                <w:color w:val="auto"/>
              </w:rPr>
            </w:pPr>
          </w:p>
        </w:tc>
      </w:tr>
      <w:tr>
        <w:trPr>
          <w:trHeight w:val="21"/>
        </w:trPr>
        <w:tc>
          <w:tcPr>
            <w:tcW w:w="5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340" w:type="dxa"/>
            <w:vAlign w:val="bottom"/>
          </w:tcPr>
          <w:p>
            <w:pPr>
              <w:spacing w:after="0"/>
              <w:rPr>
                <w:sz w:val="20"/>
                <w:szCs w:val="20"/>
                <w:color w:val="auto"/>
              </w:rPr>
            </w:pPr>
            <w:r>
              <w:rPr>
                <w:rFonts w:ascii="Arial" w:cs="Arial" w:eastAsia="Arial" w:hAnsi="Arial"/>
                <w:sz w:val="18"/>
                <w:szCs w:val="18"/>
                <w:color w:val="auto"/>
                <w:w w:val="95"/>
              </w:rPr>
              <w:t>e) The distribution of total assets by geographical area was as follows: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5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September 30</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r>
      <w:tr>
        <w:trPr>
          <w:trHeight w:val="223"/>
        </w:trPr>
        <w:tc>
          <w:tcPr>
            <w:tcW w:w="5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5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Ireland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412,883</w:t>
            </w:r>
          </w:p>
        </w:tc>
        <w:tc>
          <w:tcPr>
            <w:tcW w:w="80" w:type="dxa"/>
            <w:vAlign w:val="bottom"/>
          </w:tcPr>
          <w:p>
            <w:pPr>
              <w:spacing w:after="0"/>
              <w:rPr>
                <w:sz w:val="18"/>
                <w:szCs w:val="18"/>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319,528</w:t>
            </w:r>
          </w:p>
        </w:tc>
        <w:tc>
          <w:tcPr>
            <w:tcW w:w="8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174,836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184,630</w:t>
            </w:r>
          </w:p>
        </w:tc>
        <w:tc>
          <w:tcPr>
            <w:tcW w:w="8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322,677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375,682</w:t>
            </w:r>
          </w:p>
        </w:tc>
        <w:tc>
          <w:tcPr>
            <w:tcW w:w="80" w:type="dxa"/>
            <w:vAlign w:val="bottom"/>
          </w:tcPr>
          <w:p>
            <w:pPr>
              <w:spacing w:after="0"/>
              <w:rPr>
                <w:sz w:val="18"/>
                <w:szCs w:val="18"/>
                <w:color w:val="auto"/>
              </w:rPr>
            </w:pPr>
          </w:p>
        </w:tc>
      </w:tr>
      <w:tr>
        <w:trPr>
          <w:trHeight w:val="23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the World</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27,461</w:t>
            </w: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28,558</w:t>
            </w:r>
          </w:p>
        </w:tc>
        <w:tc>
          <w:tcPr>
            <w:tcW w:w="80" w:type="dxa"/>
            <w:vAlign w:val="bottom"/>
          </w:tcPr>
          <w:p>
            <w:pPr>
              <w:spacing w:after="0"/>
              <w:rPr>
                <w:sz w:val="20"/>
                <w:szCs w:val="20"/>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937,857</w:t>
            </w:r>
          </w:p>
        </w:tc>
        <w:tc>
          <w:tcPr>
            <w:tcW w:w="80" w:type="dxa"/>
            <w:vAlign w:val="bottom"/>
          </w:tcPr>
          <w:p>
            <w:pPr>
              <w:spacing w:after="0"/>
              <w:rPr>
                <w:sz w:val="24"/>
                <w:szCs w:val="24"/>
                <w:color w:val="auto"/>
              </w:rPr>
            </w:pP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908,398</w:t>
            </w:r>
          </w:p>
        </w:tc>
        <w:tc>
          <w:tcPr>
            <w:tcW w:w="80" w:type="dxa"/>
            <w:vAlign w:val="bottom"/>
          </w:tcPr>
          <w:p>
            <w:pPr>
              <w:spacing w:after="0"/>
              <w:rPr>
                <w:sz w:val="24"/>
                <w:szCs w:val="24"/>
                <w:color w:val="auto"/>
              </w:rPr>
            </w:pPr>
          </w:p>
        </w:tc>
      </w:tr>
      <w:tr>
        <w:trPr>
          <w:trHeight w:val="21"/>
        </w:trPr>
        <w:tc>
          <w:tcPr>
            <w:tcW w:w="5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1"/>
        </w:trPr>
        <w:tc>
          <w:tcPr>
            <w:tcW w:w="5340" w:type="dxa"/>
            <w:vAlign w:val="bottom"/>
          </w:tcPr>
          <w:p>
            <w:pPr>
              <w:spacing w:after="0"/>
              <w:rPr>
                <w:sz w:val="24"/>
                <w:szCs w:val="24"/>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8"/>
        </w:trPr>
        <w:tc>
          <w:tcPr>
            <w:tcW w:w="53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2009.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In a highly fragmented industry, we are one of a small number of companies with the capability and expertise to conduct clinical trials in all major therapeutic areas on a global basis. At September 30, 2010 we had approximately 7,800 employees, in 71 locations in 39 countries, providing Phase I - IV Clinical Trial Management, Drug Development Support Services, Data Management and Biostatistical, Central Laboratory, Imaging and Contract Staffing services. We have the ope rational flexibility to provide development services on a stand-alone basis or as part of an integrated “full service” solution.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investigator fees and certain other costs where reimbursed by clients, are, in accordance with industry practice, deducted from gross revenu 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We have 17 operations operating in U.S. dollars, 11 trading in Euros, 5 in pounds Sterling and Indian Rupee, 2 each in Russian Rouble, Japanese Yen, Swedish Krona, Chinese Yuan Renminbi and Singapore dollars and 1 each in Polish Zloty, Israeli New Shekels, Latvian Lats, Hungarian Forint, Czech Koruna, Ukraine Hryvnia, Romanian New Leu, Lithuanian Litas, South African Rand, Australian dollars, Philippine Peso, Hong Kong dollar, Taiwan dollar, South Korean Won, Thai Baht, New Zealand dollars, Argentine Peso, Mexican Peso, Brazilian Real, Chilean Peso, Colombian Peso, Peruvian Neuvo Sol, and C anadian dollar.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when appro priate, hedge a portion of these, using forward exchange contracts, where they are not covered by natural hedges. In addition, we usually negotiate currency fluctuation clauses in our contracts which allow for price negotiation if changes in the relative value of those currencies exceed predetermined tolerances.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As we conduct operations on a global basis, our effective tax rate has depended and will depend on the geographic distribution of our revenue and earnings among locations with varying tax rates. The Company's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2010 compared with Three Months Ended September 30, 2009</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60" w:type="dxa"/>
            <w:vAlign w:val="bottom"/>
          </w:tcPr>
          <w:p>
            <w:pPr>
              <w:spacing w:after="0"/>
              <w:rPr>
                <w:sz w:val="20"/>
                <w:szCs w:val="20"/>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7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11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7"/>
                <w:szCs w:val="17"/>
                <w:color w:val="auto"/>
              </w:rPr>
            </w:pPr>
          </w:p>
        </w:tc>
      </w:tr>
      <w:tr>
        <w:trPr>
          <w:trHeight w:val="234"/>
        </w:trPr>
        <w:tc>
          <w:tcPr>
            <w:tcW w:w="7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 2010</w:t>
            </w:r>
          </w:p>
        </w:tc>
      </w:tr>
      <w:tr>
        <w:trPr>
          <w:trHeight w:val="27"/>
        </w:trPr>
        <w:tc>
          <w:tcPr>
            <w:tcW w:w="7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7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Percentage</w:t>
            </w:r>
          </w:p>
        </w:tc>
      </w:tr>
      <w:tr>
        <w:trPr>
          <w:trHeight w:val="216"/>
        </w:trPr>
        <w:tc>
          <w:tcPr>
            <w:tcW w:w="7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7260" w:type="dxa"/>
            <w:vAlign w:val="bottom"/>
          </w:tcPr>
          <w:p>
            <w:pPr>
              <w:spacing w:after="0"/>
              <w:rPr>
                <w:sz w:val="20"/>
                <w:szCs w:val="20"/>
                <w:color w:val="auto"/>
              </w:rPr>
            </w:pPr>
          </w:p>
        </w:tc>
        <w:tc>
          <w:tcPr>
            <w:tcW w:w="25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Percentage of Net Revenue</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7260" w:type="dxa"/>
            <w:vAlign w:val="bottom"/>
          </w:tcPr>
          <w:p>
            <w:pPr>
              <w:spacing w:after="0"/>
              <w:rPr>
                <w:sz w:val="2"/>
                <w:szCs w:val="2"/>
                <w:color w:val="auto"/>
              </w:rPr>
            </w:pPr>
          </w:p>
        </w:tc>
        <w:tc>
          <w:tcPr>
            <w:tcW w:w="1400" w:type="dxa"/>
            <w:vAlign w:val="bottom"/>
            <w:gridSpan w:val="2"/>
            <w:shd w:val="clear" w:color="auto" w:fill="000000"/>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Direct costs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57.7%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24.7%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(42.0)%</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revenue increased by $4.7 million, or 2.1%, from $220.4 million for the three months ended September 30, 2009 to $225.1 million for the three months ended September 30, 2010. The rate of increase in net revenue growth has slowed in recent quarters mainly due to the economic downturn, its impact on market confidence and the availability of funding for drug development. During the three months ended September 30, 2010, net revenue from our central laboratory business decreased by $1.4 million, or 8.6%, from $16.3 million for the three months ended September 30, 2009 to $14.9 million for the three months ended September 30, 2010. This decrease was primarily attributable to a slower rate of conversion on central laboratory business awards, due to both a delay in study start-ups and an increase in the average durat ion of central laboratory studies. For the three months ended September 30, 2010 we derived approximately 44.4%, 44.9% and 10.7% of our net revenue in the United States, Europe and Rest of World, respectively.</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Direct costs increased by $12.3 million, or 9.7%, from $127.2 million for the three months ended September 30, 2009 to $139.5 million for the three months ended September 30, 2010. Direct costs consist primarily of compensation, associated fringe benefits and share based compensation expense for project-related employees together with other direct project driven costs. Compensation and travel expenditure for project related staff increased by $7.8 million and $2.0 million respectively during the three months ended September 30, 2010 together with an increase of $2.5 million in other direct project related costs. The Company has invested significantly in personnel and systems in the central laboratory business which has contributed approximately $5.0 million of the additional direct costs during the three months ended September 30, 2010 . The Company has also entered into a number of strategic relationships with sponsors and expanded operations in certain territories, again requiring significant upfront investment in its personnel and a corresponding increase in direct costs. Direct costs as a percentage of net revenue increased from 57.7% for the three months ended September 30, 2009 to 61.9% for three months ended September 30, 2010.</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$5.6 million, or 10.4%, from $54.4 million for the three months ended September 30, 2009 to $60.0 million for the three months ended September 30, 2010. Selling, general and administrative expenses consist of compensation, related fringe benefits, share based compensation expense and travel expenditure for selling and administrative employees, professional services costs, advertising costs and all costs related to facilities and information systems.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spacing w:after="0" w:line="297" w:lineRule="auto"/>
        <w:rPr>
          <w:sz w:val="20"/>
          <w:szCs w:val="20"/>
          <w:color w:val="auto"/>
        </w:rPr>
      </w:pPr>
      <w:r>
        <w:rPr>
          <w:rFonts w:ascii="Arial" w:cs="Arial" w:eastAsia="Arial" w:hAnsi="Arial"/>
          <w:sz w:val="16"/>
          <w:szCs w:val="16"/>
          <w:color w:val="auto"/>
        </w:rPr>
        <w:t>The increase in selling, general and administrative expenses arises primarily from an increase of $4.2 million in personnel related costs, comprising compensation, related fringe benefits and travel costs for selling, general and administrative employees and recruitment expenditure, an increase in facilities and information system costs of $0.9 million and an increase in other general overhead costs of $0.5 million. $1.5 million of this increase in selling, general and administrative expenses is attributable to the central laboratory business. As a percentage of net revenue, selling, general and administrative expenses increased from 24.7% for the three months ended September 30, 2009 to 26.7% for the three months ended September 30, 2010.</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three months ended September 30, 2010 amounted to $1.9 million compared to $1.7 million during the three months ended September 30, 2009.</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decreased by $0.4 million, or 4.8%, from $8.4 million for the three months ended September 30, 2009 to $8.0 million for the three months ended September 30, 2010. As a percentage of net revenue, depreciation and amortization expense decreased from 3.8% of net revenues for the three months ended September 30, 2009 to 3.6% for the three months ended September 30, 2010.</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from operations decreased by $12.8 million, or 42.0%, from $30.4 million for the three months ended September 30, 2009 to $17.6 million for the three months ended September 30, 2010. As a percentage of net revenue, income from operations decreased from 13.8% for the three months ended September 30, 2009 to 7.8% of net revenues for the three months ended September 30, 2010. The Company’s significant investment in personnel and systems for its central laboratory business, its new strategic relationships and expansion into new territories, coupled with the slower than expected conversion of business awards has negatively impacted the Company’s operating margin during the three months ended September 30, 2010.</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income for the three months ended September 30, 2010 was $0.3 million, compared with net interest expense of $0.7 million for the three months ended September 30, 2009. Interest income for the period increased by $0.5 million from $0.05 million for the three months ended September 30, 2009 to $0.55 million for the three months ended September 30, 2010. The increase in interest income for the three months ended September 30, 2010 over the three months ended September 30, 2009 was due to an increase in cash and cash equivalents, together with an increase in the rate of return earned on those balances. Interest expense was $0.3 million for the three months ended September 30, 2010 compared to $0.7 million for the three months ended September 30, 2009.</w:t>
      </w:r>
    </w:p>
    <w:p>
      <w:pPr>
        <w:spacing w:after="0" w:line="22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Provision for income taxes for the three months ended September 30, 2010 comprised a net tax credit of $2.0 million, compared to a charge of $5.8 million for the three months ended September 30, 2009. The reduction in the provision for income taxes was primarily due to a decrease of $6.0 million in unrecognized tax benefits for uncertain tax positions, arising from both the settlement of positions with the relevant tax authorities and the expiration of the relevant statute of limitations in certain jurisdictions, allowing for the recognition of these benefits during the three months ended September 30, 2010. Excluding the impact of the release of these uncertain tax provisions, the Company would have had an effective tax rate of 22.3% for the three months ended September 30, 2010, compared to an effective tax rate of 19.4% for the three months ended September 30, 2009.</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Nine Months Ended September 30, 2010 compared with Nine Months Ended September 30, 2009</w:t>
      </w:r>
    </w:p>
    <w:p>
      <w:pPr>
        <w:spacing w:after="0" w:line="25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Nine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260" w:type="dxa"/>
            <w:vAlign w:val="bottom"/>
          </w:tcPr>
          <w:p>
            <w:pPr>
              <w:spacing w:after="0"/>
              <w:rPr>
                <w:sz w:val="17"/>
                <w:szCs w:val="17"/>
                <w:color w:val="auto"/>
              </w:rPr>
            </w:pPr>
          </w:p>
        </w:tc>
        <w:tc>
          <w:tcPr>
            <w:tcW w:w="11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7"/>
                <w:szCs w:val="17"/>
                <w:color w:val="auto"/>
              </w:rPr>
            </w:pPr>
          </w:p>
        </w:tc>
      </w:tr>
      <w:tr>
        <w:trPr>
          <w:trHeight w:val="234"/>
        </w:trPr>
        <w:tc>
          <w:tcPr>
            <w:tcW w:w="7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 2010</w:t>
            </w:r>
          </w:p>
        </w:tc>
      </w:tr>
      <w:tr>
        <w:trPr>
          <w:trHeight w:val="27"/>
        </w:trPr>
        <w:tc>
          <w:tcPr>
            <w:tcW w:w="7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7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Percentage</w:t>
            </w:r>
          </w:p>
        </w:tc>
      </w:tr>
      <w:tr>
        <w:trPr>
          <w:trHeight w:val="216"/>
        </w:trPr>
        <w:tc>
          <w:tcPr>
            <w:tcW w:w="7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7260" w:type="dxa"/>
            <w:vAlign w:val="bottom"/>
          </w:tcPr>
          <w:p>
            <w:pPr>
              <w:spacing w:after="0"/>
              <w:rPr>
                <w:sz w:val="20"/>
                <w:szCs w:val="20"/>
                <w:color w:val="auto"/>
              </w:rPr>
            </w:pPr>
          </w:p>
        </w:tc>
        <w:tc>
          <w:tcPr>
            <w:tcW w:w="2540" w:type="dxa"/>
            <w:vAlign w:val="bottom"/>
            <w:gridSpan w:val="3"/>
          </w:tcPr>
          <w:p>
            <w:pPr>
              <w:jc w:val="right"/>
              <w:spacing w:after="0"/>
              <w:rPr>
                <w:sz w:val="20"/>
                <w:szCs w:val="20"/>
                <w:color w:val="auto"/>
              </w:rPr>
            </w:pPr>
            <w:r>
              <w:rPr>
                <w:rFonts w:ascii="Arial" w:cs="Arial" w:eastAsia="Arial" w:hAnsi="Arial"/>
                <w:sz w:val="18"/>
                <w:szCs w:val="18"/>
                <w:b w:val="1"/>
                <w:bCs w:val="1"/>
                <w:color w:val="auto"/>
              </w:rPr>
              <w:t>Percentage of Net Revenue</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(decrease)</w:t>
            </w:r>
          </w:p>
        </w:tc>
      </w:tr>
      <w:tr>
        <w:trPr>
          <w:trHeight w:val="27"/>
        </w:trPr>
        <w:tc>
          <w:tcPr>
            <w:tcW w:w="7260" w:type="dxa"/>
            <w:vAlign w:val="bottom"/>
          </w:tcPr>
          <w:p>
            <w:pPr>
              <w:spacing w:after="0"/>
              <w:rPr>
                <w:sz w:val="2"/>
                <w:szCs w:val="2"/>
                <w:color w:val="auto"/>
              </w:rPr>
            </w:pPr>
          </w:p>
        </w:tc>
        <w:tc>
          <w:tcPr>
            <w:tcW w:w="1400" w:type="dxa"/>
            <w:vAlign w:val="bottom"/>
            <w:gridSpan w:val="2"/>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418"/>
        </w:trPr>
        <w:tc>
          <w:tcPr>
            <w:tcW w:w="7260" w:type="dxa"/>
            <w:vAlign w:val="bottom"/>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Direct costs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One-time net charges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(9.8)%</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revenue increased by $7.8 million, or 1.2%, from $660.2 million for the nine months ended September 30, 2009 to $668.0 million for the nine months ended September 30, 2010. The rate of increase in net revenue growth has slowed in recent quarters due to the economic downturn, its impact on market confidence and the availability of funding for drug development. During the nine months ended September 30, 2010 net revenue from our central laboratory business decreased by $6.4 million or 12.2% from $53.2 million for the nine months ended September 30, 2009 to $46.8 million for the nine months ended September 30, 2010. This decrease was primarily attributable to a slower rate of conversion on central laboratory business awards, due both to a delay in study start-ups and an increase in the average duration of ce ntral laboratory studies. For the nine months ended September 30, 2010, we derived approximately 44.1%, 45.6% and 10.3% of our net revenue in the United States, Europe and Rest of World, respectively.</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Direct costs increased by $25.1 million, or 6.7%, from $376.5 million for the nine months ended September 30, 2009 to $401.6 million for the nine months ended September 30, 2010. Direct costs consist primarily of compensation, associated fringe benefits and share based compensation expense for project-related employees together with other direct project driven costs. Compensation and travel expenditure for project-related staff increased by $22.9 million and $5.0 million respectively during the nine months ended September 30, 2010 offset by a decrease in other direct project costs of $2.8 million. In addition to increasing its investment in its personnel and systems in its central laboratory business, the Company has also entered into a number of strategic relationships with sponsors and expanded operations in certain territ ories, requiring significant upfront investment in its personnel and a corresponding increase in direct costs. Direct costs as a percentage of net revenue increased from 57.0% for the nine months ended September 30, 2009 to 60.2% for the nine months ended September 30, 2010.</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expenses decreased by $2.4 million, or 1.4%, from $173.6 million for the nine months ended September 30, 2009 to $171.2 million for the nine months ended September 30, 2010. Selling, general and administrative expenses consist of compensation, related fringe benefits, share based compensation expense and travel expenditure for selling and administrative employees, professional services costs, advertising costs and all costs related to facilities and information systems. The decrease in selling, general and administrative expenses arises primarily from decreases in professional services costs of $6.4 million, offset by an increase in compensation and related fringe benefit costs of $2.0 million, an increase in travel expenditure of $1.6 million and an increase in foreign exchange losses on the retrans lation of monetary assets and liabilities of $0.3 million. As a percentage of net revenue, selling, general and administrative expenses decreased from 26.3% for the nine months ended September 30, 2009 to 25.6% for the nine months ended September 30, 2010.</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share based compensation expense recognized during the nine months ended September 30, 2010 amounted to $5.5 million compared to $4.9 million during the nine months ended September 30, 2009.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Depreciation and amortization expense increased by $1.6 million, or 6.8%, from $23.4 million for the nine months ended September 30, 2009 to $25.0 million for the nine months ended September 30, 2010. As a percentage of net revenue, depreciation and amortization expense increased from 3.5% of net revenues for the nine months ended September 30, 2009 to 3.7% for the nine months ended September 30, 2010. The increase arises primarily from our continued investment in facilities and equipment to support the Company’s growth.</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One-time net charges of $8.9 million were recognized during the nine months ended September 30, 2009. In response to the globalization of clinical studies and its attendant impact on resources in existing and emerging markets, the Company conducted a review of its existing infrastructure to better align its resources with the needs of its clients. This realignment resulted in resource rationalizations in certain more mature markets and the recognition of a restructuring charge of $13.4 million in the second quarter of 2009. This was offset by research and development incentives of $4.5 million received by the Company in certain jurisdictions in which it operates.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from operations decreased by $7.6 million, or 9.8%, from $77.7 million for the nine months ended September 30, 2009 to $70.1 million for the nine months ended September 30, 2010. As a percentage of net revenue, income from operations decreased from 11.8% for the nine months ended September 30, 2009 to 10.5% of net revenues for the nine months ended September 30, 2010. Excluding the impact of one-time net charges recognised during the nine months ended September 30, 2009, income from operations as a percentage of net revenue decreased from 13.1% for the nine months ended September 30, 2009 to 10.5% for the nine months ended September 30, 2010. The Company’s significant investment in personnel and systems for its central laboratory business, its new strategic relationships and expansion into new territories, coupled with the slower than expected conversion of business awards has negatively impacted the Company’s operating margin during the nine months ended September 30, 2010.</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interest income for the nine months ended September 30, 2010 was $0.2 million, compared with net interest expense of $2.3 million for the nine months ended September 30, 2009. Interest income for the period increased by $0.6 million from $0.6 million for the nine months ended September 30, 2009 to $1.2 million for the nine months ended September 30, 2010. The increase in interest income in the nine months ended September 30, 2010 over the nine months ended September 30, 2009 was due to an increase in cash and cash equivalents, together with an increase in the rate of return earned on those balances. Interest expense was $1.0 million for the nine months ended September 30, 2010 compared to $2.9 million for the nine months ended September 30, 2009.</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 for income taxes decreased from $12.0 million for the nine months ended September 30, 2009 to $5.2 million for the nine months ended September 30, 2010. The reduction in the provision for income taxes was primarily due to a decrease of $6.0 million in unrecognized tax benefits for uncertain tax positions, arising from both the settlement of positions with the relevant tax authorities and the expiration of the relevant statute of limitations in certain jurisdictions, allowing for the recognition of these benefits during the three months ended September 30, 2010. The Company’s effective tax rate for the nine months ended September 30, 2010 was 7.5% compared with 15.9% for the nine months ended September 30, 2009. Excluding the impact of the release of these uncertain tax provisions, the Company would have had an effective tax rate of 16.0% for the nine months ended September 30, 2010, compared to an effective tax rate of 15.9% for the nine months ended September 30, 2009.</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generally is not capital intensive. The Company’s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at September 30, 2010 amounted to $231.3 million compared with net cash of $194.0 million at December 31, 2009. Net cash at September 30, 2010 comprised cash and cash equivalents of $231.3 million. Net cash at December 31, 2009 comprised cash and cash equivalents of $144.8 million and short term investments of $49.2 million. The Company has a number of negotiated facilities in place. Amounts available to be drawn under these facilities at September 30, 2010 amounted to $89.4 million compared with $162.5 million at December 31, 2009. No amounts were drawn at September 30, 2010 (December 31, 2009: $nil).</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provided by operating activities was $55.5 million for the nine month ended September 30, 2010, compared with cash provided by operating activities of $198.4 million for the nine months ended September 30, 2009. The Company’s working capital, comprising total current assets less total current liabilities, at September 30, 2010 amounted to $306.5 million, compared to $235.9 million at December 31, 2009. The most significant influence on our working capital and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 s revenue outstanding was 36 days at September 30, 2010 and 33 days at December 31, 2009.</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investing activities was $21.9 million for the nine months ended September 30, 2010 compared to net cash used in investing activities of $110.9 million for the nine months ended September 30, 2009. Net cash provided by investing activities in the nine months ended September 30, 2010 arose principally from the sale of short term investments. During the nine months ended September 30, 2010, the Company realized a net $49.2 million from the sale of its short term investments. The Company actively manages its available cash resources to try to ensure optimum returns. Amounts realized from the sale of short term investments during the period were reinvested in cash equivalents. Capital expenditure for the nine months ended September 30, 2010 amounted to $23.9 million, and comprised mainly of expenditure on gl obal infrastructure and information technology systems to support the Company’s growth.</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2010 amounted to $13.7 million compared with net cash used in financing activities of $79.9 million for the nine months ended September 30, 2009.</w:t>
      </w:r>
    </w:p>
    <w:p>
      <w:pPr>
        <w:spacing w:after="0" w:line="1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a result of these cash flows, cash and cash equivalents were $231.3 million at September 30, 2010 an increase of $86.5 million for the nine months ended September 30, 2010 compared to $68.2 million at September 30, 2009 an increase of $9.8 million for the nine months ended September 30, 2009.</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9, 2007 ICON plc entered into a five year committed multi-currency facility agreement for €35 million ($47.2 million) with Bank of Ireland. The facility bears interest at an annual rate equal to EURIBOR plus a margin and is secured by certain composite guarantees, indemnities and pledges in favor of the bank. At September 30, 2010, €17.5 million ($23.6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2008 a committed three year US dollar credit facility was negotiated with Allied Irish Bank plc for $50 million. On April 21, 2010 the Company reduced this facility to $25 million. The facility bears interest at LIBOR plus a margin and is secured by certain composite guarantees and pledges in favor of the bank. At September 30, 2010 $25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2009 an additional four year committed credit facility was negotiated with Bank of Ireland for $25 million. The facility bears interest at LIBOR plus a margin and is secured by certain composite guarantees, indemnities and pledges in favor of the bank. At September 30, 2010 $20.8 million was available to be drawn under this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29, 2009 a three year committed credit facility was negotiated with Citibank Europe for $10 million. The facility bears interest at LIBOR plus a margin and is secured by certain composite guarantees and pledges in favor of the bank. At September 30, 2010 $10 million was available to be drawn under the facility.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 2010 a committed 364 day credit facility was negotiated with J.P. Morgan for $10 million. The facility bears interest at LIBOR plus a margin and is secured by certain composite guarantees and pledges in favor of the bank. At September 30, 2010 $10 million was available to be drawn under the facility.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Ciaran Murray</w:t>
            </w: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Date: October 18, 2010</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Ciaran Murray</w:t>
            </w:r>
          </w:p>
        </w:tc>
      </w:tr>
      <w:tr>
        <w:trPr>
          <w:trHeight w:val="230"/>
        </w:trPr>
        <w:tc>
          <w:tcPr>
            <w:tcW w:w="60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2019-12-10T17:11:24Z</dcterms:created>
  <dcterms:modified xsi:type="dcterms:W3CDTF">2019-12-10T17:11:24Z</dcterms:modified>
</cp:coreProperties>
</file>