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February, 2010</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February 25, 2010</w:t>
            </w: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Ciaran Murray</w:t>
            </w:r>
          </w:p>
        </w:tc>
        <w:tc>
          <w:tcPr>
            <w:tcW w:w="4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Ciaran Murray</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 reports Full-Year 2009 EPS growth of 18% and announces Revenue and EPS Guidance for 2010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 – Full Year Fiscal 2009 and Fourth Quarter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Full year net revenues increased 3% to $888 million.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Fourth quarter net revenues increased 3% over the comparative quarter, to $227 million.</w:t>
      </w:r>
    </w:p>
    <w:p>
      <w:pPr>
        <w:spacing w:after="0" w:line="182" w:lineRule="exact"/>
        <w:rPr>
          <w:sz w:val="20"/>
          <w:szCs w:val="20"/>
          <w:color w:val="auto"/>
        </w:rPr>
      </w:pPr>
    </w:p>
    <w:p>
      <w:pPr>
        <w:ind w:right="40" w:firstLine="8"/>
        <w:spacing w:after="0" w:line="256" w:lineRule="auto"/>
        <w:tabs>
          <w:tab w:leader="none" w:pos="162"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Full year operating income increased by 17% to $116 million. Income from operations for the fourth quarter increased by 12% to $29.6 million.</w:t>
      </w:r>
    </w:p>
    <w:p>
      <w:pPr>
        <w:spacing w:after="0" w:line="162" w:lineRule="exact"/>
        <w:rPr>
          <w:rFonts w:ascii="Arial" w:cs="Arial" w:eastAsia="Arial" w:hAnsi="Arial"/>
          <w:sz w:val="22"/>
          <w:szCs w:val="22"/>
          <w:b w:val="1"/>
          <w:bCs w:val="1"/>
          <w:color w:val="auto"/>
        </w:rPr>
      </w:pPr>
    </w:p>
    <w:p>
      <w:pPr>
        <w:ind w:right="720" w:firstLine="8"/>
        <w:spacing w:after="0" w:line="256" w:lineRule="auto"/>
        <w:tabs>
          <w:tab w:leader="none" w:pos="162"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Full year diluted earnings per share increased to $1.53, an 18% increase over last year. Diluted earnings per share, increased by 14% for the fourth quarter to 40 cents.</w:t>
      </w:r>
    </w:p>
    <w:p>
      <w:pPr>
        <w:spacing w:after="0" w:line="162" w:lineRule="exact"/>
        <w:rPr>
          <w:rFonts w:ascii="Arial" w:cs="Arial" w:eastAsia="Arial" w:hAnsi="Arial"/>
          <w:sz w:val="22"/>
          <w:szCs w:val="22"/>
          <w:b w:val="1"/>
          <w:bCs w:val="1"/>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Fourth quarter net business awards were $229 million, a book to bill of 1.0.</w:t>
      </w:r>
    </w:p>
    <w:p>
      <w:pPr>
        <w:spacing w:after="0" w:line="206" w:lineRule="exact"/>
        <w:rPr>
          <w:rFonts w:ascii="Arial" w:cs="Arial" w:eastAsia="Arial" w:hAnsi="Arial"/>
          <w:sz w:val="22"/>
          <w:szCs w:val="22"/>
          <w:b w:val="1"/>
          <w:bCs w:val="1"/>
          <w:color w:val="auto"/>
        </w:rPr>
      </w:pPr>
    </w:p>
    <w:p>
      <w:pPr>
        <w:ind w:left="180" w:hanging="172"/>
        <w:spacing w:after="0"/>
        <w:tabs>
          <w:tab w:leader="none" w:pos="180"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Revenue guidance for 2010 is in the range of $890-$940 million and EPS guidance is in the range of $1.44 to $1.60</w:t>
      </w:r>
    </w:p>
    <w:p>
      <w:pPr>
        <w:spacing w:after="0" w:line="247"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DUBLIN--(BUSINESS WIRE)--February 25, 2010--ICON (NASDAQ:ICLR) (ISIN:IE0005711209), a global provider of outsourced development services to the pharmaceutical, biotechnology and medical device industries, today reported its financial results for the fourth quarter ended December 31, 2009.</w:t>
      </w:r>
    </w:p>
    <w:p>
      <w:pPr>
        <w:spacing w:after="0" w:line="186" w:lineRule="exact"/>
        <w:rPr>
          <w:sz w:val="20"/>
          <w:szCs w:val="20"/>
          <w:color w:val="auto"/>
        </w:rPr>
      </w:pPr>
    </w:p>
    <w:p>
      <w:pPr>
        <w:ind w:right="1000"/>
        <w:spacing w:after="0" w:line="251" w:lineRule="auto"/>
        <w:rPr>
          <w:sz w:val="20"/>
          <w:szCs w:val="20"/>
          <w:color w:val="auto"/>
        </w:rPr>
      </w:pPr>
      <w:r>
        <w:rPr>
          <w:rFonts w:ascii="Arial" w:cs="Arial" w:eastAsia="Arial" w:hAnsi="Arial"/>
          <w:sz w:val="22"/>
          <w:szCs w:val="22"/>
          <w:color w:val="auto"/>
        </w:rPr>
        <w:t>Net revenues for the quarter were $227.4 million, representing a 3% increase over net revenues of $220.1 million for the comparative quarter last year.</w:t>
      </w:r>
    </w:p>
    <w:p>
      <w:pPr>
        <w:spacing w:after="0" w:line="173" w:lineRule="exact"/>
        <w:rPr>
          <w:sz w:val="20"/>
          <w:szCs w:val="20"/>
          <w:color w:val="auto"/>
        </w:rPr>
      </w:pPr>
    </w:p>
    <w:p>
      <w:pPr>
        <w:ind w:right="140"/>
        <w:spacing w:after="0" w:line="297" w:lineRule="auto"/>
        <w:rPr>
          <w:sz w:val="20"/>
          <w:szCs w:val="20"/>
          <w:color w:val="auto"/>
        </w:rPr>
      </w:pPr>
      <w:r>
        <w:rPr>
          <w:rFonts w:ascii="Arial" w:cs="Arial" w:eastAsia="Arial" w:hAnsi="Arial"/>
          <w:sz w:val="19"/>
          <w:szCs w:val="19"/>
          <w:color w:val="auto"/>
        </w:rPr>
        <w:t>Income from operations increased by 12% to $29.6 million, compared to $26.5 million for the same quarter last year. Operating margin increased to 13.0% from 12.0%. Net income was $23.9 million, compared with $21.0 million last year an increase of 14%. Diluted EPS of 40 cents per share represented an increase of 14% over 35 cents per share last year.</w:t>
      </w:r>
    </w:p>
    <w:p>
      <w:pPr>
        <w:spacing w:after="0" w:line="134"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Full year net revenues were $887.6 million, representing a 3% increase over last year. Income from operations was $116.3 million or 13.1% of revenue, compared to $99.5 million or 11.5% last year; a 17% increase. Net income also increased 17% to $91.6 million compared with $78.1 million last year. Diluted EPS of $1.53 per share represented an increase of 18% over $1.30 last year.</w:t>
      </w:r>
    </w:p>
    <w:p>
      <w:pPr>
        <w:spacing w:after="0" w:line="134"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After one time restructuring charges, net of tax credits, of $4.2 million in Q2 and a release of restructuring charges plus exceptional tax credits of $7.0 million in Q4, US GAAP income from operations was $107.5 million, compared to $99.5 million for 2008. US GAAP net income was $94.3 million or $1.57 per share on a diluted basis, compared with $78.1 million or $1.30 per share last year.</w:t>
      </w:r>
    </w:p>
    <w:p>
      <w:pPr>
        <w:spacing w:after="0" w:line="185"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Days sales outstanding, comprising accounts receivable and unbilled revenue less payments on account, were 33 days at December 31, 2009, on a like for like basis compared to 69 days at December 31, 2008.</w:t>
      </w:r>
    </w:p>
    <w:p>
      <w:pPr>
        <w:spacing w:after="0" w:line="173"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For the quarter ended December 31, 2009, cash provided by operating activities was $56.7 million and capital expenditure was $7.8 million. Full year 2009 cash flow from operating activities was $255 million and capital expenditure was $33.8 million. As a result, the company’s net cash, amounted to $194 million at December 31, 2009, compared to $4.3 million of net debt at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right="280"/>
        <w:spacing w:after="0" w:line="248" w:lineRule="auto"/>
        <w:rPr>
          <w:sz w:val="20"/>
          <w:szCs w:val="20"/>
          <w:color w:val="auto"/>
        </w:rPr>
      </w:pPr>
      <w:r>
        <w:rPr>
          <w:rFonts w:ascii="Arial" w:cs="Arial" w:eastAsia="Arial" w:hAnsi="Arial"/>
          <w:sz w:val="21"/>
          <w:szCs w:val="21"/>
          <w:color w:val="auto"/>
        </w:rPr>
        <w:t>Commenting on the results, CEO Peter Gray said “We are pleased with our performance in what has been a challenging year. Revenues increased by 3%, margins improved significantly from 11.5% to 13.1% and EPS was up 18%. With our backlog at $1.84bn and with a strong balance sheet, we have entered 2010 in a good position. While external factors are challenging, and many governments are endeavouring to reduce healthcare costs, including pharmaceutical prices, we remain positive, though cautious, as 2010 commences. As a result we are issuing revenue guidance for 2010 in the range of $890 - $940 million and EPS guidance in the range of $1.44 - $1.60.”</w:t>
      </w:r>
    </w:p>
    <w:p>
      <w:pPr>
        <w:spacing w:after="0" w:line="178" w:lineRule="exact"/>
        <w:rPr>
          <w:sz w:val="20"/>
          <w:szCs w:val="20"/>
          <w:color w:val="auto"/>
        </w:rPr>
      </w:pPr>
    </w:p>
    <w:p>
      <w:pPr>
        <w:jc w:val="both"/>
        <w:ind w:right="36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43"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 xml:space="preserve">The company will hold its fourth quarter conference call today, February 25, 2010 at 9:00 EST [14:00 Ireland &amp; UK]. This call and linked slide presentation can be accessed live from our website at </w:t>
      </w:r>
      <w:r>
        <w:rPr>
          <w:rFonts w:ascii="Arial" w:cs="Arial" w:eastAsia="Arial" w:hAnsi="Arial"/>
          <w:sz w:val="21"/>
          <w:szCs w:val="21"/>
          <w:u w:val="single" w:color="auto"/>
          <w:color w:val="auto"/>
        </w:rPr>
        <w:t>http://www.iconplc.com</w:t>
      </w:r>
      <w:r>
        <w:rPr>
          <w:rFonts w:ascii="Arial" w:cs="Arial" w:eastAsia="Arial" w:hAnsi="Arial"/>
          <w:sz w:val="21"/>
          <w:szCs w:val="21"/>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74"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 obligation to update these forward-looking statements.</w:t>
      </w:r>
    </w:p>
    <w:p>
      <w:pPr>
        <w:spacing w:after="0" w:line="188" w:lineRule="exact"/>
        <w:rPr>
          <w:sz w:val="20"/>
          <w:szCs w:val="20"/>
          <w:color w:val="auto"/>
        </w:rPr>
      </w:pPr>
    </w:p>
    <w:p>
      <w:pPr>
        <w:ind w:right="560"/>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68 locations in 38 countries and has approximately 7,170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jc w:val="center"/>
        <w:ind w:right="120"/>
        <w:spacing w:after="0"/>
        <w:rPr>
          <w:sz w:val="20"/>
          <w:szCs w:val="20"/>
          <w:color w:val="auto"/>
        </w:rPr>
      </w:pPr>
      <w:r>
        <w:rPr>
          <w:rFonts w:ascii="Arial" w:cs="Arial" w:eastAsia="Arial" w:hAnsi="Arial"/>
          <w:sz w:val="14"/>
          <w:szCs w:val="14"/>
          <w:b w:val="1"/>
          <w:bCs w:val="1"/>
          <w:color w:val="auto"/>
        </w:rPr>
        <w:t>ICON plc</w:t>
      </w:r>
    </w:p>
    <w:p>
      <w:pPr>
        <w:spacing w:after="0" w:line="190"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Consolidated Income Statements (Before one time net charges &amp; tax credits)</w:t>
      </w:r>
    </w:p>
    <w:p>
      <w:pPr>
        <w:spacing w:after="0" w:line="366"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Three and Twelve Months ended December 31, 2009 and December 31, 2008</w:t>
      </w:r>
    </w:p>
    <w:p>
      <w:pPr>
        <w:spacing w:after="0" w:line="25"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(Dollars, in thousands, except share and per share data)</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80" w:type="dxa"/>
            <w:vAlign w:val="bottom"/>
          </w:tcPr>
          <w:p>
            <w:pPr>
              <w:spacing w:after="0"/>
              <w:rPr>
                <w:sz w:val="15"/>
                <w:szCs w:val="15"/>
                <w:color w:val="auto"/>
              </w:rPr>
            </w:pPr>
          </w:p>
        </w:tc>
        <w:tc>
          <w:tcPr>
            <w:tcW w:w="2300" w:type="dxa"/>
            <w:vAlign w:val="bottom"/>
            <w:gridSpan w:val="3"/>
          </w:tcPr>
          <w:p>
            <w:pPr>
              <w:ind w:left="940"/>
              <w:spacing w:after="0"/>
              <w:rPr>
                <w:sz w:val="20"/>
                <w:szCs w:val="20"/>
                <w:color w:val="auto"/>
              </w:rPr>
            </w:pPr>
            <w:r>
              <w:rPr>
                <w:rFonts w:ascii="Arial" w:cs="Arial" w:eastAsia="Arial" w:hAnsi="Arial"/>
                <w:sz w:val="14"/>
                <w:szCs w:val="14"/>
                <w:b w:val="1"/>
                <w:bCs w:val="1"/>
                <w:color w:val="auto"/>
                <w:w w:val="96"/>
              </w:rPr>
              <w:t>Three Months Ended</w:t>
            </w: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80" w:type="dxa"/>
            <w:vAlign w:val="bottom"/>
            <w:gridSpan w:val="3"/>
          </w:tcPr>
          <w:p>
            <w:pPr>
              <w:ind w:left="940"/>
              <w:spacing w:after="0"/>
              <w:rPr>
                <w:sz w:val="20"/>
                <w:szCs w:val="20"/>
                <w:color w:val="auto"/>
              </w:rPr>
            </w:pPr>
            <w:r>
              <w:rPr>
                <w:rFonts w:ascii="Arial" w:cs="Arial" w:eastAsia="Arial" w:hAnsi="Arial"/>
                <w:sz w:val="14"/>
                <w:szCs w:val="14"/>
                <w:b w:val="1"/>
                <w:bCs w:val="1"/>
                <w:color w:val="auto"/>
                <w:w w:val="96"/>
              </w:rPr>
              <w:t>Twelve Months Ended</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2300" w:type="dxa"/>
            <w:vAlign w:val="bottom"/>
            <w:gridSpan w:val="3"/>
          </w:tcPr>
          <w:p>
            <w:pPr>
              <w:ind w:left="60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380" w:type="dxa"/>
            <w:vAlign w:val="bottom"/>
            <w:gridSpan w:val="3"/>
          </w:tcPr>
          <w:p>
            <w:pPr>
              <w:ind w:left="60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44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2008</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4480" w:type="dxa"/>
            <w:vAlign w:val="bottom"/>
          </w:tcPr>
          <w:p>
            <w:pPr>
              <w:spacing w:after="0"/>
              <w:rPr>
                <w:sz w:val="20"/>
                <w:szCs w:val="20"/>
                <w:color w:val="auto"/>
              </w:rPr>
            </w:pPr>
            <w:r>
              <w:rPr>
                <w:rFonts w:ascii="Arial" w:cs="Arial" w:eastAsia="Arial" w:hAnsi="Arial"/>
                <w:sz w:val="14"/>
                <w:szCs w:val="14"/>
                <w:color w:val="auto"/>
              </w:rPr>
              <w:t>Gross Revenue</w:t>
            </w:r>
          </w:p>
        </w:tc>
        <w:tc>
          <w:tcPr>
            <w:tcW w:w="1440" w:type="dxa"/>
            <w:vAlign w:val="bottom"/>
          </w:tcPr>
          <w:p>
            <w:pPr>
              <w:jc w:val="right"/>
              <w:spacing w:after="0"/>
              <w:rPr>
                <w:sz w:val="20"/>
                <w:szCs w:val="20"/>
                <w:color w:val="auto"/>
              </w:rPr>
            </w:pPr>
            <w:r>
              <w:rPr>
                <w:rFonts w:ascii="Arial" w:cs="Arial" w:eastAsia="Arial" w:hAnsi="Arial"/>
                <w:sz w:val="14"/>
                <w:szCs w:val="14"/>
                <w:color w:val="auto"/>
              </w:rPr>
              <w:t>321,541</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295,370</w:t>
            </w:r>
          </w:p>
        </w:tc>
        <w:tc>
          <w:tcPr>
            <w:tcW w:w="1460" w:type="dxa"/>
            <w:vAlign w:val="bottom"/>
          </w:tcPr>
          <w:p>
            <w:pPr>
              <w:jc w:val="right"/>
              <w:spacing w:after="0"/>
              <w:rPr>
                <w:sz w:val="20"/>
                <w:szCs w:val="20"/>
                <w:color w:val="auto"/>
              </w:rPr>
            </w:pPr>
            <w:r>
              <w:rPr>
                <w:rFonts w:ascii="Arial" w:cs="Arial" w:eastAsia="Arial" w:hAnsi="Arial"/>
                <w:sz w:val="14"/>
                <w:szCs w:val="14"/>
                <w:color w:val="auto"/>
              </w:rPr>
              <w:t>1,258,227</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1,209,451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480" w:type="dxa"/>
            <w:vAlign w:val="bottom"/>
          </w:tcPr>
          <w:p>
            <w:pPr>
              <w:spacing w:after="0"/>
              <w:rPr>
                <w:sz w:val="20"/>
                <w:szCs w:val="20"/>
                <w:color w:val="auto"/>
              </w:rPr>
            </w:pPr>
            <w:r>
              <w:rPr>
                <w:rFonts w:ascii="Arial" w:cs="Arial" w:eastAsia="Arial" w:hAnsi="Arial"/>
                <w:sz w:val="14"/>
                <w:szCs w:val="14"/>
                <w:color w:val="auto"/>
              </w:rPr>
              <w:t>Reimbursable expenses</w:t>
            </w:r>
          </w:p>
        </w:tc>
        <w:tc>
          <w:tcPr>
            <w:tcW w:w="1440" w:type="dxa"/>
            <w:vAlign w:val="bottom"/>
          </w:tcPr>
          <w:p>
            <w:pPr>
              <w:jc w:val="right"/>
              <w:spacing w:after="0"/>
              <w:rPr>
                <w:sz w:val="20"/>
                <w:szCs w:val="20"/>
                <w:color w:val="auto"/>
              </w:rPr>
            </w:pPr>
            <w:r>
              <w:rPr>
                <w:rFonts w:ascii="Arial" w:cs="Arial" w:eastAsia="Arial" w:hAnsi="Arial"/>
                <w:sz w:val="14"/>
                <w:szCs w:val="14"/>
                <w:color w:val="auto"/>
              </w:rPr>
              <w:t>94,122</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75,277</w:t>
            </w:r>
          </w:p>
        </w:tc>
        <w:tc>
          <w:tcPr>
            <w:tcW w:w="1780" w:type="dxa"/>
            <w:vAlign w:val="bottom"/>
            <w:gridSpan w:val="2"/>
          </w:tcPr>
          <w:p>
            <w:pPr>
              <w:jc w:val="right"/>
              <w:ind w:right="320"/>
              <w:spacing w:after="0"/>
              <w:rPr>
                <w:sz w:val="20"/>
                <w:szCs w:val="20"/>
                <w:color w:val="auto"/>
              </w:rPr>
            </w:pPr>
            <w:r>
              <w:rPr>
                <w:rFonts w:ascii="Arial" w:cs="Arial" w:eastAsia="Arial" w:hAnsi="Arial"/>
                <w:sz w:val="14"/>
                <w:szCs w:val="14"/>
                <w:color w:val="auto"/>
              </w:rPr>
              <w:t>370,615</w:t>
            </w:r>
          </w:p>
        </w:tc>
        <w:tc>
          <w:tcPr>
            <w:tcW w:w="6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344,203</w:t>
            </w:r>
          </w:p>
        </w:tc>
        <w:tc>
          <w:tcPr>
            <w:tcW w:w="0" w:type="dxa"/>
            <w:vAlign w:val="bottom"/>
          </w:tcPr>
          <w:p>
            <w:pPr>
              <w:spacing w:after="0"/>
              <w:rPr>
                <w:sz w:val="1"/>
                <w:szCs w:val="1"/>
                <w:color w:val="auto"/>
              </w:rPr>
            </w:pPr>
          </w:p>
        </w:tc>
      </w:tr>
      <w:tr>
        <w:trPr>
          <w:trHeight w:val="174"/>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Net Revenue</w:t>
            </w:r>
          </w:p>
        </w:tc>
        <w:tc>
          <w:tcPr>
            <w:tcW w:w="14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80" w:type="dxa"/>
            <w:vAlign w:val="bottom"/>
            <w:vMerge w:val="continue"/>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227,419</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220,093</w:t>
            </w:r>
          </w:p>
        </w:tc>
        <w:tc>
          <w:tcPr>
            <w:tcW w:w="3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887,612</w:t>
            </w: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865,248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448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480" w:type="dxa"/>
            <w:vAlign w:val="bottom"/>
          </w:tcPr>
          <w:p>
            <w:pPr>
              <w:spacing w:after="0"/>
              <w:rPr>
                <w:sz w:val="20"/>
                <w:szCs w:val="20"/>
                <w:color w:val="auto"/>
              </w:rPr>
            </w:pPr>
            <w:r>
              <w:rPr>
                <w:rFonts w:ascii="Arial" w:cs="Arial" w:eastAsia="Arial" w:hAnsi="Arial"/>
                <w:sz w:val="14"/>
                <w:szCs w:val="14"/>
                <w:color w:val="auto"/>
              </w:rPr>
              <w:t>Direct costs</w:t>
            </w:r>
          </w:p>
        </w:tc>
        <w:tc>
          <w:tcPr>
            <w:tcW w:w="1440" w:type="dxa"/>
            <w:vAlign w:val="bottom"/>
          </w:tcPr>
          <w:p>
            <w:pPr>
              <w:jc w:val="right"/>
              <w:spacing w:after="0"/>
              <w:rPr>
                <w:sz w:val="20"/>
                <w:szCs w:val="20"/>
                <w:color w:val="auto"/>
              </w:rPr>
            </w:pPr>
            <w:r>
              <w:rPr>
                <w:rFonts w:ascii="Arial" w:cs="Arial" w:eastAsia="Arial" w:hAnsi="Arial"/>
                <w:sz w:val="14"/>
                <w:szCs w:val="14"/>
                <w:color w:val="auto"/>
              </w:rPr>
              <w:t>131,291</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125,125</w:t>
            </w:r>
          </w:p>
        </w:tc>
        <w:tc>
          <w:tcPr>
            <w:tcW w:w="1780" w:type="dxa"/>
            <w:vAlign w:val="bottom"/>
            <w:gridSpan w:val="2"/>
          </w:tcPr>
          <w:p>
            <w:pPr>
              <w:jc w:val="right"/>
              <w:ind w:right="320"/>
              <w:spacing w:after="0"/>
              <w:rPr>
                <w:sz w:val="20"/>
                <w:szCs w:val="20"/>
                <w:color w:val="auto"/>
              </w:rPr>
            </w:pPr>
            <w:r>
              <w:rPr>
                <w:rFonts w:ascii="Arial" w:cs="Arial" w:eastAsia="Arial" w:hAnsi="Arial"/>
                <w:sz w:val="14"/>
                <w:szCs w:val="14"/>
                <w:color w:val="auto"/>
              </w:rPr>
              <w:t>507,783</w:t>
            </w:r>
          </w:p>
        </w:tc>
        <w:tc>
          <w:tcPr>
            <w:tcW w:w="60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489,238</w:t>
            </w:r>
          </w:p>
        </w:tc>
        <w:tc>
          <w:tcPr>
            <w:tcW w:w="0" w:type="dxa"/>
            <w:vAlign w:val="bottom"/>
          </w:tcPr>
          <w:p>
            <w:pPr>
              <w:spacing w:after="0"/>
              <w:rPr>
                <w:sz w:val="1"/>
                <w:szCs w:val="1"/>
                <w:color w:val="auto"/>
              </w:rPr>
            </w:pPr>
          </w:p>
        </w:tc>
      </w:tr>
      <w:tr>
        <w:trPr>
          <w:trHeight w:val="176"/>
        </w:trPr>
        <w:tc>
          <w:tcPr>
            <w:tcW w:w="448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1440" w:type="dxa"/>
            <w:vAlign w:val="bottom"/>
          </w:tcPr>
          <w:p>
            <w:pPr>
              <w:jc w:val="right"/>
              <w:spacing w:after="0"/>
              <w:rPr>
                <w:sz w:val="20"/>
                <w:szCs w:val="20"/>
                <w:color w:val="auto"/>
              </w:rPr>
            </w:pPr>
            <w:r>
              <w:rPr>
                <w:rFonts w:ascii="Arial" w:cs="Arial" w:eastAsia="Arial" w:hAnsi="Arial"/>
                <w:sz w:val="14"/>
                <w:szCs w:val="14"/>
                <w:color w:val="auto"/>
              </w:rPr>
              <w:t>57,271</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61,450</w:t>
            </w:r>
          </w:p>
        </w:tc>
        <w:tc>
          <w:tcPr>
            <w:tcW w:w="1780" w:type="dxa"/>
            <w:vAlign w:val="bottom"/>
            <w:gridSpan w:val="2"/>
          </w:tcPr>
          <w:p>
            <w:pPr>
              <w:jc w:val="right"/>
              <w:ind w:right="320"/>
              <w:spacing w:after="0"/>
              <w:rPr>
                <w:sz w:val="20"/>
                <w:szCs w:val="20"/>
                <w:color w:val="auto"/>
              </w:rPr>
            </w:pPr>
            <w:r>
              <w:rPr>
                <w:rFonts w:ascii="Arial" w:cs="Arial" w:eastAsia="Arial" w:hAnsi="Arial"/>
                <w:sz w:val="14"/>
                <w:szCs w:val="14"/>
                <w:color w:val="auto"/>
              </w:rPr>
              <w:t>230,910</w:t>
            </w:r>
          </w:p>
        </w:tc>
        <w:tc>
          <w:tcPr>
            <w:tcW w:w="60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248,778</w:t>
            </w:r>
          </w:p>
        </w:tc>
        <w:tc>
          <w:tcPr>
            <w:tcW w:w="0" w:type="dxa"/>
            <w:vAlign w:val="bottom"/>
          </w:tcPr>
          <w:p>
            <w:pPr>
              <w:spacing w:after="0"/>
              <w:rPr>
                <w:sz w:val="1"/>
                <w:szCs w:val="1"/>
                <w:color w:val="auto"/>
              </w:rPr>
            </w:pPr>
          </w:p>
        </w:tc>
      </w:tr>
      <w:tr>
        <w:trPr>
          <w:trHeight w:val="182"/>
        </w:trPr>
        <w:tc>
          <w:tcPr>
            <w:tcW w:w="448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440" w:type="dxa"/>
            <w:vAlign w:val="bottom"/>
          </w:tcPr>
          <w:p>
            <w:pPr>
              <w:jc w:val="right"/>
              <w:spacing w:after="0"/>
              <w:rPr>
                <w:sz w:val="20"/>
                <w:szCs w:val="20"/>
                <w:color w:val="auto"/>
              </w:rPr>
            </w:pPr>
            <w:r>
              <w:rPr>
                <w:rFonts w:ascii="Arial" w:cs="Arial" w:eastAsia="Arial" w:hAnsi="Arial"/>
                <w:sz w:val="14"/>
                <w:szCs w:val="14"/>
                <w:color w:val="auto"/>
              </w:rPr>
              <w:t>9,238</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7,052</w:t>
            </w:r>
          </w:p>
        </w:tc>
        <w:tc>
          <w:tcPr>
            <w:tcW w:w="1780" w:type="dxa"/>
            <w:vAlign w:val="bottom"/>
            <w:gridSpan w:val="2"/>
          </w:tcPr>
          <w:p>
            <w:pPr>
              <w:jc w:val="right"/>
              <w:ind w:right="320"/>
              <w:spacing w:after="0"/>
              <w:rPr>
                <w:sz w:val="20"/>
                <w:szCs w:val="20"/>
                <w:color w:val="auto"/>
              </w:rPr>
            </w:pPr>
            <w:r>
              <w:rPr>
                <w:rFonts w:ascii="Arial" w:cs="Arial" w:eastAsia="Arial" w:hAnsi="Arial"/>
                <w:sz w:val="14"/>
                <w:szCs w:val="14"/>
                <w:color w:val="auto"/>
              </w:rPr>
              <w:t>32,659</w:t>
            </w:r>
          </w:p>
        </w:tc>
        <w:tc>
          <w:tcPr>
            <w:tcW w:w="60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27,728</w:t>
            </w:r>
          </w:p>
        </w:tc>
        <w:tc>
          <w:tcPr>
            <w:tcW w:w="0" w:type="dxa"/>
            <w:vAlign w:val="bottom"/>
          </w:tcPr>
          <w:p>
            <w:pPr>
              <w:spacing w:after="0"/>
              <w:rPr>
                <w:sz w:val="1"/>
                <w:szCs w:val="1"/>
                <w:color w:val="auto"/>
              </w:rPr>
            </w:pPr>
          </w:p>
        </w:tc>
      </w:tr>
      <w:tr>
        <w:trPr>
          <w:trHeight w:val="174"/>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Total costs and expenses</w:t>
            </w: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gridSpan w:val="2"/>
          </w:tcPr>
          <w:p>
            <w:pPr>
              <w:spacing w:after="0"/>
              <w:rPr>
                <w:sz w:val="15"/>
                <w:szCs w:val="15"/>
                <w:color w:val="auto"/>
              </w:rPr>
            </w:pPr>
          </w:p>
        </w:tc>
        <w:tc>
          <w:tcPr>
            <w:tcW w:w="1780" w:type="dxa"/>
            <w:vAlign w:val="bottom"/>
            <w:gridSpan w:val="2"/>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80" w:type="dxa"/>
            <w:vAlign w:val="bottom"/>
            <w:vMerge w:val="continue"/>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197,800</w:t>
            </w:r>
          </w:p>
        </w:tc>
        <w:tc>
          <w:tcPr>
            <w:tcW w:w="3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193,627</w:t>
            </w:r>
          </w:p>
        </w:tc>
        <w:tc>
          <w:tcPr>
            <w:tcW w:w="320" w:type="dxa"/>
            <w:vAlign w:val="bottom"/>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771,352</w:t>
            </w:r>
          </w:p>
        </w:tc>
        <w:tc>
          <w:tcPr>
            <w:tcW w:w="32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765,744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448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1440" w:type="dxa"/>
            <w:vAlign w:val="bottom"/>
          </w:tcPr>
          <w:p>
            <w:pPr>
              <w:jc w:val="right"/>
              <w:spacing w:after="0"/>
              <w:rPr>
                <w:sz w:val="20"/>
                <w:szCs w:val="20"/>
                <w:color w:val="auto"/>
              </w:rPr>
            </w:pPr>
            <w:r>
              <w:rPr>
                <w:rFonts w:ascii="Arial" w:cs="Arial" w:eastAsia="Arial" w:hAnsi="Arial"/>
                <w:sz w:val="14"/>
                <w:szCs w:val="14"/>
                <w:color w:val="auto"/>
              </w:rPr>
              <w:t>29,619</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26,466</w:t>
            </w:r>
          </w:p>
        </w:tc>
        <w:tc>
          <w:tcPr>
            <w:tcW w:w="1460" w:type="dxa"/>
            <w:vAlign w:val="bottom"/>
          </w:tcPr>
          <w:p>
            <w:pPr>
              <w:jc w:val="right"/>
              <w:spacing w:after="0"/>
              <w:rPr>
                <w:sz w:val="20"/>
                <w:szCs w:val="20"/>
                <w:color w:val="auto"/>
              </w:rPr>
            </w:pPr>
            <w:r>
              <w:rPr>
                <w:rFonts w:ascii="Arial" w:cs="Arial" w:eastAsia="Arial" w:hAnsi="Arial"/>
                <w:sz w:val="14"/>
                <w:szCs w:val="14"/>
                <w:color w:val="auto"/>
              </w:rPr>
              <w:t>116,260</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99,504</w:t>
            </w:r>
          </w:p>
        </w:tc>
        <w:tc>
          <w:tcPr>
            <w:tcW w:w="0" w:type="dxa"/>
            <w:vAlign w:val="bottom"/>
          </w:tcPr>
          <w:p>
            <w:pPr>
              <w:spacing w:after="0"/>
              <w:rPr>
                <w:sz w:val="1"/>
                <w:szCs w:val="1"/>
                <w:color w:val="auto"/>
              </w:rPr>
            </w:pPr>
          </w:p>
        </w:tc>
      </w:tr>
      <w:tr>
        <w:trPr>
          <w:trHeight w:val="351"/>
        </w:trPr>
        <w:tc>
          <w:tcPr>
            <w:tcW w:w="4480" w:type="dxa"/>
            <w:vAlign w:val="bottom"/>
          </w:tcPr>
          <w:p>
            <w:pPr>
              <w:spacing w:after="0"/>
              <w:rPr>
                <w:sz w:val="20"/>
                <w:szCs w:val="20"/>
                <w:color w:val="auto"/>
              </w:rPr>
            </w:pPr>
            <w:r>
              <w:rPr>
                <w:rFonts w:ascii="Arial" w:cs="Arial" w:eastAsia="Arial" w:hAnsi="Arial"/>
                <w:sz w:val="14"/>
                <w:szCs w:val="14"/>
                <w:color w:val="auto"/>
              </w:rPr>
              <w:t>Interest expense</w:t>
            </w:r>
          </w:p>
        </w:tc>
        <w:tc>
          <w:tcPr>
            <w:tcW w:w="1440" w:type="dxa"/>
            <w:vAlign w:val="bottom"/>
          </w:tcPr>
          <w:p>
            <w:pPr>
              <w:jc w:val="right"/>
              <w:spacing w:after="0"/>
              <w:rPr>
                <w:sz w:val="20"/>
                <w:szCs w:val="20"/>
                <w:color w:val="auto"/>
              </w:rPr>
            </w:pPr>
            <w:r>
              <w:rPr>
                <w:rFonts w:ascii="Arial" w:cs="Arial" w:eastAsia="Arial" w:hAnsi="Arial"/>
                <w:sz w:val="14"/>
                <w:szCs w:val="14"/>
                <w:color w:val="auto"/>
              </w:rPr>
              <w:t>(474)</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(481)</w:t>
            </w:r>
          </w:p>
        </w:tc>
        <w:tc>
          <w:tcPr>
            <w:tcW w:w="1780" w:type="dxa"/>
            <w:vAlign w:val="bottom"/>
            <w:gridSpan w:val="2"/>
          </w:tcPr>
          <w:p>
            <w:pPr>
              <w:jc w:val="right"/>
              <w:ind w:right="320"/>
              <w:spacing w:after="0"/>
              <w:rPr>
                <w:sz w:val="20"/>
                <w:szCs w:val="20"/>
                <w:color w:val="auto"/>
              </w:rPr>
            </w:pPr>
            <w:r>
              <w:rPr>
                <w:rFonts w:ascii="Arial" w:cs="Arial" w:eastAsia="Arial" w:hAnsi="Arial"/>
                <w:sz w:val="14"/>
                <w:szCs w:val="14"/>
                <w:color w:val="auto"/>
              </w:rPr>
              <w:t>(2,778)</w:t>
            </w:r>
          </w:p>
        </w:tc>
        <w:tc>
          <w:tcPr>
            <w:tcW w:w="6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(1,224)</w:t>
            </w:r>
          </w:p>
        </w:tc>
        <w:tc>
          <w:tcPr>
            <w:tcW w:w="0" w:type="dxa"/>
            <w:vAlign w:val="bottom"/>
          </w:tcPr>
          <w:p>
            <w:pPr>
              <w:spacing w:after="0"/>
              <w:rPr>
                <w:sz w:val="1"/>
                <w:szCs w:val="1"/>
                <w:color w:val="auto"/>
              </w:rPr>
            </w:pPr>
          </w:p>
        </w:tc>
      </w:tr>
      <w:tr>
        <w:trPr>
          <w:trHeight w:val="174"/>
        </w:trPr>
        <w:tc>
          <w:tcPr>
            <w:tcW w:w="4480" w:type="dxa"/>
            <w:vAlign w:val="bottom"/>
            <w:vMerge w:val="restart"/>
          </w:tcPr>
          <w:p>
            <w:pPr>
              <w:spacing w:after="0"/>
              <w:rPr>
                <w:sz w:val="20"/>
                <w:szCs w:val="20"/>
                <w:color w:val="auto"/>
              </w:rPr>
            </w:pPr>
            <w:r>
              <w:rPr>
                <w:rFonts w:ascii="Arial" w:cs="Arial" w:eastAsia="Arial" w:hAnsi="Arial"/>
                <w:sz w:val="14"/>
                <w:szCs w:val="14"/>
                <w:color w:val="auto"/>
              </w:rPr>
              <w:t>Income before provision of income taxes</w:t>
            </w: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gridSpan w:val="2"/>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80" w:type="dxa"/>
            <w:vAlign w:val="bottom"/>
            <w:vMerge w:val="continue"/>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29,145</w:t>
            </w:r>
          </w:p>
        </w:tc>
        <w:tc>
          <w:tcPr>
            <w:tcW w:w="3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25,985</w:t>
            </w:r>
          </w:p>
        </w:tc>
        <w:tc>
          <w:tcPr>
            <w:tcW w:w="320" w:type="dxa"/>
            <w:vAlign w:val="bottom"/>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113,482</w:t>
            </w:r>
          </w:p>
        </w:tc>
        <w:tc>
          <w:tcPr>
            <w:tcW w:w="32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98,280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448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1440" w:type="dxa"/>
            <w:vAlign w:val="bottom"/>
          </w:tcPr>
          <w:p>
            <w:pPr>
              <w:jc w:val="right"/>
              <w:spacing w:after="0"/>
              <w:rPr>
                <w:sz w:val="20"/>
                <w:szCs w:val="20"/>
                <w:color w:val="auto"/>
              </w:rPr>
            </w:pPr>
            <w:r>
              <w:rPr>
                <w:rFonts w:ascii="Arial" w:cs="Arial" w:eastAsia="Arial" w:hAnsi="Arial"/>
                <w:sz w:val="14"/>
                <w:szCs w:val="14"/>
                <w:color w:val="auto"/>
              </w:rPr>
              <w:t>(5,237)</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(5,474)</w:t>
            </w:r>
          </w:p>
        </w:tc>
        <w:tc>
          <w:tcPr>
            <w:tcW w:w="1780" w:type="dxa"/>
            <w:vAlign w:val="bottom"/>
            <w:gridSpan w:val="2"/>
          </w:tcPr>
          <w:p>
            <w:pPr>
              <w:jc w:val="right"/>
              <w:ind w:right="320"/>
              <w:spacing w:after="0"/>
              <w:rPr>
                <w:sz w:val="20"/>
                <w:szCs w:val="20"/>
                <w:color w:val="auto"/>
              </w:rPr>
            </w:pPr>
            <w:r>
              <w:rPr>
                <w:rFonts w:ascii="Arial" w:cs="Arial" w:eastAsia="Arial" w:hAnsi="Arial"/>
                <w:sz w:val="14"/>
                <w:szCs w:val="14"/>
                <w:color w:val="auto"/>
              </w:rPr>
              <w:t>(21,924)</w:t>
            </w:r>
          </w:p>
        </w:tc>
        <w:tc>
          <w:tcPr>
            <w:tcW w:w="6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(19,967)</w:t>
            </w:r>
          </w:p>
        </w:tc>
        <w:tc>
          <w:tcPr>
            <w:tcW w:w="0" w:type="dxa"/>
            <w:vAlign w:val="bottom"/>
          </w:tcPr>
          <w:p>
            <w:pPr>
              <w:spacing w:after="0"/>
              <w:rPr>
                <w:sz w:val="1"/>
                <w:szCs w:val="1"/>
                <w:color w:val="auto"/>
              </w:rPr>
            </w:pPr>
          </w:p>
        </w:tc>
      </w:tr>
      <w:tr>
        <w:trPr>
          <w:trHeight w:val="181"/>
        </w:trPr>
        <w:tc>
          <w:tcPr>
            <w:tcW w:w="4480" w:type="dxa"/>
            <w:vAlign w:val="bottom"/>
          </w:tcPr>
          <w:p>
            <w:pPr>
              <w:spacing w:after="0"/>
              <w:rPr>
                <w:sz w:val="20"/>
                <w:szCs w:val="20"/>
                <w:color w:val="auto"/>
              </w:rPr>
            </w:pPr>
            <w:r>
              <w:rPr>
                <w:rFonts w:ascii="Arial" w:cs="Arial" w:eastAsia="Arial" w:hAnsi="Arial"/>
                <w:sz w:val="14"/>
                <w:szCs w:val="14"/>
                <w:color w:val="auto"/>
              </w:rPr>
              <w:t>Minority Interest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w:t>
            </w:r>
          </w:p>
        </w:tc>
        <w:tc>
          <w:tcPr>
            <w:tcW w:w="320" w:type="dxa"/>
            <w:vAlign w:val="bottom"/>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448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1440" w:type="dxa"/>
            <w:vAlign w:val="bottom"/>
          </w:tcPr>
          <w:p>
            <w:pPr>
              <w:jc w:val="right"/>
              <w:spacing w:after="0"/>
              <w:rPr>
                <w:sz w:val="20"/>
                <w:szCs w:val="20"/>
                <w:color w:val="auto"/>
              </w:rPr>
            </w:pPr>
            <w:r>
              <w:rPr>
                <w:rFonts w:ascii="Arial" w:cs="Arial" w:eastAsia="Arial" w:hAnsi="Arial"/>
                <w:sz w:val="14"/>
                <w:szCs w:val="14"/>
                <w:color w:val="auto"/>
              </w:rPr>
              <w:t>23,908</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21,025</w:t>
            </w:r>
          </w:p>
        </w:tc>
        <w:tc>
          <w:tcPr>
            <w:tcW w:w="1780" w:type="dxa"/>
            <w:vAlign w:val="bottom"/>
            <w:gridSpan w:val="2"/>
          </w:tcPr>
          <w:p>
            <w:pPr>
              <w:jc w:val="right"/>
              <w:ind w:right="320"/>
              <w:spacing w:after="0"/>
              <w:rPr>
                <w:sz w:val="20"/>
                <w:szCs w:val="20"/>
                <w:color w:val="auto"/>
              </w:rPr>
            </w:pPr>
            <w:r>
              <w:rPr>
                <w:rFonts w:ascii="Arial" w:cs="Arial" w:eastAsia="Arial" w:hAnsi="Arial"/>
                <w:sz w:val="14"/>
                <w:szCs w:val="14"/>
                <w:color w:val="auto"/>
              </w:rPr>
              <w:t>91,558</w:t>
            </w:r>
          </w:p>
        </w:tc>
        <w:tc>
          <w:tcPr>
            <w:tcW w:w="6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78,120</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4"/>
                <w:szCs w:val="14"/>
                <w:color w:val="auto"/>
              </w:rPr>
              <w:t>Net income per ordinary share</w:t>
            </w: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48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480" w:type="dxa"/>
            <w:vAlign w:val="bottom"/>
          </w:tcPr>
          <w:p>
            <w:pPr>
              <w:spacing w:after="0"/>
              <w:rPr>
                <w:sz w:val="20"/>
                <w:szCs w:val="20"/>
                <w:color w:val="auto"/>
              </w:rPr>
            </w:pPr>
            <w:r>
              <w:rPr>
                <w:rFonts w:ascii="Arial" w:cs="Arial" w:eastAsia="Arial" w:hAnsi="Arial"/>
                <w:sz w:val="14"/>
                <w:szCs w:val="14"/>
                <w:color w:val="auto"/>
              </w:rPr>
              <w:t>Basic</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$0.41</w:t>
            </w:r>
          </w:p>
        </w:tc>
        <w:tc>
          <w:tcPr>
            <w:tcW w:w="3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$0.36</w:t>
            </w:r>
          </w:p>
        </w:tc>
        <w:tc>
          <w:tcPr>
            <w:tcW w:w="320" w:type="dxa"/>
            <w:vAlign w:val="bottom"/>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3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4480" w:type="dxa"/>
            <w:vAlign w:val="bottom"/>
          </w:tcPr>
          <w:p>
            <w:pPr>
              <w:spacing w:after="0"/>
              <w:rPr>
                <w:sz w:val="20"/>
                <w:szCs w:val="20"/>
                <w:color w:val="auto"/>
              </w:rPr>
            </w:pPr>
            <w:r>
              <w:rPr>
                <w:rFonts w:ascii="Arial" w:cs="Arial" w:eastAsia="Arial" w:hAnsi="Arial"/>
                <w:sz w:val="14"/>
                <w:szCs w:val="14"/>
                <w:color w:val="auto"/>
              </w:rPr>
              <w:t>Diluted</w:t>
            </w:r>
          </w:p>
        </w:tc>
        <w:tc>
          <w:tcPr>
            <w:tcW w:w="1440" w:type="dxa"/>
            <w:vAlign w:val="bottom"/>
          </w:tcPr>
          <w:p>
            <w:pPr>
              <w:jc w:val="right"/>
              <w:spacing w:after="0"/>
              <w:rPr>
                <w:sz w:val="20"/>
                <w:szCs w:val="20"/>
                <w:color w:val="auto"/>
              </w:rPr>
            </w:pPr>
            <w:r>
              <w:rPr>
                <w:rFonts w:ascii="Arial" w:cs="Arial" w:eastAsia="Arial" w:hAnsi="Arial"/>
                <w:sz w:val="14"/>
                <w:szCs w:val="14"/>
                <w:color w:val="auto"/>
              </w:rPr>
              <w:t>$0.40</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$0.35</w:t>
            </w:r>
          </w:p>
        </w:tc>
        <w:tc>
          <w:tcPr>
            <w:tcW w:w="1780" w:type="dxa"/>
            <w:vAlign w:val="bottom"/>
            <w:gridSpan w:val="2"/>
          </w:tcPr>
          <w:p>
            <w:pPr>
              <w:jc w:val="right"/>
              <w:ind w:right="320"/>
              <w:spacing w:after="0"/>
              <w:rPr>
                <w:sz w:val="20"/>
                <w:szCs w:val="20"/>
                <w:color w:val="auto"/>
              </w:rPr>
            </w:pPr>
            <w:r>
              <w:rPr>
                <w:rFonts w:ascii="Arial" w:cs="Arial" w:eastAsia="Arial" w:hAnsi="Arial"/>
                <w:sz w:val="14"/>
                <w:szCs w:val="14"/>
                <w:color w:val="auto"/>
              </w:rPr>
              <w:t>$1.53</w:t>
            </w:r>
          </w:p>
        </w:tc>
        <w:tc>
          <w:tcPr>
            <w:tcW w:w="6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339"/>
        </w:trPr>
        <w:tc>
          <w:tcPr>
            <w:tcW w:w="4480" w:type="dxa"/>
            <w:vAlign w:val="bottom"/>
          </w:tcPr>
          <w:p>
            <w:pPr>
              <w:spacing w:after="0"/>
              <w:rPr>
                <w:sz w:val="20"/>
                <w:szCs w:val="20"/>
                <w:color w:val="auto"/>
              </w:rPr>
            </w:pPr>
            <w:r>
              <w:rPr>
                <w:rFonts w:ascii="Arial" w:cs="Arial" w:eastAsia="Arial" w:hAnsi="Arial"/>
                <w:sz w:val="14"/>
                <w:szCs w:val="14"/>
                <w:color w:val="auto"/>
              </w:rPr>
              <w:t>Weighted average number of ordinary shares</w:t>
            </w:r>
          </w:p>
        </w:tc>
        <w:tc>
          <w:tcPr>
            <w:tcW w:w="14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480" w:type="dxa"/>
            <w:vAlign w:val="bottom"/>
          </w:tcPr>
          <w:p>
            <w:pPr>
              <w:spacing w:after="0"/>
              <w:rPr>
                <w:sz w:val="20"/>
                <w:szCs w:val="20"/>
                <w:color w:val="auto"/>
              </w:rPr>
            </w:pPr>
            <w:r>
              <w:rPr>
                <w:rFonts w:ascii="Arial" w:cs="Arial" w:eastAsia="Arial" w:hAnsi="Arial"/>
                <w:sz w:val="14"/>
                <w:szCs w:val="14"/>
                <w:color w:val="auto"/>
              </w:rPr>
              <w:t>Basic</w:t>
            </w:r>
          </w:p>
        </w:tc>
        <w:tc>
          <w:tcPr>
            <w:tcW w:w="1440" w:type="dxa"/>
            <w:vAlign w:val="bottom"/>
          </w:tcPr>
          <w:p>
            <w:pPr>
              <w:jc w:val="right"/>
              <w:spacing w:after="0"/>
              <w:rPr>
                <w:sz w:val="20"/>
                <w:szCs w:val="20"/>
                <w:color w:val="auto"/>
              </w:rPr>
            </w:pPr>
            <w:r>
              <w:rPr>
                <w:rFonts w:ascii="Arial" w:cs="Arial" w:eastAsia="Arial" w:hAnsi="Arial"/>
                <w:sz w:val="14"/>
                <w:szCs w:val="14"/>
                <w:color w:val="auto"/>
              </w:rPr>
              <w:t>58,808,946</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58,509,852</w:t>
            </w:r>
          </w:p>
        </w:tc>
        <w:tc>
          <w:tcPr>
            <w:tcW w:w="1460" w:type="dxa"/>
            <w:vAlign w:val="bottom"/>
          </w:tcPr>
          <w:p>
            <w:pPr>
              <w:jc w:val="right"/>
              <w:spacing w:after="0"/>
              <w:rPr>
                <w:sz w:val="20"/>
                <w:szCs w:val="20"/>
                <w:color w:val="auto"/>
              </w:rPr>
            </w:pPr>
            <w:r>
              <w:rPr>
                <w:rFonts w:ascii="Arial" w:cs="Arial" w:eastAsia="Arial" w:hAnsi="Arial"/>
                <w:sz w:val="14"/>
                <w:szCs w:val="14"/>
                <w:color w:val="auto"/>
              </w:rPr>
              <w:t>58,636,878</w:t>
            </w: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58,245,240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4480" w:type="dxa"/>
            <w:vAlign w:val="bottom"/>
          </w:tcPr>
          <w:p>
            <w:pPr>
              <w:spacing w:after="0"/>
              <w:rPr>
                <w:sz w:val="20"/>
                <w:szCs w:val="20"/>
                <w:color w:val="auto"/>
              </w:rPr>
            </w:pPr>
            <w:r>
              <w:rPr>
                <w:rFonts w:ascii="Arial" w:cs="Arial" w:eastAsia="Arial" w:hAnsi="Arial"/>
                <w:sz w:val="14"/>
                <w:szCs w:val="14"/>
                <w:color w:val="auto"/>
              </w:rPr>
              <w:t>Diluted</w:t>
            </w:r>
          </w:p>
        </w:tc>
        <w:tc>
          <w:tcPr>
            <w:tcW w:w="1440" w:type="dxa"/>
            <w:vAlign w:val="bottom"/>
          </w:tcPr>
          <w:p>
            <w:pPr>
              <w:jc w:val="right"/>
              <w:spacing w:after="0"/>
              <w:rPr>
                <w:sz w:val="20"/>
                <w:szCs w:val="20"/>
                <w:color w:val="auto"/>
              </w:rPr>
            </w:pPr>
            <w:r>
              <w:rPr>
                <w:rFonts w:ascii="Arial" w:cs="Arial" w:eastAsia="Arial" w:hAnsi="Arial"/>
                <w:sz w:val="14"/>
                <w:szCs w:val="14"/>
                <w:color w:val="auto"/>
              </w:rPr>
              <w:t>60,092,814</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59,902,857</w:t>
            </w:r>
          </w:p>
        </w:tc>
        <w:tc>
          <w:tcPr>
            <w:tcW w:w="1460" w:type="dxa"/>
            <w:vAlign w:val="bottom"/>
          </w:tcPr>
          <w:p>
            <w:pPr>
              <w:jc w:val="right"/>
              <w:spacing w:after="0"/>
              <w:rPr>
                <w:sz w:val="20"/>
                <w:szCs w:val="20"/>
                <w:color w:val="auto"/>
              </w:rPr>
            </w:pPr>
            <w:r>
              <w:rPr>
                <w:rFonts w:ascii="Arial" w:cs="Arial" w:eastAsia="Arial" w:hAnsi="Arial"/>
                <w:sz w:val="14"/>
                <w:szCs w:val="14"/>
                <w:color w:val="auto"/>
              </w:rPr>
              <w:t>59,900,504</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60,221,587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4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48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4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6" w:name="page7"/>
    <w:bookmarkEnd w:id="6"/>
    <w:p>
      <w:pPr>
        <w:jc w:val="center"/>
        <w:ind w:right="120"/>
        <w:spacing w:after="0"/>
        <w:rPr>
          <w:sz w:val="20"/>
          <w:szCs w:val="20"/>
          <w:color w:val="auto"/>
        </w:rPr>
      </w:pPr>
      <w:r>
        <w:rPr>
          <w:rFonts w:ascii="Arial" w:cs="Arial" w:eastAsia="Arial" w:hAnsi="Arial"/>
          <w:sz w:val="14"/>
          <w:szCs w:val="14"/>
          <w:b w:val="1"/>
          <w:bCs w:val="1"/>
          <w:color w:val="auto"/>
        </w:rPr>
        <w:t>ICON plc</w:t>
      </w:r>
    </w:p>
    <w:p>
      <w:pPr>
        <w:spacing w:after="0" w:line="190"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Consolidated Income Statements (US GAAP)</w:t>
      </w:r>
    </w:p>
    <w:p>
      <w:pPr>
        <w:spacing w:after="0" w:line="366"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Three and Twelve Months ended December 31, 2009 and December 31, 2008</w:t>
      </w:r>
    </w:p>
    <w:p>
      <w:pPr>
        <w:spacing w:after="0" w:line="25"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(Dollars, in thousands, except share and per share data)</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80" w:type="dxa"/>
            <w:vAlign w:val="bottom"/>
          </w:tcPr>
          <w:p>
            <w:pPr>
              <w:spacing w:after="0"/>
              <w:rPr>
                <w:sz w:val="15"/>
                <w:szCs w:val="15"/>
                <w:color w:val="auto"/>
              </w:rPr>
            </w:pPr>
          </w:p>
        </w:tc>
        <w:tc>
          <w:tcPr>
            <w:tcW w:w="2300" w:type="dxa"/>
            <w:vAlign w:val="bottom"/>
            <w:gridSpan w:val="3"/>
          </w:tcPr>
          <w:p>
            <w:pPr>
              <w:ind w:left="940"/>
              <w:spacing w:after="0"/>
              <w:rPr>
                <w:sz w:val="20"/>
                <w:szCs w:val="20"/>
                <w:color w:val="auto"/>
              </w:rPr>
            </w:pPr>
            <w:r>
              <w:rPr>
                <w:rFonts w:ascii="Arial" w:cs="Arial" w:eastAsia="Arial" w:hAnsi="Arial"/>
                <w:sz w:val="14"/>
                <w:szCs w:val="14"/>
                <w:b w:val="1"/>
                <w:bCs w:val="1"/>
                <w:color w:val="auto"/>
                <w:w w:val="96"/>
              </w:rPr>
              <w:t>Three Months Ended</w:t>
            </w: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80" w:type="dxa"/>
            <w:vAlign w:val="bottom"/>
            <w:gridSpan w:val="3"/>
          </w:tcPr>
          <w:p>
            <w:pPr>
              <w:ind w:left="940"/>
              <w:spacing w:after="0"/>
              <w:rPr>
                <w:sz w:val="20"/>
                <w:szCs w:val="20"/>
                <w:color w:val="auto"/>
              </w:rPr>
            </w:pPr>
            <w:r>
              <w:rPr>
                <w:rFonts w:ascii="Arial" w:cs="Arial" w:eastAsia="Arial" w:hAnsi="Arial"/>
                <w:sz w:val="14"/>
                <w:szCs w:val="14"/>
                <w:b w:val="1"/>
                <w:bCs w:val="1"/>
                <w:color w:val="auto"/>
                <w:w w:val="96"/>
              </w:rPr>
              <w:t>Twelve Months Ended</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2300" w:type="dxa"/>
            <w:vAlign w:val="bottom"/>
            <w:gridSpan w:val="3"/>
          </w:tcPr>
          <w:p>
            <w:pPr>
              <w:ind w:left="60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380" w:type="dxa"/>
            <w:vAlign w:val="bottom"/>
            <w:gridSpan w:val="3"/>
          </w:tcPr>
          <w:p>
            <w:pPr>
              <w:ind w:left="60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44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2008</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4480" w:type="dxa"/>
            <w:vAlign w:val="bottom"/>
          </w:tcPr>
          <w:p>
            <w:pPr>
              <w:spacing w:after="0"/>
              <w:rPr>
                <w:sz w:val="20"/>
                <w:szCs w:val="20"/>
                <w:color w:val="auto"/>
              </w:rPr>
            </w:pPr>
            <w:r>
              <w:rPr>
                <w:rFonts w:ascii="Arial" w:cs="Arial" w:eastAsia="Arial" w:hAnsi="Arial"/>
                <w:sz w:val="14"/>
                <w:szCs w:val="14"/>
                <w:color w:val="auto"/>
              </w:rPr>
              <w:t>Gross Revenue</w:t>
            </w:r>
          </w:p>
        </w:tc>
        <w:tc>
          <w:tcPr>
            <w:tcW w:w="1440" w:type="dxa"/>
            <w:vAlign w:val="bottom"/>
          </w:tcPr>
          <w:p>
            <w:pPr>
              <w:jc w:val="right"/>
              <w:spacing w:after="0"/>
              <w:rPr>
                <w:sz w:val="20"/>
                <w:szCs w:val="20"/>
                <w:color w:val="auto"/>
              </w:rPr>
            </w:pPr>
            <w:r>
              <w:rPr>
                <w:rFonts w:ascii="Arial" w:cs="Arial" w:eastAsia="Arial" w:hAnsi="Arial"/>
                <w:sz w:val="14"/>
                <w:szCs w:val="14"/>
                <w:color w:val="auto"/>
              </w:rPr>
              <w:t>321,541</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295,370</w:t>
            </w:r>
          </w:p>
        </w:tc>
        <w:tc>
          <w:tcPr>
            <w:tcW w:w="1460" w:type="dxa"/>
            <w:vAlign w:val="bottom"/>
          </w:tcPr>
          <w:p>
            <w:pPr>
              <w:jc w:val="right"/>
              <w:spacing w:after="0"/>
              <w:rPr>
                <w:sz w:val="20"/>
                <w:szCs w:val="20"/>
                <w:color w:val="auto"/>
              </w:rPr>
            </w:pPr>
            <w:r>
              <w:rPr>
                <w:rFonts w:ascii="Arial" w:cs="Arial" w:eastAsia="Arial" w:hAnsi="Arial"/>
                <w:sz w:val="14"/>
                <w:szCs w:val="14"/>
                <w:color w:val="auto"/>
              </w:rPr>
              <w:t>1,258,227</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1,209,451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480" w:type="dxa"/>
            <w:vAlign w:val="bottom"/>
          </w:tcPr>
          <w:p>
            <w:pPr>
              <w:spacing w:after="0"/>
              <w:rPr>
                <w:sz w:val="20"/>
                <w:szCs w:val="20"/>
                <w:color w:val="auto"/>
              </w:rPr>
            </w:pPr>
            <w:r>
              <w:rPr>
                <w:rFonts w:ascii="Arial" w:cs="Arial" w:eastAsia="Arial" w:hAnsi="Arial"/>
                <w:sz w:val="14"/>
                <w:szCs w:val="14"/>
                <w:color w:val="auto"/>
              </w:rPr>
              <w:t>Reimbursable expenses</w:t>
            </w:r>
          </w:p>
        </w:tc>
        <w:tc>
          <w:tcPr>
            <w:tcW w:w="1440" w:type="dxa"/>
            <w:vAlign w:val="bottom"/>
          </w:tcPr>
          <w:p>
            <w:pPr>
              <w:jc w:val="right"/>
              <w:spacing w:after="0"/>
              <w:rPr>
                <w:sz w:val="20"/>
                <w:szCs w:val="20"/>
                <w:color w:val="auto"/>
              </w:rPr>
            </w:pPr>
            <w:r>
              <w:rPr>
                <w:rFonts w:ascii="Arial" w:cs="Arial" w:eastAsia="Arial" w:hAnsi="Arial"/>
                <w:sz w:val="14"/>
                <w:szCs w:val="14"/>
                <w:color w:val="auto"/>
              </w:rPr>
              <w:t>94,122</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75,277</w:t>
            </w:r>
          </w:p>
        </w:tc>
        <w:tc>
          <w:tcPr>
            <w:tcW w:w="1780" w:type="dxa"/>
            <w:vAlign w:val="bottom"/>
            <w:gridSpan w:val="2"/>
          </w:tcPr>
          <w:p>
            <w:pPr>
              <w:jc w:val="right"/>
              <w:ind w:right="320"/>
              <w:spacing w:after="0"/>
              <w:rPr>
                <w:sz w:val="20"/>
                <w:szCs w:val="20"/>
                <w:color w:val="auto"/>
              </w:rPr>
            </w:pPr>
            <w:r>
              <w:rPr>
                <w:rFonts w:ascii="Arial" w:cs="Arial" w:eastAsia="Arial" w:hAnsi="Arial"/>
                <w:sz w:val="14"/>
                <w:szCs w:val="14"/>
                <w:color w:val="auto"/>
              </w:rPr>
              <w:t>370,615</w:t>
            </w:r>
          </w:p>
        </w:tc>
        <w:tc>
          <w:tcPr>
            <w:tcW w:w="6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344,203</w:t>
            </w:r>
          </w:p>
        </w:tc>
        <w:tc>
          <w:tcPr>
            <w:tcW w:w="0" w:type="dxa"/>
            <w:vAlign w:val="bottom"/>
          </w:tcPr>
          <w:p>
            <w:pPr>
              <w:spacing w:after="0"/>
              <w:rPr>
                <w:sz w:val="1"/>
                <w:szCs w:val="1"/>
                <w:color w:val="auto"/>
              </w:rPr>
            </w:pPr>
          </w:p>
        </w:tc>
      </w:tr>
      <w:tr>
        <w:trPr>
          <w:trHeight w:val="174"/>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Net Revenue</w:t>
            </w:r>
          </w:p>
        </w:tc>
        <w:tc>
          <w:tcPr>
            <w:tcW w:w="14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80" w:type="dxa"/>
            <w:vAlign w:val="bottom"/>
            <w:vMerge w:val="continue"/>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227,419</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220,093</w:t>
            </w:r>
          </w:p>
        </w:tc>
        <w:tc>
          <w:tcPr>
            <w:tcW w:w="3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887,612</w:t>
            </w: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865,248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448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480" w:type="dxa"/>
            <w:vAlign w:val="bottom"/>
          </w:tcPr>
          <w:p>
            <w:pPr>
              <w:spacing w:after="0"/>
              <w:rPr>
                <w:sz w:val="20"/>
                <w:szCs w:val="20"/>
                <w:color w:val="auto"/>
              </w:rPr>
            </w:pPr>
            <w:r>
              <w:rPr>
                <w:rFonts w:ascii="Arial" w:cs="Arial" w:eastAsia="Arial" w:hAnsi="Arial"/>
                <w:sz w:val="14"/>
                <w:szCs w:val="14"/>
                <w:color w:val="auto"/>
              </w:rPr>
              <w:t>Direct costs</w:t>
            </w:r>
          </w:p>
        </w:tc>
        <w:tc>
          <w:tcPr>
            <w:tcW w:w="1440" w:type="dxa"/>
            <w:vAlign w:val="bottom"/>
          </w:tcPr>
          <w:p>
            <w:pPr>
              <w:jc w:val="right"/>
              <w:spacing w:after="0"/>
              <w:rPr>
                <w:sz w:val="20"/>
                <w:szCs w:val="20"/>
                <w:color w:val="auto"/>
              </w:rPr>
            </w:pPr>
            <w:r>
              <w:rPr>
                <w:rFonts w:ascii="Arial" w:cs="Arial" w:eastAsia="Arial" w:hAnsi="Arial"/>
                <w:sz w:val="14"/>
                <w:szCs w:val="14"/>
                <w:color w:val="auto"/>
              </w:rPr>
              <w:t>131,291</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125,125</w:t>
            </w:r>
          </w:p>
        </w:tc>
        <w:tc>
          <w:tcPr>
            <w:tcW w:w="1780" w:type="dxa"/>
            <w:vAlign w:val="bottom"/>
            <w:gridSpan w:val="2"/>
          </w:tcPr>
          <w:p>
            <w:pPr>
              <w:jc w:val="right"/>
              <w:ind w:right="320"/>
              <w:spacing w:after="0"/>
              <w:rPr>
                <w:sz w:val="20"/>
                <w:szCs w:val="20"/>
                <w:color w:val="auto"/>
              </w:rPr>
            </w:pPr>
            <w:r>
              <w:rPr>
                <w:rFonts w:ascii="Arial" w:cs="Arial" w:eastAsia="Arial" w:hAnsi="Arial"/>
                <w:sz w:val="14"/>
                <w:szCs w:val="14"/>
                <w:color w:val="auto"/>
              </w:rPr>
              <w:t>507,783</w:t>
            </w:r>
          </w:p>
        </w:tc>
        <w:tc>
          <w:tcPr>
            <w:tcW w:w="60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489,238</w:t>
            </w:r>
          </w:p>
        </w:tc>
        <w:tc>
          <w:tcPr>
            <w:tcW w:w="0" w:type="dxa"/>
            <w:vAlign w:val="bottom"/>
          </w:tcPr>
          <w:p>
            <w:pPr>
              <w:spacing w:after="0"/>
              <w:rPr>
                <w:sz w:val="1"/>
                <w:szCs w:val="1"/>
                <w:color w:val="auto"/>
              </w:rPr>
            </w:pPr>
          </w:p>
        </w:tc>
      </w:tr>
      <w:tr>
        <w:trPr>
          <w:trHeight w:val="176"/>
        </w:trPr>
        <w:tc>
          <w:tcPr>
            <w:tcW w:w="448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1440" w:type="dxa"/>
            <w:vAlign w:val="bottom"/>
          </w:tcPr>
          <w:p>
            <w:pPr>
              <w:jc w:val="right"/>
              <w:spacing w:after="0"/>
              <w:rPr>
                <w:sz w:val="20"/>
                <w:szCs w:val="20"/>
                <w:color w:val="auto"/>
              </w:rPr>
            </w:pPr>
            <w:r>
              <w:rPr>
                <w:rFonts w:ascii="Arial" w:cs="Arial" w:eastAsia="Arial" w:hAnsi="Arial"/>
                <w:sz w:val="14"/>
                <w:szCs w:val="14"/>
                <w:color w:val="auto"/>
              </w:rPr>
              <w:t>57,271</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61,450</w:t>
            </w:r>
          </w:p>
        </w:tc>
        <w:tc>
          <w:tcPr>
            <w:tcW w:w="1780" w:type="dxa"/>
            <w:vAlign w:val="bottom"/>
            <w:gridSpan w:val="2"/>
          </w:tcPr>
          <w:p>
            <w:pPr>
              <w:jc w:val="right"/>
              <w:ind w:right="320"/>
              <w:spacing w:after="0"/>
              <w:rPr>
                <w:sz w:val="20"/>
                <w:szCs w:val="20"/>
                <w:color w:val="auto"/>
              </w:rPr>
            </w:pPr>
            <w:r>
              <w:rPr>
                <w:rFonts w:ascii="Arial" w:cs="Arial" w:eastAsia="Arial" w:hAnsi="Arial"/>
                <w:sz w:val="14"/>
                <w:szCs w:val="14"/>
                <w:color w:val="auto"/>
              </w:rPr>
              <w:t>230,910</w:t>
            </w:r>
          </w:p>
        </w:tc>
        <w:tc>
          <w:tcPr>
            <w:tcW w:w="60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248,778</w:t>
            </w:r>
          </w:p>
        </w:tc>
        <w:tc>
          <w:tcPr>
            <w:tcW w:w="0" w:type="dxa"/>
            <w:vAlign w:val="bottom"/>
          </w:tcPr>
          <w:p>
            <w:pPr>
              <w:spacing w:after="0"/>
              <w:rPr>
                <w:sz w:val="1"/>
                <w:szCs w:val="1"/>
                <w:color w:val="auto"/>
              </w:rPr>
            </w:pPr>
          </w:p>
        </w:tc>
      </w:tr>
      <w:tr>
        <w:trPr>
          <w:trHeight w:val="176"/>
        </w:trPr>
        <w:tc>
          <w:tcPr>
            <w:tcW w:w="448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440" w:type="dxa"/>
            <w:vAlign w:val="bottom"/>
          </w:tcPr>
          <w:p>
            <w:pPr>
              <w:jc w:val="right"/>
              <w:spacing w:after="0"/>
              <w:rPr>
                <w:sz w:val="20"/>
                <w:szCs w:val="20"/>
                <w:color w:val="auto"/>
              </w:rPr>
            </w:pPr>
            <w:r>
              <w:rPr>
                <w:rFonts w:ascii="Arial" w:cs="Arial" w:eastAsia="Arial" w:hAnsi="Arial"/>
                <w:sz w:val="14"/>
                <w:szCs w:val="14"/>
                <w:color w:val="auto"/>
              </w:rPr>
              <w:t>9,238</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7,052</w:t>
            </w:r>
          </w:p>
        </w:tc>
        <w:tc>
          <w:tcPr>
            <w:tcW w:w="1780" w:type="dxa"/>
            <w:vAlign w:val="bottom"/>
            <w:gridSpan w:val="2"/>
          </w:tcPr>
          <w:p>
            <w:pPr>
              <w:jc w:val="right"/>
              <w:ind w:right="320"/>
              <w:spacing w:after="0"/>
              <w:rPr>
                <w:sz w:val="20"/>
                <w:szCs w:val="20"/>
                <w:color w:val="auto"/>
              </w:rPr>
            </w:pPr>
            <w:r>
              <w:rPr>
                <w:rFonts w:ascii="Arial" w:cs="Arial" w:eastAsia="Arial" w:hAnsi="Arial"/>
                <w:sz w:val="14"/>
                <w:szCs w:val="14"/>
                <w:color w:val="auto"/>
              </w:rPr>
              <w:t>32,659</w:t>
            </w:r>
          </w:p>
        </w:tc>
        <w:tc>
          <w:tcPr>
            <w:tcW w:w="60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27,728</w:t>
            </w:r>
          </w:p>
        </w:tc>
        <w:tc>
          <w:tcPr>
            <w:tcW w:w="0" w:type="dxa"/>
            <w:vAlign w:val="bottom"/>
          </w:tcPr>
          <w:p>
            <w:pPr>
              <w:spacing w:after="0"/>
              <w:rPr>
                <w:sz w:val="1"/>
                <w:szCs w:val="1"/>
                <w:color w:val="auto"/>
              </w:rPr>
            </w:pPr>
          </w:p>
        </w:tc>
      </w:tr>
      <w:tr>
        <w:trPr>
          <w:trHeight w:val="181"/>
        </w:trPr>
        <w:tc>
          <w:tcPr>
            <w:tcW w:w="4480" w:type="dxa"/>
            <w:vAlign w:val="bottom"/>
          </w:tcPr>
          <w:p>
            <w:pPr>
              <w:spacing w:after="0"/>
              <w:rPr>
                <w:sz w:val="20"/>
                <w:szCs w:val="20"/>
                <w:color w:val="auto"/>
              </w:rPr>
            </w:pPr>
            <w:r>
              <w:rPr>
                <w:rFonts w:ascii="Arial" w:cs="Arial" w:eastAsia="Arial" w:hAnsi="Arial"/>
                <w:sz w:val="14"/>
                <w:szCs w:val="14"/>
                <w:color w:val="auto"/>
              </w:rPr>
              <w:t>One time net charges</w:t>
            </w:r>
          </w:p>
        </w:tc>
        <w:tc>
          <w:tcPr>
            <w:tcW w:w="1440" w:type="dxa"/>
            <w:vAlign w:val="bottom"/>
          </w:tcPr>
          <w:p>
            <w:pPr>
              <w:jc w:val="right"/>
              <w:spacing w:after="0"/>
              <w:rPr>
                <w:sz w:val="20"/>
                <w:szCs w:val="20"/>
                <w:color w:val="auto"/>
              </w:rPr>
            </w:pPr>
            <w:r>
              <w:rPr>
                <w:rFonts w:ascii="Arial" w:cs="Arial" w:eastAsia="Arial" w:hAnsi="Arial"/>
                <w:sz w:val="14"/>
                <w:szCs w:val="14"/>
                <w:color w:val="auto"/>
              </w:rPr>
              <w:t>(133)</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320"/>
              <w:spacing w:after="0"/>
              <w:rPr>
                <w:sz w:val="20"/>
                <w:szCs w:val="20"/>
                <w:color w:val="auto"/>
              </w:rPr>
            </w:pPr>
            <w:r>
              <w:rPr>
                <w:rFonts w:ascii="Arial" w:cs="Arial" w:eastAsia="Arial" w:hAnsi="Arial"/>
                <w:sz w:val="14"/>
                <w:szCs w:val="14"/>
                <w:color w:val="auto"/>
              </w:rPr>
              <w:t>8,808</w:t>
            </w:r>
          </w:p>
        </w:tc>
        <w:tc>
          <w:tcPr>
            <w:tcW w:w="6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80" w:type="dxa"/>
            <w:vAlign w:val="bottom"/>
          </w:tcPr>
          <w:p>
            <w:pPr>
              <w:spacing w:after="0"/>
              <w:rPr>
                <w:sz w:val="20"/>
                <w:szCs w:val="20"/>
                <w:color w:val="auto"/>
              </w:rPr>
            </w:pPr>
            <w:r>
              <w:rPr>
                <w:rFonts w:ascii="Arial" w:cs="Arial" w:eastAsia="Arial" w:hAnsi="Arial"/>
                <w:sz w:val="14"/>
                <w:szCs w:val="14"/>
                <w:b w:val="1"/>
                <w:bCs w:val="1"/>
                <w:color w:val="auto"/>
              </w:rPr>
              <w:t>Total costs and expenses</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197,667</w:t>
            </w:r>
          </w:p>
        </w:tc>
        <w:tc>
          <w:tcPr>
            <w:tcW w:w="3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193,627</w:t>
            </w:r>
          </w:p>
        </w:tc>
        <w:tc>
          <w:tcPr>
            <w:tcW w:w="320" w:type="dxa"/>
            <w:vAlign w:val="bottom"/>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780,160</w:t>
            </w:r>
          </w:p>
        </w:tc>
        <w:tc>
          <w:tcPr>
            <w:tcW w:w="32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765,744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448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1440" w:type="dxa"/>
            <w:vAlign w:val="bottom"/>
          </w:tcPr>
          <w:p>
            <w:pPr>
              <w:jc w:val="right"/>
              <w:spacing w:after="0"/>
              <w:rPr>
                <w:sz w:val="20"/>
                <w:szCs w:val="20"/>
                <w:color w:val="auto"/>
              </w:rPr>
            </w:pPr>
            <w:r>
              <w:rPr>
                <w:rFonts w:ascii="Arial" w:cs="Arial" w:eastAsia="Arial" w:hAnsi="Arial"/>
                <w:sz w:val="14"/>
                <w:szCs w:val="14"/>
                <w:color w:val="auto"/>
              </w:rPr>
              <w:t>29,752</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26,466</w:t>
            </w:r>
          </w:p>
        </w:tc>
        <w:tc>
          <w:tcPr>
            <w:tcW w:w="1780" w:type="dxa"/>
            <w:vAlign w:val="bottom"/>
            <w:gridSpan w:val="2"/>
          </w:tcPr>
          <w:p>
            <w:pPr>
              <w:jc w:val="right"/>
              <w:ind w:right="320"/>
              <w:spacing w:after="0"/>
              <w:rPr>
                <w:sz w:val="20"/>
                <w:szCs w:val="20"/>
                <w:color w:val="auto"/>
              </w:rPr>
            </w:pPr>
            <w:r>
              <w:rPr>
                <w:rFonts w:ascii="Arial" w:cs="Arial" w:eastAsia="Arial" w:hAnsi="Arial"/>
                <w:sz w:val="14"/>
                <w:szCs w:val="14"/>
                <w:color w:val="auto"/>
              </w:rPr>
              <w:t>107,452</w:t>
            </w:r>
          </w:p>
        </w:tc>
        <w:tc>
          <w:tcPr>
            <w:tcW w:w="6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99,504</w:t>
            </w:r>
          </w:p>
        </w:tc>
        <w:tc>
          <w:tcPr>
            <w:tcW w:w="0" w:type="dxa"/>
            <w:vAlign w:val="bottom"/>
          </w:tcPr>
          <w:p>
            <w:pPr>
              <w:spacing w:after="0"/>
              <w:rPr>
                <w:sz w:val="1"/>
                <w:szCs w:val="1"/>
                <w:color w:val="auto"/>
              </w:rPr>
            </w:pPr>
          </w:p>
        </w:tc>
      </w:tr>
      <w:tr>
        <w:trPr>
          <w:trHeight w:val="351"/>
        </w:trPr>
        <w:tc>
          <w:tcPr>
            <w:tcW w:w="4480" w:type="dxa"/>
            <w:vAlign w:val="bottom"/>
          </w:tcPr>
          <w:p>
            <w:pPr>
              <w:spacing w:after="0"/>
              <w:rPr>
                <w:sz w:val="20"/>
                <w:szCs w:val="20"/>
                <w:color w:val="auto"/>
              </w:rPr>
            </w:pPr>
            <w:r>
              <w:rPr>
                <w:rFonts w:ascii="Arial" w:cs="Arial" w:eastAsia="Arial" w:hAnsi="Arial"/>
                <w:sz w:val="14"/>
                <w:szCs w:val="14"/>
                <w:color w:val="auto"/>
              </w:rPr>
              <w:t>Interest expense</w:t>
            </w:r>
          </w:p>
        </w:tc>
        <w:tc>
          <w:tcPr>
            <w:tcW w:w="1440" w:type="dxa"/>
            <w:vAlign w:val="bottom"/>
          </w:tcPr>
          <w:p>
            <w:pPr>
              <w:jc w:val="right"/>
              <w:spacing w:after="0"/>
              <w:rPr>
                <w:sz w:val="20"/>
                <w:szCs w:val="20"/>
                <w:color w:val="auto"/>
              </w:rPr>
            </w:pPr>
            <w:r>
              <w:rPr>
                <w:rFonts w:ascii="Arial" w:cs="Arial" w:eastAsia="Arial" w:hAnsi="Arial"/>
                <w:sz w:val="14"/>
                <w:szCs w:val="14"/>
                <w:color w:val="auto"/>
              </w:rPr>
              <w:t>(474)</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(481)</w:t>
            </w:r>
          </w:p>
        </w:tc>
        <w:tc>
          <w:tcPr>
            <w:tcW w:w="1780" w:type="dxa"/>
            <w:vAlign w:val="bottom"/>
            <w:gridSpan w:val="2"/>
          </w:tcPr>
          <w:p>
            <w:pPr>
              <w:jc w:val="right"/>
              <w:ind w:right="320"/>
              <w:spacing w:after="0"/>
              <w:rPr>
                <w:sz w:val="20"/>
                <w:szCs w:val="20"/>
                <w:color w:val="auto"/>
              </w:rPr>
            </w:pPr>
            <w:r>
              <w:rPr>
                <w:rFonts w:ascii="Arial" w:cs="Arial" w:eastAsia="Arial" w:hAnsi="Arial"/>
                <w:sz w:val="14"/>
                <w:szCs w:val="14"/>
                <w:color w:val="auto"/>
              </w:rPr>
              <w:t>(2,778)</w:t>
            </w:r>
          </w:p>
        </w:tc>
        <w:tc>
          <w:tcPr>
            <w:tcW w:w="6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(1,224)</w:t>
            </w:r>
          </w:p>
        </w:tc>
        <w:tc>
          <w:tcPr>
            <w:tcW w:w="0" w:type="dxa"/>
            <w:vAlign w:val="bottom"/>
          </w:tcPr>
          <w:p>
            <w:pPr>
              <w:spacing w:after="0"/>
              <w:rPr>
                <w:sz w:val="1"/>
                <w:szCs w:val="1"/>
                <w:color w:val="auto"/>
              </w:rPr>
            </w:pPr>
          </w:p>
        </w:tc>
      </w:tr>
      <w:tr>
        <w:trPr>
          <w:trHeight w:val="174"/>
        </w:trPr>
        <w:tc>
          <w:tcPr>
            <w:tcW w:w="4480" w:type="dxa"/>
            <w:vAlign w:val="bottom"/>
            <w:vMerge w:val="restart"/>
          </w:tcPr>
          <w:p>
            <w:pPr>
              <w:spacing w:after="0"/>
              <w:rPr>
                <w:sz w:val="20"/>
                <w:szCs w:val="20"/>
                <w:color w:val="auto"/>
              </w:rPr>
            </w:pPr>
            <w:r>
              <w:rPr>
                <w:rFonts w:ascii="Arial" w:cs="Arial" w:eastAsia="Arial" w:hAnsi="Arial"/>
                <w:sz w:val="14"/>
                <w:szCs w:val="14"/>
                <w:color w:val="auto"/>
              </w:rPr>
              <w:t>Income before provision of income taxes</w:t>
            </w: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gridSpan w:val="2"/>
          </w:tcPr>
          <w:p>
            <w:pPr>
              <w:spacing w:after="0"/>
              <w:rPr>
                <w:sz w:val="15"/>
                <w:szCs w:val="15"/>
                <w:color w:val="auto"/>
              </w:rPr>
            </w:pPr>
          </w:p>
        </w:tc>
        <w:tc>
          <w:tcPr>
            <w:tcW w:w="1780" w:type="dxa"/>
            <w:vAlign w:val="bottom"/>
            <w:gridSpan w:val="2"/>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80" w:type="dxa"/>
            <w:vAlign w:val="bottom"/>
            <w:vMerge w:val="continue"/>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29,278</w:t>
            </w:r>
          </w:p>
        </w:tc>
        <w:tc>
          <w:tcPr>
            <w:tcW w:w="3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25,985</w:t>
            </w:r>
          </w:p>
        </w:tc>
        <w:tc>
          <w:tcPr>
            <w:tcW w:w="320" w:type="dxa"/>
            <w:vAlign w:val="bottom"/>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104,674</w:t>
            </w:r>
          </w:p>
        </w:tc>
        <w:tc>
          <w:tcPr>
            <w:tcW w:w="32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98,280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448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1440" w:type="dxa"/>
            <w:vAlign w:val="bottom"/>
          </w:tcPr>
          <w:p>
            <w:pPr>
              <w:jc w:val="right"/>
              <w:spacing w:after="0"/>
              <w:rPr>
                <w:sz w:val="20"/>
                <w:szCs w:val="20"/>
                <w:color w:val="auto"/>
              </w:rPr>
            </w:pPr>
            <w:r>
              <w:rPr>
                <w:rFonts w:ascii="Arial" w:cs="Arial" w:eastAsia="Arial" w:hAnsi="Arial"/>
                <w:sz w:val="14"/>
                <w:szCs w:val="14"/>
                <w:color w:val="auto"/>
              </w:rPr>
              <w:t>1,598</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(5,474)</w:t>
            </w:r>
          </w:p>
        </w:tc>
        <w:tc>
          <w:tcPr>
            <w:tcW w:w="1780" w:type="dxa"/>
            <w:vAlign w:val="bottom"/>
            <w:gridSpan w:val="2"/>
          </w:tcPr>
          <w:p>
            <w:pPr>
              <w:jc w:val="right"/>
              <w:ind w:right="320"/>
              <w:spacing w:after="0"/>
              <w:rPr>
                <w:sz w:val="20"/>
                <w:szCs w:val="20"/>
                <w:color w:val="auto"/>
              </w:rPr>
            </w:pPr>
            <w:r>
              <w:rPr>
                <w:rFonts w:ascii="Arial" w:cs="Arial" w:eastAsia="Arial" w:hAnsi="Arial"/>
                <w:sz w:val="14"/>
                <w:szCs w:val="14"/>
                <w:color w:val="auto"/>
              </w:rPr>
              <w:t>(10,375)</w:t>
            </w:r>
          </w:p>
        </w:tc>
        <w:tc>
          <w:tcPr>
            <w:tcW w:w="6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(19,967)</w:t>
            </w:r>
          </w:p>
        </w:tc>
        <w:tc>
          <w:tcPr>
            <w:tcW w:w="0" w:type="dxa"/>
            <w:vAlign w:val="bottom"/>
          </w:tcPr>
          <w:p>
            <w:pPr>
              <w:spacing w:after="0"/>
              <w:rPr>
                <w:sz w:val="1"/>
                <w:szCs w:val="1"/>
                <w:color w:val="auto"/>
              </w:rPr>
            </w:pPr>
          </w:p>
        </w:tc>
      </w:tr>
      <w:tr>
        <w:trPr>
          <w:trHeight w:val="181"/>
        </w:trPr>
        <w:tc>
          <w:tcPr>
            <w:tcW w:w="4480" w:type="dxa"/>
            <w:vAlign w:val="bottom"/>
          </w:tcPr>
          <w:p>
            <w:pPr>
              <w:spacing w:after="0"/>
              <w:rPr>
                <w:sz w:val="20"/>
                <w:szCs w:val="20"/>
                <w:color w:val="auto"/>
              </w:rPr>
            </w:pPr>
            <w:r>
              <w:rPr>
                <w:rFonts w:ascii="Arial" w:cs="Arial" w:eastAsia="Arial" w:hAnsi="Arial"/>
                <w:sz w:val="14"/>
                <w:szCs w:val="14"/>
                <w:color w:val="auto"/>
              </w:rPr>
              <w:t>Minority Interest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w:t>
            </w:r>
          </w:p>
        </w:tc>
        <w:tc>
          <w:tcPr>
            <w:tcW w:w="320" w:type="dxa"/>
            <w:vAlign w:val="bottom"/>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448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1440" w:type="dxa"/>
            <w:vAlign w:val="bottom"/>
          </w:tcPr>
          <w:p>
            <w:pPr>
              <w:jc w:val="right"/>
              <w:spacing w:after="0"/>
              <w:rPr>
                <w:sz w:val="20"/>
                <w:szCs w:val="20"/>
                <w:color w:val="auto"/>
              </w:rPr>
            </w:pPr>
            <w:r>
              <w:rPr>
                <w:rFonts w:ascii="Arial" w:cs="Arial" w:eastAsia="Arial" w:hAnsi="Arial"/>
                <w:sz w:val="14"/>
                <w:szCs w:val="14"/>
                <w:color w:val="auto"/>
              </w:rPr>
              <w:t>30,876</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21,025</w:t>
            </w:r>
          </w:p>
        </w:tc>
        <w:tc>
          <w:tcPr>
            <w:tcW w:w="1780" w:type="dxa"/>
            <w:vAlign w:val="bottom"/>
            <w:gridSpan w:val="2"/>
          </w:tcPr>
          <w:p>
            <w:pPr>
              <w:jc w:val="right"/>
              <w:ind w:right="320"/>
              <w:spacing w:after="0"/>
              <w:rPr>
                <w:sz w:val="20"/>
                <w:szCs w:val="20"/>
                <w:color w:val="auto"/>
              </w:rPr>
            </w:pPr>
            <w:r>
              <w:rPr>
                <w:rFonts w:ascii="Arial" w:cs="Arial" w:eastAsia="Arial" w:hAnsi="Arial"/>
                <w:sz w:val="14"/>
                <w:szCs w:val="14"/>
                <w:color w:val="auto"/>
              </w:rPr>
              <w:t>94,299</w:t>
            </w:r>
          </w:p>
        </w:tc>
        <w:tc>
          <w:tcPr>
            <w:tcW w:w="6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78,120</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4"/>
                <w:szCs w:val="14"/>
                <w:color w:val="auto"/>
              </w:rPr>
              <w:t>Net income per ordinary share</w:t>
            </w: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48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480" w:type="dxa"/>
            <w:vAlign w:val="bottom"/>
          </w:tcPr>
          <w:p>
            <w:pPr>
              <w:spacing w:after="0"/>
              <w:rPr>
                <w:sz w:val="20"/>
                <w:szCs w:val="20"/>
                <w:color w:val="auto"/>
              </w:rPr>
            </w:pPr>
            <w:r>
              <w:rPr>
                <w:rFonts w:ascii="Arial" w:cs="Arial" w:eastAsia="Arial" w:hAnsi="Arial"/>
                <w:sz w:val="14"/>
                <w:szCs w:val="14"/>
                <w:color w:val="auto"/>
              </w:rPr>
              <w:t>Basic</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$0.53</w:t>
            </w:r>
          </w:p>
        </w:tc>
        <w:tc>
          <w:tcPr>
            <w:tcW w:w="3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$0.36</w:t>
            </w:r>
          </w:p>
        </w:tc>
        <w:tc>
          <w:tcPr>
            <w:tcW w:w="320" w:type="dxa"/>
            <w:vAlign w:val="bottom"/>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3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4480" w:type="dxa"/>
            <w:vAlign w:val="bottom"/>
          </w:tcPr>
          <w:p>
            <w:pPr>
              <w:spacing w:after="0"/>
              <w:rPr>
                <w:sz w:val="20"/>
                <w:szCs w:val="20"/>
                <w:color w:val="auto"/>
              </w:rPr>
            </w:pPr>
            <w:r>
              <w:rPr>
                <w:rFonts w:ascii="Arial" w:cs="Arial" w:eastAsia="Arial" w:hAnsi="Arial"/>
                <w:sz w:val="14"/>
                <w:szCs w:val="14"/>
                <w:color w:val="auto"/>
              </w:rPr>
              <w:t>Diluted</w:t>
            </w:r>
          </w:p>
        </w:tc>
        <w:tc>
          <w:tcPr>
            <w:tcW w:w="1440" w:type="dxa"/>
            <w:vAlign w:val="bottom"/>
          </w:tcPr>
          <w:p>
            <w:pPr>
              <w:jc w:val="right"/>
              <w:spacing w:after="0"/>
              <w:rPr>
                <w:sz w:val="20"/>
                <w:szCs w:val="20"/>
                <w:color w:val="auto"/>
              </w:rPr>
            </w:pPr>
            <w:r>
              <w:rPr>
                <w:rFonts w:ascii="Arial" w:cs="Arial" w:eastAsia="Arial" w:hAnsi="Arial"/>
                <w:sz w:val="14"/>
                <w:szCs w:val="14"/>
                <w:color w:val="auto"/>
              </w:rPr>
              <w:t>$0.51</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$0.35</w:t>
            </w:r>
          </w:p>
        </w:tc>
        <w:tc>
          <w:tcPr>
            <w:tcW w:w="1780" w:type="dxa"/>
            <w:vAlign w:val="bottom"/>
            <w:gridSpan w:val="2"/>
          </w:tcPr>
          <w:p>
            <w:pPr>
              <w:jc w:val="right"/>
              <w:ind w:right="320"/>
              <w:spacing w:after="0"/>
              <w:rPr>
                <w:sz w:val="20"/>
                <w:szCs w:val="20"/>
                <w:color w:val="auto"/>
              </w:rPr>
            </w:pPr>
            <w:r>
              <w:rPr>
                <w:rFonts w:ascii="Arial" w:cs="Arial" w:eastAsia="Arial" w:hAnsi="Arial"/>
                <w:sz w:val="14"/>
                <w:szCs w:val="14"/>
                <w:color w:val="auto"/>
              </w:rPr>
              <w:t>$1.57</w:t>
            </w:r>
          </w:p>
        </w:tc>
        <w:tc>
          <w:tcPr>
            <w:tcW w:w="6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339"/>
        </w:trPr>
        <w:tc>
          <w:tcPr>
            <w:tcW w:w="4480" w:type="dxa"/>
            <w:vAlign w:val="bottom"/>
          </w:tcPr>
          <w:p>
            <w:pPr>
              <w:spacing w:after="0"/>
              <w:rPr>
                <w:sz w:val="20"/>
                <w:szCs w:val="20"/>
                <w:color w:val="auto"/>
              </w:rPr>
            </w:pPr>
            <w:r>
              <w:rPr>
                <w:rFonts w:ascii="Arial" w:cs="Arial" w:eastAsia="Arial" w:hAnsi="Arial"/>
                <w:sz w:val="14"/>
                <w:szCs w:val="14"/>
                <w:color w:val="auto"/>
              </w:rPr>
              <w:t>Weighted average number of ordinary shares</w:t>
            </w:r>
          </w:p>
        </w:tc>
        <w:tc>
          <w:tcPr>
            <w:tcW w:w="14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480" w:type="dxa"/>
            <w:vAlign w:val="bottom"/>
          </w:tcPr>
          <w:p>
            <w:pPr>
              <w:spacing w:after="0"/>
              <w:rPr>
                <w:sz w:val="20"/>
                <w:szCs w:val="20"/>
                <w:color w:val="auto"/>
              </w:rPr>
            </w:pPr>
            <w:r>
              <w:rPr>
                <w:rFonts w:ascii="Arial" w:cs="Arial" w:eastAsia="Arial" w:hAnsi="Arial"/>
                <w:sz w:val="14"/>
                <w:szCs w:val="14"/>
                <w:color w:val="auto"/>
              </w:rPr>
              <w:t>Basic</w:t>
            </w:r>
          </w:p>
        </w:tc>
        <w:tc>
          <w:tcPr>
            <w:tcW w:w="1440" w:type="dxa"/>
            <w:vAlign w:val="bottom"/>
          </w:tcPr>
          <w:p>
            <w:pPr>
              <w:jc w:val="right"/>
              <w:spacing w:after="0"/>
              <w:rPr>
                <w:sz w:val="20"/>
                <w:szCs w:val="20"/>
                <w:color w:val="auto"/>
              </w:rPr>
            </w:pPr>
            <w:r>
              <w:rPr>
                <w:rFonts w:ascii="Arial" w:cs="Arial" w:eastAsia="Arial" w:hAnsi="Arial"/>
                <w:sz w:val="14"/>
                <w:szCs w:val="14"/>
                <w:color w:val="auto"/>
              </w:rPr>
              <w:t>58,808,946</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58,509,852</w:t>
            </w:r>
          </w:p>
        </w:tc>
        <w:tc>
          <w:tcPr>
            <w:tcW w:w="1460" w:type="dxa"/>
            <w:vAlign w:val="bottom"/>
          </w:tcPr>
          <w:p>
            <w:pPr>
              <w:jc w:val="right"/>
              <w:spacing w:after="0"/>
              <w:rPr>
                <w:sz w:val="20"/>
                <w:szCs w:val="20"/>
                <w:color w:val="auto"/>
              </w:rPr>
            </w:pPr>
            <w:r>
              <w:rPr>
                <w:rFonts w:ascii="Arial" w:cs="Arial" w:eastAsia="Arial" w:hAnsi="Arial"/>
                <w:sz w:val="14"/>
                <w:szCs w:val="14"/>
                <w:color w:val="auto"/>
              </w:rPr>
              <w:t>58,636,878</w:t>
            </w: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58,245,240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4480" w:type="dxa"/>
            <w:vAlign w:val="bottom"/>
          </w:tcPr>
          <w:p>
            <w:pPr>
              <w:spacing w:after="0"/>
              <w:rPr>
                <w:sz w:val="20"/>
                <w:szCs w:val="20"/>
                <w:color w:val="auto"/>
              </w:rPr>
            </w:pPr>
            <w:r>
              <w:rPr>
                <w:rFonts w:ascii="Arial" w:cs="Arial" w:eastAsia="Arial" w:hAnsi="Arial"/>
                <w:sz w:val="14"/>
                <w:szCs w:val="14"/>
                <w:color w:val="auto"/>
              </w:rPr>
              <w:t>Diluted</w:t>
            </w:r>
          </w:p>
        </w:tc>
        <w:tc>
          <w:tcPr>
            <w:tcW w:w="1440" w:type="dxa"/>
            <w:vAlign w:val="bottom"/>
          </w:tcPr>
          <w:p>
            <w:pPr>
              <w:jc w:val="right"/>
              <w:spacing w:after="0"/>
              <w:rPr>
                <w:sz w:val="20"/>
                <w:szCs w:val="20"/>
                <w:color w:val="auto"/>
              </w:rPr>
            </w:pPr>
            <w:r>
              <w:rPr>
                <w:rFonts w:ascii="Arial" w:cs="Arial" w:eastAsia="Arial" w:hAnsi="Arial"/>
                <w:sz w:val="14"/>
                <w:szCs w:val="14"/>
                <w:color w:val="auto"/>
              </w:rPr>
              <w:t>60,092,814</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59,902,857</w:t>
            </w:r>
          </w:p>
        </w:tc>
        <w:tc>
          <w:tcPr>
            <w:tcW w:w="1460" w:type="dxa"/>
            <w:vAlign w:val="bottom"/>
          </w:tcPr>
          <w:p>
            <w:pPr>
              <w:jc w:val="right"/>
              <w:spacing w:after="0"/>
              <w:rPr>
                <w:sz w:val="20"/>
                <w:szCs w:val="20"/>
                <w:color w:val="auto"/>
              </w:rPr>
            </w:pPr>
            <w:r>
              <w:rPr>
                <w:rFonts w:ascii="Arial" w:cs="Arial" w:eastAsia="Arial" w:hAnsi="Arial"/>
                <w:sz w:val="14"/>
                <w:szCs w:val="14"/>
                <w:color w:val="auto"/>
              </w:rPr>
              <w:t>59,900,504</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60,221,587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4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48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4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ICON plc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Summary Balance Sheet Data</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2009 and December 31, 2008</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680" w:type="dxa"/>
            <w:vAlign w:val="bottom"/>
          </w:tcPr>
          <w:p>
            <w:pPr>
              <w:jc w:val="right"/>
              <w:ind w:right="608"/>
              <w:spacing w:after="0"/>
              <w:rPr>
                <w:sz w:val="20"/>
                <w:szCs w:val="20"/>
                <w:color w:val="auto"/>
              </w:rPr>
            </w:pPr>
            <w:r>
              <w:rPr>
                <w:rFonts w:ascii="Arial" w:cs="Arial" w:eastAsia="Arial" w:hAnsi="Arial"/>
                <w:sz w:val="14"/>
                <w:szCs w:val="14"/>
                <w:b w:val="1"/>
                <w:bCs w:val="1"/>
                <w:color w:val="auto"/>
              </w:rPr>
              <w:t>December 31,</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3680" w:type="dxa"/>
            <w:vAlign w:val="bottom"/>
          </w:tcPr>
          <w:p>
            <w:pPr>
              <w:spacing w:after="0"/>
              <w:rPr>
                <w:sz w:val="15"/>
                <w:szCs w:val="15"/>
                <w:color w:val="auto"/>
              </w:rPr>
            </w:pPr>
          </w:p>
        </w:tc>
        <w:tc>
          <w:tcPr>
            <w:tcW w:w="6080" w:type="dxa"/>
            <w:vAlign w:val="bottom"/>
            <w:gridSpan w:val="2"/>
          </w:tcPr>
          <w:p>
            <w:pPr>
              <w:jc w:val="right"/>
              <w:ind w:right="588"/>
              <w:spacing w:after="0"/>
              <w:rPr>
                <w:sz w:val="20"/>
                <w:szCs w:val="20"/>
                <w:color w:val="auto"/>
              </w:rPr>
            </w:pPr>
            <w:r>
              <w:rPr>
                <w:rFonts w:ascii="Arial" w:cs="Arial" w:eastAsia="Arial" w:hAnsi="Arial"/>
                <w:sz w:val="14"/>
                <w:szCs w:val="14"/>
                <w:b w:val="1"/>
                <w:bCs w:val="1"/>
                <w:color w:val="auto"/>
              </w:rPr>
              <w:t>2009</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r>
      <w:tr>
        <w:trPr>
          <w:trHeight w:val="180"/>
        </w:trPr>
        <w:tc>
          <w:tcPr>
            <w:tcW w:w="3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680" w:type="dxa"/>
            <w:vAlign w:val="bottom"/>
          </w:tcPr>
          <w:p>
            <w:pPr>
              <w:jc w:val="right"/>
              <w:ind w:right="608"/>
              <w:spacing w:after="0"/>
              <w:rPr>
                <w:sz w:val="20"/>
                <w:szCs w:val="20"/>
                <w:color w:val="auto"/>
              </w:rPr>
            </w:pPr>
            <w:r>
              <w:rPr>
                <w:rFonts w:ascii="Arial" w:cs="Arial" w:eastAsia="Arial" w:hAnsi="Arial"/>
                <w:sz w:val="14"/>
                <w:szCs w:val="14"/>
                <w:b w:val="1"/>
                <w:bCs w:val="1"/>
                <w:color w:val="auto"/>
              </w:rPr>
              <w:t>(audited)</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(audited)</w:t>
            </w:r>
          </w:p>
        </w:tc>
      </w:tr>
      <w:tr>
        <w:trPr>
          <w:trHeight w:val="176"/>
        </w:trPr>
        <w:tc>
          <w:tcPr>
            <w:tcW w:w="3680" w:type="dxa"/>
            <w:vAlign w:val="bottom"/>
          </w:tcPr>
          <w:p>
            <w:pPr>
              <w:spacing w:after="0"/>
              <w:rPr>
                <w:sz w:val="20"/>
                <w:szCs w:val="20"/>
                <w:color w:val="auto"/>
              </w:rPr>
            </w:pPr>
            <w:r>
              <w:rPr>
                <w:rFonts w:ascii="Arial" w:cs="Arial" w:eastAsia="Arial" w:hAnsi="Arial"/>
                <w:sz w:val="14"/>
                <w:szCs w:val="14"/>
                <w:color w:val="auto"/>
              </w:rPr>
              <w:t>Cash and short-term investments</w:t>
            </w:r>
          </w:p>
        </w:tc>
        <w:tc>
          <w:tcPr>
            <w:tcW w:w="6080" w:type="dxa"/>
            <w:vAlign w:val="bottom"/>
            <w:gridSpan w:val="2"/>
          </w:tcPr>
          <w:p>
            <w:pPr>
              <w:jc w:val="right"/>
              <w:ind w:right="588"/>
              <w:spacing w:after="0"/>
              <w:rPr>
                <w:sz w:val="20"/>
                <w:szCs w:val="20"/>
                <w:color w:val="auto"/>
              </w:rPr>
            </w:pPr>
            <w:r>
              <w:rPr>
                <w:rFonts w:ascii="Arial" w:cs="Arial" w:eastAsia="Arial" w:hAnsi="Arial"/>
                <w:sz w:val="14"/>
                <w:szCs w:val="14"/>
                <w:color w:val="auto"/>
              </w:rPr>
              <w:t>194,028</w:t>
            </w:r>
          </w:p>
        </w:tc>
        <w:tc>
          <w:tcPr>
            <w:tcW w:w="1520" w:type="dxa"/>
            <w:vAlign w:val="bottom"/>
          </w:tcPr>
          <w:p>
            <w:pPr>
              <w:jc w:val="right"/>
              <w:spacing w:after="0"/>
              <w:rPr>
                <w:sz w:val="20"/>
                <w:szCs w:val="20"/>
                <w:color w:val="auto"/>
              </w:rPr>
            </w:pPr>
            <w:r>
              <w:rPr>
                <w:rFonts w:ascii="Arial" w:cs="Arial" w:eastAsia="Arial" w:hAnsi="Arial"/>
                <w:sz w:val="14"/>
                <w:szCs w:val="14"/>
                <w:color w:val="auto"/>
              </w:rPr>
              <w:t>101,104</w:t>
            </w:r>
          </w:p>
        </w:tc>
      </w:tr>
      <w:tr>
        <w:trPr>
          <w:trHeight w:val="176"/>
        </w:trPr>
        <w:tc>
          <w:tcPr>
            <w:tcW w:w="3680" w:type="dxa"/>
            <w:vAlign w:val="bottom"/>
          </w:tcPr>
          <w:p>
            <w:pPr>
              <w:spacing w:after="0"/>
              <w:rPr>
                <w:sz w:val="20"/>
                <w:szCs w:val="20"/>
                <w:color w:val="auto"/>
              </w:rPr>
            </w:pPr>
            <w:r>
              <w:rPr>
                <w:rFonts w:ascii="Arial" w:cs="Arial" w:eastAsia="Arial" w:hAnsi="Arial"/>
                <w:sz w:val="14"/>
                <w:szCs w:val="14"/>
                <w:color w:val="auto"/>
              </w:rPr>
              <w:t>Debt</w:t>
            </w:r>
          </w:p>
        </w:tc>
        <w:tc>
          <w:tcPr>
            <w:tcW w:w="6080" w:type="dxa"/>
            <w:vAlign w:val="bottom"/>
            <w:gridSpan w:val="2"/>
          </w:tcPr>
          <w:p>
            <w:pPr>
              <w:jc w:val="right"/>
              <w:ind w:right="588"/>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105,379</w:t>
            </w:r>
          </w:p>
        </w:tc>
      </w:tr>
      <w:tr>
        <w:trPr>
          <w:trHeight w:val="182"/>
        </w:trPr>
        <w:tc>
          <w:tcPr>
            <w:tcW w:w="3680" w:type="dxa"/>
            <w:vAlign w:val="bottom"/>
          </w:tcPr>
          <w:p>
            <w:pPr>
              <w:spacing w:after="0"/>
              <w:rPr>
                <w:sz w:val="20"/>
                <w:szCs w:val="20"/>
                <w:color w:val="auto"/>
              </w:rPr>
            </w:pPr>
            <w:r>
              <w:rPr>
                <w:rFonts w:ascii="Arial" w:cs="Arial" w:eastAsia="Arial" w:hAnsi="Arial"/>
                <w:sz w:val="14"/>
                <w:szCs w:val="14"/>
                <w:color w:val="auto"/>
              </w:rPr>
              <w:t>Net cash/(debt)</w:t>
            </w:r>
          </w:p>
        </w:tc>
        <w:tc>
          <w:tcPr>
            <w:tcW w:w="6080" w:type="dxa"/>
            <w:vAlign w:val="bottom"/>
            <w:gridSpan w:val="2"/>
          </w:tcPr>
          <w:p>
            <w:pPr>
              <w:jc w:val="right"/>
              <w:ind w:right="588"/>
              <w:spacing w:after="0"/>
              <w:rPr>
                <w:sz w:val="20"/>
                <w:szCs w:val="20"/>
                <w:color w:val="auto"/>
              </w:rPr>
            </w:pPr>
            <w:r>
              <w:rPr>
                <w:rFonts w:ascii="Arial" w:cs="Arial" w:eastAsia="Arial" w:hAnsi="Arial"/>
                <w:sz w:val="14"/>
                <w:szCs w:val="14"/>
                <w:color w:val="auto"/>
              </w:rPr>
              <w:t>194,028</w:t>
            </w:r>
          </w:p>
        </w:tc>
        <w:tc>
          <w:tcPr>
            <w:tcW w:w="1520" w:type="dxa"/>
            <w:vAlign w:val="bottom"/>
          </w:tcPr>
          <w:p>
            <w:pPr>
              <w:jc w:val="right"/>
              <w:spacing w:after="0"/>
              <w:rPr>
                <w:sz w:val="20"/>
                <w:szCs w:val="20"/>
                <w:color w:val="auto"/>
              </w:rPr>
            </w:pPr>
            <w:r>
              <w:rPr>
                <w:rFonts w:ascii="Arial" w:cs="Arial" w:eastAsia="Arial" w:hAnsi="Arial"/>
                <w:sz w:val="14"/>
                <w:szCs w:val="14"/>
                <w:color w:val="auto"/>
              </w:rPr>
              <w:t>(4,275)</w:t>
            </w:r>
          </w:p>
        </w:tc>
      </w:tr>
      <w:tr>
        <w:trPr>
          <w:trHeight w:val="344"/>
        </w:trPr>
        <w:tc>
          <w:tcPr>
            <w:tcW w:w="3680" w:type="dxa"/>
            <w:vAlign w:val="bottom"/>
          </w:tcPr>
          <w:p>
            <w:pPr>
              <w:spacing w:after="0"/>
              <w:rPr>
                <w:sz w:val="20"/>
                <w:szCs w:val="20"/>
                <w:color w:val="auto"/>
              </w:rPr>
            </w:pPr>
            <w:r>
              <w:rPr>
                <w:rFonts w:ascii="Arial" w:cs="Arial" w:eastAsia="Arial" w:hAnsi="Arial"/>
                <w:sz w:val="14"/>
                <w:szCs w:val="14"/>
                <w:color w:val="auto"/>
              </w:rPr>
              <w:t>Accounts receivable</w:t>
            </w:r>
          </w:p>
        </w:tc>
        <w:tc>
          <w:tcPr>
            <w:tcW w:w="6080" w:type="dxa"/>
            <w:vAlign w:val="bottom"/>
            <w:gridSpan w:val="2"/>
          </w:tcPr>
          <w:p>
            <w:pPr>
              <w:jc w:val="right"/>
              <w:ind w:right="588"/>
              <w:spacing w:after="0"/>
              <w:rPr>
                <w:sz w:val="20"/>
                <w:szCs w:val="20"/>
                <w:color w:val="auto"/>
              </w:rPr>
            </w:pPr>
            <w:r>
              <w:rPr>
                <w:rFonts w:ascii="Arial" w:cs="Arial" w:eastAsia="Arial" w:hAnsi="Arial"/>
                <w:sz w:val="14"/>
                <w:szCs w:val="14"/>
                <w:color w:val="auto"/>
              </w:rPr>
              <w:t>191,924</w:t>
            </w:r>
          </w:p>
        </w:tc>
        <w:tc>
          <w:tcPr>
            <w:tcW w:w="1520" w:type="dxa"/>
            <w:vAlign w:val="bottom"/>
          </w:tcPr>
          <w:p>
            <w:pPr>
              <w:jc w:val="right"/>
              <w:spacing w:after="0"/>
              <w:rPr>
                <w:sz w:val="20"/>
                <w:szCs w:val="20"/>
                <w:color w:val="auto"/>
              </w:rPr>
            </w:pPr>
            <w:r>
              <w:rPr>
                <w:rFonts w:ascii="Arial" w:cs="Arial" w:eastAsia="Arial" w:hAnsi="Arial"/>
                <w:sz w:val="14"/>
                <w:szCs w:val="14"/>
                <w:color w:val="auto"/>
              </w:rPr>
              <w:t>210,535</w:t>
            </w:r>
          </w:p>
        </w:tc>
      </w:tr>
      <w:tr>
        <w:trPr>
          <w:trHeight w:val="176"/>
        </w:trPr>
        <w:tc>
          <w:tcPr>
            <w:tcW w:w="3680" w:type="dxa"/>
            <w:vAlign w:val="bottom"/>
          </w:tcPr>
          <w:p>
            <w:pPr>
              <w:spacing w:after="0"/>
              <w:rPr>
                <w:sz w:val="20"/>
                <w:szCs w:val="20"/>
                <w:color w:val="auto"/>
              </w:rPr>
            </w:pPr>
            <w:r>
              <w:rPr>
                <w:rFonts w:ascii="Arial" w:cs="Arial" w:eastAsia="Arial" w:hAnsi="Arial"/>
                <w:sz w:val="14"/>
                <w:szCs w:val="14"/>
                <w:color w:val="auto"/>
              </w:rPr>
              <w:t>Unbilled revenue</w:t>
            </w:r>
          </w:p>
        </w:tc>
        <w:tc>
          <w:tcPr>
            <w:tcW w:w="6080" w:type="dxa"/>
            <w:vAlign w:val="bottom"/>
            <w:gridSpan w:val="2"/>
          </w:tcPr>
          <w:p>
            <w:pPr>
              <w:jc w:val="right"/>
              <w:ind w:right="588"/>
              <w:spacing w:after="0"/>
              <w:rPr>
                <w:sz w:val="20"/>
                <w:szCs w:val="20"/>
                <w:color w:val="auto"/>
              </w:rPr>
            </w:pPr>
            <w:r>
              <w:rPr>
                <w:rFonts w:ascii="Arial" w:cs="Arial" w:eastAsia="Arial" w:hAnsi="Arial"/>
                <w:sz w:val="14"/>
                <w:szCs w:val="14"/>
                <w:color w:val="auto"/>
              </w:rPr>
              <w:t>92,080</w:t>
            </w:r>
          </w:p>
        </w:tc>
        <w:tc>
          <w:tcPr>
            <w:tcW w:w="1520" w:type="dxa"/>
            <w:vAlign w:val="bottom"/>
          </w:tcPr>
          <w:p>
            <w:pPr>
              <w:jc w:val="right"/>
              <w:spacing w:after="0"/>
              <w:rPr>
                <w:sz w:val="20"/>
                <w:szCs w:val="20"/>
                <w:color w:val="auto"/>
              </w:rPr>
            </w:pPr>
            <w:r>
              <w:rPr>
                <w:rFonts w:ascii="Arial" w:cs="Arial" w:eastAsia="Arial" w:hAnsi="Arial"/>
                <w:sz w:val="14"/>
                <w:szCs w:val="14"/>
                <w:color w:val="auto"/>
              </w:rPr>
              <w:t>141,727</w:t>
            </w:r>
          </w:p>
        </w:tc>
      </w:tr>
      <w:tr>
        <w:trPr>
          <w:trHeight w:val="176"/>
        </w:trPr>
        <w:tc>
          <w:tcPr>
            <w:tcW w:w="3680" w:type="dxa"/>
            <w:vAlign w:val="bottom"/>
          </w:tcPr>
          <w:p>
            <w:pPr>
              <w:spacing w:after="0"/>
              <w:rPr>
                <w:sz w:val="20"/>
                <w:szCs w:val="20"/>
                <w:color w:val="auto"/>
              </w:rPr>
            </w:pPr>
            <w:r>
              <w:rPr>
                <w:rFonts w:ascii="Arial" w:cs="Arial" w:eastAsia="Arial" w:hAnsi="Arial"/>
                <w:sz w:val="14"/>
                <w:szCs w:val="14"/>
                <w:color w:val="auto"/>
              </w:rPr>
              <w:t>Payments on account</w:t>
            </w:r>
          </w:p>
        </w:tc>
        <w:tc>
          <w:tcPr>
            <w:tcW w:w="6080" w:type="dxa"/>
            <w:vAlign w:val="bottom"/>
            <w:gridSpan w:val="2"/>
          </w:tcPr>
          <w:p>
            <w:pPr>
              <w:jc w:val="right"/>
              <w:ind w:right="588"/>
              <w:spacing w:after="0"/>
              <w:rPr>
                <w:sz w:val="20"/>
                <w:szCs w:val="20"/>
                <w:color w:val="auto"/>
              </w:rPr>
            </w:pPr>
            <w:r>
              <w:rPr>
                <w:rFonts w:ascii="Arial" w:cs="Arial" w:eastAsia="Arial" w:hAnsi="Arial"/>
                <w:sz w:val="14"/>
                <w:szCs w:val="14"/>
                <w:color w:val="auto"/>
              </w:rPr>
              <w:t>(165,198)</w:t>
            </w:r>
          </w:p>
        </w:tc>
        <w:tc>
          <w:tcPr>
            <w:tcW w:w="1520" w:type="dxa"/>
            <w:vAlign w:val="bottom"/>
          </w:tcPr>
          <w:p>
            <w:pPr>
              <w:jc w:val="right"/>
              <w:spacing w:after="0"/>
              <w:rPr>
                <w:sz w:val="20"/>
                <w:szCs w:val="20"/>
                <w:color w:val="auto"/>
              </w:rPr>
            </w:pPr>
            <w:r>
              <w:rPr>
                <w:rFonts w:ascii="Arial" w:cs="Arial" w:eastAsia="Arial" w:hAnsi="Arial"/>
                <w:sz w:val="14"/>
                <w:szCs w:val="14"/>
                <w:color w:val="auto"/>
              </w:rPr>
              <w:t>(121,935)</w:t>
            </w:r>
          </w:p>
        </w:tc>
      </w:tr>
      <w:tr>
        <w:trPr>
          <w:trHeight w:val="182"/>
        </w:trPr>
        <w:tc>
          <w:tcPr>
            <w:tcW w:w="3680" w:type="dxa"/>
            <w:vAlign w:val="bottom"/>
          </w:tcPr>
          <w:p>
            <w:pPr>
              <w:spacing w:after="0"/>
              <w:rPr>
                <w:sz w:val="20"/>
                <w:szCs w:val="20"/>
                <w:color w:val="auto"/>
              </w:rPr>
            </w:pPr>
            <w:r>
              <w:rPr>
                <w:rFonts w:ascii="Arial" w:cs="Arial" w:eastAsia="Arial" w:hAnsi="Arial"/>
                <w:sz w:val="14"/>
                <w:szCs w:val="14"/>
                <w:color w:val="auto"/>
              </w:rPr>
              <w:t>Total</w:t>
            </w:r>
          </w:p>
        </w:tc>
        <w:tc>
          <w:tcPr>
            <w:tcW w:w="6080" w:type="dxa"/>
            <w:vAlign w:val="bottom"/>
            <w:gridSpan w:val="2"/>
          </w:tcPr>
          <w:p>
            <w:pPr>
              <w:jc w:val="right"/>
              <w:ind w:right="588"/>
              <w:spacing w:after="0"/>
              <w:rPr>
                <w:sz w:val="20"/>
                <w:szCs w:val="20"/>
                <w:color w:val="auto"/>
              </w:rPr>
            </w:pPr>
            <w:r>
              <w:rPr>
                <w:rFonts w:ascii="Arial" w:cs="Arial" w:eastAsia="Arial" w:hAnsi="Arial"/>
                <w:sz w:val="14"/>
                <w:szCs w:val="14"/>
                <w:color w:val="auto"/>
              </w:rPr>
              <w:t>118,806</w:t>
            </w:r>
          </w:p>
        </w:tc>
        <w:tc>
          <w:tcPr>
            <w:tcW w:w="1520" w:type="dxa"/>
            <w:vAlign w:val="bottom"/>
          </w:tcPr>
          <w:p>
            <w:pPr>
              <w:jc w:val="right"/>
              <w:spacing w:after="0"/>
              <w:rPr>
                <w:sz w:val="20"/>
                <w:szCs w:val="20"/>
                <w:color w:val="auto"/>
              </w:rPr>
            </w:pPr>
            <w:r>
              <w:rPr>
                <w:rFonts w:ascii="Arial" w:cs="Arial" w:eastAsia="Arial" w:hAnsi="Arial"/>
                <w:sz w:val="14"/>
                <w:szCs w:val="14"/>
                <w:color w:val="auto"/>
              </w:rPr>
              <w:t>230,327</w:t>
            </w:r>
          </w:p>
        </w:tc>
      </w:tr>
      <w:tr>
        <w:trPr>
          <w:trHeight w:val="351"/>
        </w:trPr>
        <w:tc>
          <w:tcPr>
            <w:tcW w:w="3680" w:type="dxa"/>
            <w:vAlign w:val="bottom"/>
          </w:tcPr>
          <w:p>
            <w:pPr>
              <w:spacing w:after="0"/>
              <w:rPr>
                <w:sz w:val="20"/>
                <w:szCs w:val="20"/>
                <w:color w:val="auto"/>
              </w:rPr>
            </w:pPr>
            <w:r>
              <w:rPr>
                <w:rFonts w:ascii="Arial" w:cs="Arial" w:eastAsia="Arial" w:hAnsi="Arial"/>
                <w:sz w:val="14"/>
                <w:szCs w:val="14"/>
                <w:color w:val="auto"/>
              </w:rPr>
              <w:t>Working Capital</w:t>
            </w:r>
          </w:p>
        </w:tc>
        <w:tc>
          <w:tcPr>
            <w:tcW w:w="6080" w:type="dxa"/>
            <w:vAlign w:val="bottom"/>
            <w:gridSpan w:val="2"/>
          </w:tcPr>
          <w:p>
            <w:pPr>
              <w:jc w:val="right"/>
              <w:ind w:right="588"/>
              <w:spacing w:after="0"/>
              <w:rPr>
                <w:sz w:val="20"/>
                <w:szCs w:val="20"/>
                <w:color w:val="auto"/>
              </w:rPr>
            </w:pPr>
            <w:r>
              <w:rPr>
                <w:rFonts w:ascii="Arial" w:cs="Arial" w:eastAsia="Arial" w:hAnsi="Arial"/>
                <w:sz w:val="14"/>
                <w:szCs w:val="14"/>
                <w:color w:val="auto"/>
              </w:rPr>
              <w:t>235,906</w:t>
            </w:r>
          </w:p>
        </w:tc>
        <w:tc>
          <w:tcPr>
            <w:tcW w:w="1520" w:type="dxa"/>
            <w:vAlign w:val="bottom"/>
          </w:tcPr>
          <w:p>
            <w:pPr>
              <w:jc w:val="right"/>
              <w:spacing w:after="0"/>
              <w:rPr>
                <w:sz w:val="20"/>
                <w:szCs w:val="20"/>
                <w:color w:val="auto"/>
              </w:rPr>
            </w:pPr>
            <w:r>
              <w:rPr>
                <w:rFonts w:ascii="Arial" w:cs="Arial" w:eastAsia="Arial" w:hAnsi="Arial"/>
                <w:sz w:val="14"/>
                <w:szCs w:val="14"/>
                <w:color w:val="auto"/>
              </w:rPr>
              <w:t>185,957</w:t>
            </w:r>
          </w:p>
        </w:tc>
      </w:tr>
      <w:tr>
        <w:trPr>
          <w:trHeight w:val="351"/>
        </w:trPr>
        <w:tc>
          <w:tcPr>
            <w:tcW w:w="3680" w:type="dxa"/>
            <w:vAlign w:val="bottom"/>
          </w:tcPr>
          <w:p>
            <w:pPr>
              <w:spacing w:after="0"/>
              <w:rPr>
                <w:sz w:val="20"/>
                <w:szCs w:val="20"/>
                <w:color w:val="auto"/>
              </w:rPr>
            </w:pPr>
            <w:r>
              <w:rPr>
                <w:rFonts w:ascii="Arial" w:cs="Arial" w:eastAsia="Arial" w:hAnsi="Arial"/>
                <w:sz w:val="14"/>
                <w:szCs w:val="14"/>
                <w:color w:val="auto"/>
              </w:rPr>
              <w:t>Total assets</w:t>
            </w:r>
          </w:p>
        </w:tc>
        <w:tc>
          <w:tcPr>
            <w:tcW w:w="6080" w:type="dxa"/>
            <w:vAlign w:val="bottom"/>
            <w:gridSpan w:val="2"/>
          </w:tcPr>
          <w:p>
            <w:pPr>
              <w:jc w:val="right"/>
              <w:ind w:right="588"/>
              <w:spacing w:after="0"/>
              <w:rPr>
                <w:sz w:val="20"/>
                <w:szCs w:val="20"/>
                <w:color w:val="auto"/>
              </w:rPr>
            </w:pPr>
            <w:r>
              <w:rPr>
                <w:rFonts w:ascii="Arial" w:cs="Arial" w:eastAsia="Arial" w:hAnsi="Arial"/>
                <w:sz w:val="14"/>
                <w:szCs w:val="14"/>
                <w:color w:val="auto"/>
              </w:rPr>
              <w:t>908,398</w:t>
            </w:r>
          </w:p>
        </w:tc>
        <w:tc>
          <w:tcPr>
            <w:tcW w:w="1520" w:type="dxa"/>
            <w:vAlign w:val="bottom"/>
          </w:tcPr>
          <w:p>
            <w:pPr>
              <w:jc w:val="right"/>
              <w:spacing w:after="0"/>
              <w:rPr>
                <w:sz w:val="20"/>
                <w:szCs w:val="20"/>
                <w:color w:val="auto"/>
              </w:rPr>
            </w:pPr>
            <w:r>
              <w:rPr>
                <w:rFonts w:ascii="Arial" w:cs="Arial" w:eastAsia="Arial" w:hAnsi="Arial"/>
                <w:sz w:val="14"/>
                <w:szCs w:val="14"/>
                <w:color w:val="auto"/>
              </w:rPr>
              <w:t>867,285</w:t>
            </w:r>
          </w:p>
        </w:tc>
      </w:tr>
      <w:tr>
        <w:trPr>
          <w:trHeight w:val="351"/>
        </w:trPr>
        <w:tc>
          <w:tcPr>
            <w:tcW w:w="3680" w:type="dxa"/>
            <w:vAlign w:val="bottom"/>
          </w:tcPr>
          <w:p>
            <w:pPr>
              <w:spacing w:after="0"/>
              <w:rPr>
                <w:sz w:val="20"/>
                <w:szCs w:val="20"/>
                <w:color w:val="auto"/>
              </w:rPr>
            </w:pPr>
            <w:r>
              <w:rPr>
                <w:rFonts w:ascii="Arial" w:cs="Arial" w:eastAsia="Arial" w:hAnsi="Arial"/>
                <w:sz w:val="14"/>
                <w:szCs w:val="14"/>
                <w:color w:val="auto"/>
              </w:rPr>
              <w:t>Shareholders’ equity</w:t>
            </w:r>
          </w:p>
        </w:tc>
        <w:tc>
          <w:tcPr>
            <w:tcW w:w="6080" w:type="dxa"/>
            <w:vAlign w:val="bottom"/>
            <w:gridSpan w:val="2"/>
          </w:tcPr>
          <w:p>
            <w:pPr>
              <w:jc w:val="right"/>
              <w:ind w:right="588"/>
              <w:spacing w:after="0"/>
              <w:rPr>
                <w:sz w:val="20"/>
                <w:szCs w:val="20"/>
                <w:color w:val="auto"/>
              </w:rPr>
            </w:pPr>
            <w:r>
              <w:rPr>
                <w:rFonts w:ascii="Arial" w:cs="Arial" w:eastAsia="Arial" w:hAnsi="Arial"/>
                <w:sz w:val="14"/>
                <w:szCs w:val="14"/>
                <w:color w:val="auto"/>
              </w:rPr>
              <w:t>572,246</w:t>
            </w:r>
          </w:p>
        </w:tc>
        <w:tc>
          <w:tcPr>
            <w:tcW w:w="1520" w:type="dxa"/>
            <w:vAlign w:val="bottom"/>
          </w:tcPr>
          <w:p>
            <w:pPr>
              <w:jc w:val="right"/>
              <w:spacing w:after="0"/>
              <w:rPr>
                <w:sz w:val="20"/>
                <w:szCs w:val="20"/>
                <w:color w:val="auto"/>
              </w:rPr>
            </w:pPr>
            <w:r>
              <w:rPr>
                <w:rFonts w:ascii="Arial" w:cs="Arial" w:eastAsia="Arial" w:hAnsi="Arial"/>
                <w:sz w:val="14"/>
                <w:szCs w:val="14"/>
                <w:color w:val="auto"/>
              </w:rPr>
              <w:t>456,366</w:t>
            </w:r>
          </w:p>
        </w:tc>
      </w:tr>
      <w:tr>
        <w:trPr>
          <w:trHeight w:val="527"/>
        </w:trPr>
        <w:tc>
          <w:tcPr>
            <w:tcW w:w="3680" w:type="dxa"/>
            <w:vAlign w:val="bottom"/>
          </w:tcPr>
          <w:p>
            <w:pPr>
              <w:spacing w:after="0"/>
              <w:rPr>
                <w:sz w:val="20"/>
                <w:szCs w:val="20"/>
                <w:color w:val="auto"/>
              </w:rPr>
            </w:pPr>
            <w:r>
              <w:rPr>
                <w:rFonts w:ascii="Arial" w:cs="Arial" w:eastAsia="Arial" w:hAnsi="Arial"/>
                <w:sz w:val="14"/>
                <w:szCs w:val="14"/>
                <w:b w:val="1"/>
                <w:bCs w:val="1"/>
                <w:color w:val="auto"/>
              </w:rPr>
              <w:t>Source:</w:t>
            </w:r>
          </w:p>
        </w:tc>
        <w:tc>
          <w:tcPr>
            <w:tcW w:w="6080" w:type="dxa"/>
            <w:vAlign w:val="bottom"/>
            <w:gridSpan w:val="2"/>
          </w:tcPr>
          <w:p>
            <w:pPr>
              <w:spacing w:after="0"/>
              <w:rPr>
                <w:sz w:val="20"/>
                <w:szCs w:val="20"/>
                <w:color w:val="auto"/>
              </w:rPr>
            </w:pPr>
            <w:r>
              <w:rPr>
                <w:rFonts w:ascii="Arial" w:cs="Arial" w:eastAsia="Arial" w:hAnsi="Arial"/>
                <w:sz w:val="14"/>
                <w:szCs w:val="14"/>
                <w:color w:val="auto"/>
              </w:rPr>
              <w:t>ICON plc</w:t>
            </w:r>
          </w:p>
        </w:tc>
        <w:tc>
          <w:tcPr>
            <w:tcW w:w="1520" w:type="dxa"/>
            <w:vAlign w:val="bottom"/>
          </w:tcPr>
          <w:p>
            <w:pPr>
              <w:spacing w:after="0"/>
              <w:rPr>
                <w:sz w:val="24"/>
                <w:szCs w:val="24"/>
                <w:color w:val="auto"/>
              </w:rPr>
            </w:pPr>
          </w:p>
        </w:tc>
      </w:tr>
      <w:tr>
        <w:trPr>
          <w:trHeight w:val="344"/>
        </w:trPr>
        <w:tc>
          <w:tcPr>
            <w:tcW w:w="3680" w:type="dxa"/>
            <w:vAlign w:val="bottom"/>
          </w:tcPr>
          <w:p>
            <w:pPr>
              <w:spacing w:after="0"/>
              <w:rPr>
                <w:sz w:val="20"/>
                <w:szCs w:val="20"/>
                <w:color w:val="auto"/>
              </w:rPr>
            </w:pPr>
            <w:r>
              <w:rPr>
                <w:rFonts w:ascii="Arial" w:cs="Arial" w:eastAsia="Arial" w:hAnsi="Arial"/>
                <w:sz w:val="14"/>
                <w:szCs w:val="14"/>
                <w:b w:val="1"/>
                <w:bCs w:val="1"/>
                <w:color w:val="auto"/>
              </w:rPr>
              <w:t>Contact:</w:t>
            </w:r>
          </w:p>
        </w:tc>
        <w:tc>
          <w:tcPr>
            <w:tcW w:w="6080" w:type="dxa"/>
            <w:vAlign w:val="bottom"/>
            <w:gridSpan w:val="2"/>
          </w:tcPr>
          <w:p>
            <w:pPr>
              <w:spacing w:after="0"/>
              <w:rPr>
                <w:sz w:val="20"/>
                <w:szCs w:val="20"/>
                <w:color w:val="auto"/>
              </w:rPr>
            </w:pPr>
            <w:r>
              <w:rPr>
                <w:rFonts w:ascii="Arial" w:cs="Arial" w:eastAsia="Arial" w:hAnsi="Arial"/>
                <w:sz w:val="14"/>
                <w:szCs w:val="14"/>
                <w:color w:val="auto"/>
              </w:rPr>
              <w:t>Investor Relations 1-888-381-7923 or</w:t>
            </w:r>
          </w:p>
        </w:tc>
        <w:tc>
          <w:tcPr>
            <w:tcW w:w="1520" w:type="dxa"/>
            <w:vAlign w:val="bottom"/>
          </w:tcPr>
          <w:p>
            <w:pPr>
              <w:spacing w:after="0"/>
              <w:rPr>
                <w:sz w:val="24"/>
                <w:szCs w:val="24"/>
                <w:color w:val="auto"/>
              </w:rPr>
            </w:pPr>
          </w:p>
        </w:tc>
      </w:tr>
      <w:tr>
        <w:trPr>
          <w:trHeight w:val="176"/>
        </w:trPr>
        <w:tc>
          <w:tcPr>
            <w:tcW w:w="3680" w:type="dxa"/>
            <w:vAlign w:val="bottom"/>
          </w:tcPr>
          <w:p>
            <w:pPr>
              <w:spacing w:after="0"/>
              <w:rPr>
                <w:sz w:val="15"/>
                <w:szCs w:val="15"/>
                <w:color w:val="auto"/>
              </w:rPr>
            </w:pPr>
          </w:p>
        </w:tc>
        <w:tc>
          <w:tcPr>
            <w:tcW w:w="6080" w:type="dxa"/>
            <w:vAlign w:val="bottom"/>
            <w:gridSpan w:val="2"/>
          </w:tcPr>
          <w:p>
            <w:pPr>
              <w:spacing w:after="0"/>
              <w:rPr>
                <w:sz w:val="20"/>
                <w:szCs w:val="20"/>
                <w:color w:val="auto"/>
              </w:rPr>
            </w:pPr>
            <w:r>
              <w:rPr>
                <w:rFonts w:ascii="Arial" w:cs="Arial" w:eastAsia="Arial" w:hAnsi="Arial"/>
                <w:sz w:val="14"/>
                <w:szCs w:val="14"/>
                <w:color w:val="auto"/>
              </w:rPr>
              <w:t>Ciaran Murray CFO + 353 1 291 2000</w:t>
            </w:r>
          </w:p>
        </w:tc>
        <w:tc>
          <w:tcPr>
            <w:tcW w:w="1520" w:type="dxa"/>
            <w:vAlign w:val="bottom"/>
          </w:tcPr>
          <w:p>
            <w:pPr>
              <w:spacing w:after="0"/>
              <w:rPr>
                <w:sz w:val="15"/>
                <w:szCs w:val="15"/>
                <w:color w:val="auto"/>
              </w:rPr>
            </w:pPr>
          </w:p>
        </w:tc>
      </w:tr>
      <w:tr>
        <w:trPr>
          <w:trHeight w:val="176"/>
        </w:trPr>
        <w:tc>
          <w:tcPr>
            <w:tcW w:w="3680" w:type="dxa"/>
            <w:vAlign w:val="bottom"/>
          </w:tcPr>
          <w:p>
            <w:pPr>
              <w:spacing w:after="0"/>
              <w:rPr>
                <w:sz w:val="15"/>
                <w:szCs w:val="15"/>
                <w:color w:val="auto"/>
              </w:rPr>
            </w:pPr>
          </w:p>
        </w:tc>
        <w:tc>
          <w:tcPr>
            <w:tcW w:w="6080" w:type="dxa"/>
            <w:vAlign w:val="bottom"/>
            <w:gridSpan w:val="2"/>
          </w:tcPr>
          <w:p>
            <w:pPr>
              <w:spacing w:after="0"/>
              <w:rPr>
                <w:sz w:val="20"/>
                <w:szCs w:val="20"/>
                <w:color w:val="auto"/>
              </w:rPr>
            </w:pPr>
            <w:r>
              <w:rPr>
                <w:rFonts w:ascii="Arial" w:cs="Arial" w:eastAsia="Arial" w:hAnsi="Arial"/>
                <w:sz w:val="14"/>
                <w:szCs w:val="14"/>
                <w:color w:val="auto"/>
              </w:rPr>
              <w:t>Brendan Brennan VP Corp FP&amp;A + 353 1 291 2000</w:t>
            </w:r>
          </w:p>
        </w:tc>
        <w:tc>
          <w:tcPr>
            <w:tcW w:w="1520" w:type="dxa"/>
            <w:vAlign w:val="bottom"/>
          </w:tcPr>
          <w:p>
            <w:pPr>
              <w:spacing w:after="0"/>
              <w:rPr>
                <w:sz w:val="15"/>
                <w:szCs w:val="15"/>
                <w:color w:val="auto"/>
              </w:rPr>
            </w:pPr>
          </w:p>
        </w:tc>
      </w:tr>
      <w:tr>
        <w:trPr>
          <w:trHeight w:val="176"/>
        </w:trPr>
        <w:tc>
          <w:tcPr>
            <w:tcW w:w="3680" w:type="dxa"/>
            <w:vAlign w:val="bottom"/>
          </w:tcPr>
          <w:p>
            <w:pPr>
              <w:spacing w:after="0"/>
              <w:rPr>
                <w:sz w:val="15"/>
                <w:szCs w:val="15"/>
                <w:color w:val="auto"/>
              </w:rPr>
            </w:pPr>
          </w:p>
        </w:tc>
        <w:tc>
          <w:tcPr>
            <w:tcW w:w="6080" w:type="dxa"/>
            <w:vAlign w:val="bottom"/>
            <w:gridSpan w:val="2"/>
          </w:tcPr>
          <w:p>
            <w:pPr>
              <w:spacing w:after="0"/>
              <w:rPr>
                <w:sz w:val="20"/>
                <w:szCs w:val="20"/>
                <w:color w:val="auto"/>
              </w:rPr>
            </w:pPr>
            <w:r>
              <w:rPr>
                <w:rFonts w:ascii="Arial" w:cs="Arial" w:eastAsia="Arial" w:hAnsi="Arial"/>
                <w:sz w:val="14"/>
                <w:szCs w:val="14"/>
                <w:color w:val="auto"/>
              </w:rPr>
              <w:t>all at ICON.</w:t>
            </w:r>
          </w:p>
        </w:tc>
        <w:tc>
          <w:tcPr>
            <w:tcW w:w="1520" w:type="dxa"/>
            <w:vAlign w:val="bottom"/>
          </w:tcPr>
          <w:p>
            <w:pPr>
              <w:spacing w:after="0"/>
              <w:rPr>
                <w:sz w:val="15"/>
                <w:szCs w:val="15"/>
                <w:color w:val="auto"/>
              </w:rPr>
            </w:pPr>
          </w:p>
        </w:tc>
      </w:tr>
      <w:tr>
        <w:trPr>
          <w:trHeight w:val="154"/>
        </w:trPr>
        <w:tc>
          <w:tcPr>
            <w:tcW w:w="3680" w:type="dxa"/>
            <w:vAlign w:val="bottom"/>
          </w:tcPr>
          <w:p>
            <w:pPr>
              <w:spacing w:after="0"/>
              <w:rPr>
                <w:sz w:val="13"/>
                <w:szCs w:val="13"/>
                <w:color w:val="auto"/>
              </w:rPr>
            </w:pPr>
          </w:p>
        </w:tc>
        <w:tc>
          <w:tcPr>
            <w:tcW w:w="1400" w:type="dxa"/>
            <w:vAlign w:val="bottom"/>
            <w:tcBorders>
              <w:bottom w:val="single" w:sz="8" w:color="auto"/>
            </w:tcBorders>
          </w:tcPr>
          <w:p>
            <w:pPr>
              <w:spacing w:after="0" w:line="154" w:lineRule="exact"/>
              <w:rPr>
                <w:sz w:val="20"/>
                <w:szCs w:val="20"/>
                <w:color w:val="auto"/>
              </w:rPr>
            </w:pPr>
            <w:r>
              <w:rPr>
                <w:rFonts w:ascii="Arial" w:cs="Arial" w:eastAsia="Arial" w:hAnsi="Arial"/>
                <w:sz w:val="14"/>
                <w:szCs w:val="14"/>
                <w:color w:val="auto"/>
                <w:w w:val="96"/>
              </w:rPr>
              <w:t>http://www.iconplc.com</w:t>
            </w:r>
          </w:p>
        </w:tc>
        <w:tc>
          <w:tcPr>
            <w:tcW w:w="4680" w:type="dxa"/>
            <w:vAlign w:val="bottom"/>
          </w:tcPr>
          <w:p>
            <w:pPr>
              <w:spacing w:after="0"/>
              <w:rPr>
                <w:sz w:val="13"/>
                <w:szCs w:val="13"/>
                <w:color w:val="auto"/>
              </w:rPr>
            </w:pPr>
          </w:p>
        </w:tc>
        <w:tc>
          <w:tcPr>
            <w:tcW w:w="1520" w:type="dxa"/>
            <w:vAlign w:val="bottom"/>
          </w:tcPr>
          <w:p>
            <w:pPr>
              <w:spacing w:after="0"/>
              <w:rPr>
                <w:sz w:val="13"/>
                <w:szCs w:val="13"/>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ICON plc</w:t>
      </w:r>
    </w:p>
    <w:p>
      <w:pPr>
        <w:spacing w:after="0" w:line="230" w:lineRule="auto"/>
        <w:rPr>
          <w:sz w:val="20"/>
          <w:szCs w:val="20"/>
          <w:color w:val="auto"/>
        </w:rPr>
      </w:pPr>
      <w:r>
        <w:rPr>
          <w:rFonts w:ascii="Arial" w:cs="Arial" w:eastAsia="Arial" w:hAnsi="Arial"/>
          <w:sz w:val="22"/>
          <w:szCs w:val="22"/>
          <w:color w:val="auto"/>
        </w:rPr>
        <w:t>Investor Relations 1-888-381-7923</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Ciaran Murray, Chief Financial Officer</w:t>
      </w:r>
    </w:p>
    <w:p>
      <w:pPr>
        <w:ind w:right="9600" w:firstLine="8"/>
        <w:spacing w:after="0" w:line="230" w:lineRule="auto"/>
        <w:tabs>
          <w:tab w:leader="none" w:pos="176" w:val="left"/>
        </w:tabs>
        <w:numPr>
          <w:ilvl w:val="0"/>
          <w:numId w:val="2"/>
        </w:numPr>
        <w:rPr>
          <w:rFonts w:ascii="Arial" w:cs="Arial" w:eastAsia="Arial" w:hAnsi="Arial"/>
          <w:sz w:val="22"/>
          <w:szCs w:val="22"/>
          <w:color w:val="auto"/>
        </w:rPr>
      </w:pPr>
      <w:r>
        <w:rPr>
          <w:rFonts w:ascii="Arial" w:cs="Arial" w:eastAsia="Arial" w:hAnsi="Arial"/>
          <w:sz w:val="22"/>
          <w:szCs w:val="22"/>
          <w:color w:val="auto"/>
        </w:rPr>
        <w:t>353 –1-291-2000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Brendan Brennan, VP Corporate FP&amp;A</w:t>
      </w:r>
    </w:p>
    <w:p>
      <w:pPr>
        <w:ind w:left="180" w:hanging="172"/>
        <w:spacing w:after="0"/>
        <w:tabs>
          <w:tab w:leader="none" w:pos="180" w:val="left"/>
        </w:tabs>
        <w:numPr>
          <w:ilvl w:val="0"/>
          <w:numId w:val="2"/>
        </w:numPr>
        <w:rPr>
          <w:rFonts w:ascii="Arial" w:cs="Arial" w:eastAsia="Arial" w:hAnsi="Arial"/>
          <w:sz w:val="22"/>
          <w:szCs w:val="22"/>
          <w:color w:val="auto"/>
        </w:rPr>
      </w:pPr>
      <w:r>
        <w:rPr>
          <w:rFonts w:ascii="Arial" w:cs="Arial" w:eastAsia="Arial" w:hAnsi="Arial"/>
          <w:sz w:val="22"/>
          <w:szCs w:val="22"/>
          <w:color w:val="auto"/>
        </w:rPr>
        <w:t>353 –1-291-2000</w:t>
      </w:r>
    </w:p>
    <w:sectPr>
      <w:pgSz w:w="11900" w:h="16838" w:orient="portrait"/>
      <w:cols w:equalWidth="0" w:num="1">
        <w:col w:w="11280"/>
      </w:cols>
      <w:pgMar w:left="240" w:top="30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2019-12-10T15:45:48Z</dcterms:created>
  <dcterms:modified xsi:type="dcterms:W3CDTF">2019-12-10T15:45:48Z</dcterms:modified>
</cp:coreProperties>
</file>