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For the month ended November, 2020</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20-F_X___</w:t>
      </w:r>
      <w:r>
        <w:rPr>
          <w:sz w:val="20"/>
          <w:szCs w:val="20"/>
          <w:color w:val="auto"/>
        </w:rPr>
        <w:tab/>
      </w:r>
      <w:r>
        <w:rPr>
          <w:rFonts w:ascii="Arial" w:cs="Arial" w:eastAsia="Arial" w:hAnsi="Arial"/>
          <w:sz w:val="16"/>
          <w:szCs w:val="16"/>
          <w:color w:val="auto"/>
        </w:rPr>
        <w:t>Form 40-F_______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458" w:right="959" w:bottom="1440" w:gutter="0" w:footer="0" w:header="0"/>
        </w:sectPr>
      </w:pPr>
    </w:p>
    <w:bookmarkStart w:id="1" w:name="page2"/>
    <w:bookmarkEnd w:id="1"/>
    <w:p>
      <w:pPr>
        <w:jc w:val="right"/>
        <w:ind w:right="3779"/>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00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Releases First Environmental, Social and Governance Report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98"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5620" w:type="dxa"/>
            <w:vAlign w:val="bottom"/>
            <w:vMerge w:val="restart"/>
          </w:tcPr>
          <w:p>
            <w:pPr>
              <w:spacing w:after="0"/>
              <w:rPr>
                <w:sz w:val="20"/>
                <w:szCs w:val="20"/>
                <w:color w:val="auto"/>
              </w:rPr>
            </w:pPr>
            <w:r>
              <w:rPr>
                <w:rFonts w:ascii="Arial" w:cs="Arial" w:eastAsia="Arial" w:hAnsi="Arial"/>
                <w:sz w:val="18"/>
                <w:szCs w:val="18"/>
                <w:color w:val="auto"/>
              </w:rPr>
              <w:t>Date: November 13, 2020</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5620" w:type="dxa"/>
            <w:vAlign w:val="bottom"/>
            <w:vMerge w:val="continue"/>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Releases First Environmental, Social and Governance Report</w:t>
      </w:r>
    </w:p>
    <w:p>
      <w:pPr>
        <w:spacing w:after="0" w:line="227" w:lineRule="exact"/>
        <w:rPr>
          <w:sz w:val="20"/>
          <w:szCs w:val="20"/>
          <w:color w:val="auto"/>
        </w:rPr>
      </w:pPr>
    </w:p>
    <w:p>
      <w:pPr>
        <w:ind w:right="180"/>
        <w:spacing w:after="0" w:line="287" w:lineRule="auto"/>
        <w:rPr>
          <w:sz w:val="20"/>
          <w:szCs w:val="20"/>
          <w:color w:val="auto"/>
        </w:rPr>
      </w:pPr>
      <w:r>
        <w:rPr>
          <w:rFonts w:ascii="Arial" w:cs="Arial" w:eastAsia="Arial" w:hAnsi="Arial"/>
          <w:sz w:val="19"/>
          <w:szCs w:val="19"/>
          <w:color w:val="auto"/>
        </w:rPr>
        <w:t>DUBLIN--(BUSINESS WIRE)--November 11, 2020--ICON plc, (NASDAQ: ICLR) a global provider of outsourced drug and device development and commercialisation services to pharmaceutical, biotechnology, medical device and government and public health organisations, today announced the release of its first Environmental, Social and Governance (ESG) Report which provides an overview of the Company's ESG policies and commitments and highlights the progress made during 2019.</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The ESG report is available at https://www.iconplc.com/about/esg.</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employed approximately 15,250 employees in 94 locations in 40 countries as at September 30, 2020. Further information is available at www.iconplc.com.</w:t>
      </w:r>
    </w:p>
    <w:p>
      <w:pPr>
        <w:spacing w:after="0" w:line="147"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This press release and the ESG Report contain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changes in regulations and law, severe weather events or the effects of climate change,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Forward looking statements may be identified by the use of future tense or other forward looking words such as “believe”, “expect”, “anticipate”, “should”, “may”, “strategy”, or other variations or comparable terminology.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ICON/ICLR-G</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+1888 381 7923</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Jonathan Curtain</w:t>
      </w:r>
    </w:p>
    <w:p>
      <w:pPr>
        <w:spacing w:after="0" w:line="238" w:lineRule="auto"/>
        <w:rPr>
          <w:sz w:val="20"/>
          <w:szCs w:val="20"/>
          <w:color w:val="auto"/>
        </w:rPr>
      </w:pPr>
      <w:r>
        <w:rPr>
          <w:rFonts w:ascii="Arial" w:cs="Arial" w:eastAsia="Arial" w:hAnsi="Arial"/>
          <w:sz w:val="22"/>
          <w:szCs w:val="22"/>
          <w:color w:val="auto"/>
        </w:rPr>
        <w:t>Vice President Corporate Finance and Investor Relations</w:t>
      </w:r>
    </w:p>
    <w:p>
      <w:pPr>
        <w:spacing w:after="0"/>
        <w:rPr>
          <w:sz w:val="20"/>
          <w:szCs w:val="20"/>
          <w:color w:val="auto"/>
        </w:rPr>
      </w:pPr>
      <w:r>
        <w:rPr>
          <w:rFonts w:ascii="Arial" w:cs="Arial" w:eastAsia="Arial" w:hAnsi="Arial"/>
          <w:sz w:val="22"/>
          <w:szCs w:val="22"/>
          <w:color w:val="auto"/>
        </w:rPr>
        <w:t>+353 1 291 2000</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2020-11-13T05:27:33Z</dcterms:created>
  <dcterms:modified xsi:type="dcterms:W3CDTF">2020-11-13T05:27:33Z</dcterms:modified>
</cp:coreProperties>
</file>