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SCHEDULE 13G</w:t>
      </w:r>
    </w:p>
    <w:p>
      <w:pPr>
        <w:spacing w:after="0" w:line="30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(Amendment No. _ )</w:t>
      </w:r>
      <w:r>
        <w:rPr>
          <w:rFonts w:ascii="Arial" w:cs="Arial" w:eastAsia="Arial" w:hAnsi="Arial"/>
          <w:sz w:val="35"/>
          <w:szCs w:val="35"/>
          <w:b w:val="1"/>
          <w:bCs w:val="1"/>
          <w:color w:val="auto"/>
          <w:vertAlign w:val="superscript"/>
        </w:rPr>
        <w:t>*</w:t>
      </w:r>
    </w:p>
    <w:p>
      <w:pPr>
        <w:spacing w:after="0" w:line="200" w:lineRule="exact"/>
        <w:rPr>
          <w:sz w:val="24"/>
          <w:szCs w:val="24"/>
          <w:color w:val="auto"/>
        </w:rPr>
      </w:pPr>
    </w:p>
    <w:p>
      <w:pPr>
        <w:spacing w:after="0" w:line="393"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ICON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Arial" w:cs="Arial" w:eastAsia="Arial" w:hAnsi="Arial"/>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G4705A100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Arial" w:cs="Arial" w:eastAsia="Arial" w:hAnsi="Arial"/>
          <w:sz w:val="22"/>
          <w:szCs w:val="22"/>
          <w:color w:val="auto"/>
        </w:rPr>
        <w:t>(CUSIP Number)</w:t>
      </w:r>
    </w:p>
    <w:p>
      <w:pPr>
        <w:spacing w:after="0" w:line="206"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April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142240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Arial" w:cs="Arial" w:eastAsia="Arial" w:hAnsi="Arial"/>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85" w:lineRule="auto"/>
        <w:tabs>
          <w:tab w:leader="none" w:pos="478" w:val="left"/>
        </w:tabs>
        <w:numPr>
          <w:ilvl w:val="1"/>
          <w:numId w:val="1"/>
        </w:numPr>
        <w:rPr>
          <w:rFonts w:ascii="Arial" w:cs="Arial" w:eastAsia="Arial" w:hAnsi="Arial"/>
          <w:sz w:val="19"/>
          <w:szCs w:val="19"/>
          <w:color w:val="auto"/>
        </w:rPr>
      </w:pPr>
      <w:r>
        <w:rPr>
          <w:rFonts w:ascii="Arial" w:cs="Arial" w:eastAsia="Arial" w:hAnsi="Arial"/>
          <w:sz w:val="19"/>
          <w:szCs w:val="19"/>
          <w:color w:val="auto"/>
        </w:rPr>
        <w:t>Rule 13d-1(b) [ ] Rule 13d-1(c)</w:t>
      </w:r>
    </w:p>
    <w:p>
      <w:pPr>
        <w:spacing w:after="0" w:line="1" w:lineRule="exact"/>
        <w:rPr>
          <w:rFonts w:ascii="Arial" w:cs="Arial" w:eastAsia="Arial" w:hAnsi="Arial"/>
          <w:sz w:val="19"/>
          <w:szCs w:val="19"/>
          <w:color w:val="auto"/>
        </w:rPr>
      </w:pPr>
    </w:p>
    <w:p>
      <w:pPr>
        <w:ind w:left="60"/>
        <w:spacing w:after="0"/>
        <w:rPr>
          <w:rFonts w:ascii="Arial" w:cs="Arial" w:eastAsia="Arial" w:hAnsi="Arial"/>
          <w:sz w:val="19"/>
          <w:szCs w:val="19"/>
          <w:color w:val="auto"/>
        </w:rPr>
      </w:pPr>
      <w:r>
        <w:rPr>
          <w:rFonts w:ascii="Arial" w:cs="Arial" w:eastAsia="Arial" w:hAnsi="Arial"/>
          <w:sz w:val="22"/>
          <w:szCs w:val="22"/>
          <w:color w:val="auto"/>
        </w:rPr>
        <w:t>[ ]  Rule 13d-1(d)</w:t>
      </w:r>
    </w:p>
    <w:p>
      <w:pPr>
        <w:spacing w:after="0" w:line="267" w:lineRule="exact"/>
        <w:rPr>
          <w:rFonts w:ascii="Arial" w:cs="Arial" w:eastAsia="Arial" w:hAnsi="Arial"/>
          <w:sz w:val="19"/>
          <w:szCs w:val="19"/>
          <w:color w:val="auto"/>
        </w:rPr>
      </w:pPr>
    </w:p>
    <w:p>
      <w:pPr>
        <w:spacing w:after="0" w:line="213" w:lineRule="auto"/>
        <w:rPr>
          <w:rFonts w:ascii="Arial" w:cs="Arial" w:eastAsia="Arial" w:hAnsi="Arial"/>
          <w:sz w:val="19"/>
          <w:szCs w:val="19"/>
          <w:color w:val="auto"/>
        </w:rPr>
      </w:pPr>
      <w:r>
        <w:rPr>
          <w:rFonts w:ascii="Arial" w:cs="Arial" w:eastAsia="Arial" w:hAnsi="Arial"/>
          <w:sz w:val="35"/>
          <w:szCs w:val="35"/>
          <w:color w:val="auto"/>
          <w:vertAlign w:val="superscript"/>
        </w:rPr>
        <w:t>*</w:t>
      </w:r>
      <w:r>
        <w:rPr>
          <w:rFonts w:ascii="Arial" w:cs="Arial" w:eastAsia="Arial" w:hAnsi="Arial"/>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180"/>
        <w:spacing w:after="0"/>
        <w:rPr>
          <w:sz w:val="20"/>
          <w:szCs w:val="20"/>
          <w:color w:val="auto"/>
        </w:rPr>
      </w:pPr>
      <w:r>
        <w:rPr>
          <w:rFonts w:ascii="Arial" w:cs="Arial" w:eastAsia="Arial" w:hAnsi="Arial"/>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20" w:right="459" w:bottom="1440" w:gutter="0" w:footer="0" w:header="0"/>
        </w:sectPr>
      </w:pPr>
    </w:p>
    <w:bookmarkStart w:id="1" w:name="page2"/>
    <w:bookmarkEnd w:id="1"/>
    <w:p>
      <w:pPr>
        <w:ind w:left="40"/>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G4705A100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Arial" w:cs="Arial" w:eastAsia="Arial" w:hAnsi="Arial"/>
                <w:sz w:val="22"/>
                <w:szCs w:val="22"/>
                <w:color w:val="auto"/>
              </w:rPr>
              <w:t>1.</w:t>
            </w:r>
          </w:p>
        </w:tc>
        <w:tc>
          <w:tcPr>
            <w:tcW w:w="3760" w:type="dxa"/>
            <w:vAlign w:val="bottom"/>
          </w:tcPr>
          <w:p>
            <w:pPr>
              <w:ind w:left="100"/>
              <w:spacing w:after="0"/>
              <w:rPr>
                <w:sz w:val="20"/>
                <w:szCs w:val="20"/>
                <w:color w:val="auto"/>
              </w:rPr>
            </w:pPr>
            <w:r>
              <w:rPr>
                <w:rFonts w:ascii="Arial" w:cs="Arial" w:eastAsia="Arial" w:hAnsi="Arial"/>
                <w:sz w:val="22"/>
                <w:szCs w:val="22"/>
                <w:color w:val="auto"/>
                <w:w w:val="99"/>
              </w:rPr>
              <w:t>NAMES OF REPORTING PERSONS</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Massachusetts Financial Services Company ("MFS")</w:t>
            </w: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04-2747644</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2.</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THE APPROPRIATE BOX IF A MEMBER OF A GROUP*</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3760" w:type="dxa"/>
            <w:vAlign w:val="bottom"/>
          </w:tcPr>
          <w:p>
            <w:pPr>
              <w:ind w:left="100"/>
              <w:spacing w:after="0" w:line="243" w:lineRule="exact"/>
              <w:rPr>
                <w:sz w:val="20"/>
                <w:szCs w:val="20"/>
                <w:color w:val="auto"/>
              </w:rPr>
            </w:pPr>
            <w:r>
              <w:rPr>
                <w:rFonts w:ascii="Arial" w:cs="Arial" w:eastAsia="Arial" w:hAnsi="Arial"/>
                <w:sz w:val="22"/>
                <w:szCs w:val="22"/>
                <w:color w:val="auto"/>
              </w:rPr>
              <w:t>(b) [ ]</w:t>
            </w: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Not Applicable</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3.</w:t>
            </w:r>
          </w:p>
        </w:tc>
        <w:tc>
          <w:tcPr>
            <w:tcW w:w="3760" w:type="dxa"/>
            <w:vAlign w:val="bottom"/>
          </w:tcPr>
          <w:p>
            <w:pPr>
              <w:ind w:left="100"/>
              <w:spacing w:after="0"/>
              <w:rPr>
                <w:sz w:val="20"/>
                <w:szCs w:val="20"/>
                <w:color w:val="auto"/>
              </w:rPr>
            </w:pPr>
            <w:r>
              <w:rPr>
                <w:rFonts w:ascii="Arial" w:cs="Arial" w:eastAsia="Arial" w:hAnsi="Arial"/>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4.</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Delaware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1720" w:type="dxa"/>
            <w:vAlign w:val="bottom"/>
          </w:tcPr>
          <w:p>
            <w:pPr>
              <w:ind w:left="120"/>
              <w:spacing w:after="0"/>
              <w:rPr>
                <w:sz w:val="20"/>
                <w:szCs w:val="20"/>
                <w:color w:val="auto"/>
              </w:rPr>
            </w:pPr>
            <w:r>
              <w:rPr>
                <w:rFonts w:ascii="Arial" w:cs="Arial" w:eastAsia="Arial" w:hAnsi="Arial"/>
                <w:sz w:val="22"/>
                <w:szCs w:val="22"/>
                <w:color w:val="auto"/>
              </w:rPr>
              <w:t>NUMBER OF</w:t>
            </w:r>
          </w:p>
        </w:tc>
        <w:tc>
          <w:tcPr>
            <w:tcW w:w="3760" w:type="dxa"/>
            <w:vAlign w:val="bottom"/>
          </w:tcPr>
          <w:p>
            <w:pPr>
              <w:ind w:left="160"/>
              <w:spacing w:after="0"/>
              <w:rPr>
                <w:sz w:val="20"/>
                <w:szCs w:val="20"/>
                <w:color w:val="auto"/>
              </w:rPr>
            </w:pPr>
            <w:r>
              <w:rPr>
                <w:rFonts w:ascii="Arial" w:cs="Arial" w:eastAsia="Arial" w:hAnsi="Arial"/>
                <w:sz w:val="22"/>
                <w:szCs w:val="22"/>
                <w:color w:val="auto"/>
              </w:rPr>
              <w:t>5. SOLE VOTING POWER</w:t>
            </w:r>
          </w:p>
        </w:tc>
        <w:tc>
          <w:tcPr>
            <w:tcW w:w="5760" w:type="dxa"/>
            <w:vAlign w:val="bottom"/>
          </w:tcPr>
          <w:p>
            <w:pPr>
              <w:ind w:left="320"/>
              <w:spacing w:after="0"/>
              <w:rPr>
                <w:sz w:val="20"/>
                <w:szCs w:val="20"/>
                <w:color w:val="auto"/>
              </w:rPr>
            </w:pPr>
            <w:r>
              <w:rPr>
                <w:rFonts w:ascii="Arial" w:cs="Arial" w:eastAsia="Arial" w:hAnsi="Arial"/>
                <w:sz w:val="22"/>
                <w:szCs w:val="22"/>
                <w:color w:val="auto"/>
              </w:rPr>
              <w:t>5,163,666</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BENEFICIALLY</w:t>
            </w:r>
          </w:p>
        </w:tc>
        <w:tc>
          <w:tcPr>
            <w:tcW w:w="3760" w:type="dxa"/>
            <w:vAlign w:val="bottom"/>
          </w:tcPr>
          <w:p>
            <w:pPr>
              <w:ind w:left="160"/>
              <w:spacing w:after="0" w:line="243" w:lineRule="exact"/>
              <w:rPr>
                <w:sz w:val="20"/>
                <w:szCs w:val="20"/>
                <w:color w:val="auto"/>
              </w:rPr>
            </w:pPr>
            <w:r>
              <w:rPr>
                <w:rFonts w:ascii="Arial" w:cs="Arial" w:eastAsia="Arial" w:hAnsi="Arial"/>
                <w:sz w:val="22"/>
                <w:szCs w:val="22"/>
                <w:color w:val="auto"/>
              </w:rPr>
              <w:t>6. SHARED VOTING POWER</w:t>
            </w:r>
          </w:p>
        </w:tc>
        <w:tc>
          <w:tcPr>
            <w:tcW w:w="5760" w:type="dxa"/>
            <w:vAlign w:val="bottom"/>
          </w:tcPr>
          <w:p>
            <w:pPr>
              <w:ind w:left="320"/>
              <w:spacing w:after="0" w:line="243"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OWNED BY</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7. SOLE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5,304,231</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Arial" w:cs="Arial" w:eastAsia="Arial" w:hAnsi="Arial"/>
                <w:sz w:val="22"/>
                <w:szCs w:val="22"/>
                <w:color w:val="auto"/>
              </w:rPr>
              <w:t>REPORTING</w:t>
            </w:r>
          </w:p>
        </w:tc>
        <w:tc>
          <w:tcPr>
            <w:tcW w:w="3760" w:type="dxa"/>
            <w:vAlign w:val="bottom"/>
            <w:vMerge w:val="restart"/>
          </w:tcPr>
          <w:p>
            <w:pPr>
              <w:ind w:left="160"/>
              <w:spacing w:after="0"/>
              <w:rPr>
                <w:sz w:val="20"/>
                <w:szCs w:val="20"/>
                <w:color w:val="auto"/>
              </w:rPr>
            </w:pPr>
            <w:r>
              <w:rPr>
                <w:rFonts w:ascii="Arial" w:cs="Arial" w:eastAsia="Arial" w:hAnsi="Arial"/>
                <w:sz w:val="22"/>
                <w:szCs w:val="22"/>
                <w:color w:val="auto"/>
              </w:rPr>
              <w:t>8. SHARED DISPOSITIVE POWER</w:t>
            </w:r>
          </w:p>
        </w:tc>
        <w:tc>
          <w:tcPr>
            <w:tcW w:w="5760" w:type="dxa"/>
            <w:vAlign w:val="bottom"/>
            <w:vMerge w:val="restart"/>
          </w:tcPr>
          <w:p>
            <w:pPr>
              <w:ind w:left="32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74"/>
        </w:trPr>
        <w:tc>
          <w:tcPr>
            <w:tcW w:w="1720" w:type="dxa"/>
            <w:vAlign w:val="bottom"/>
          </w:tcPr>
          <w:p>
            <w:pPr>
              <w:ind w:left="120"/>
              <w:spacing w:after="0"/>
              <w:rPr>
                <w:sz w:val="20"/>
                <w:szCs w:val="20"/>
                <w:color w:val="auto"/>
              </w:rPr>
            </w:pPr>
            <w:r>
              <w:rPr>
                <w:rFonts w:ascii="Arial" w:cs="Arial" w:eastAsia="Arial" w:hAnsi="Arial"/>
                <w:sz w:val="22"/>
                <w:szCs w:val="22"/>
                <w:color w:val="auto"/>
              </w:rPr>
              <w:t>PERSON WITH</w:t>
            </w:r>
          </w:p>
        </w:tc>
        <w:tc>
          <w:tcPr>
            <w:tcW w:w="3760" w:type="dxa"/>
            <w:vAlign w:val="bottom"/>
            <w:vMerge w:val="continue"/>
          </w:tcPr>
          <w:p>
            <w:pPr>
              <w:spacing w:after="0"/>
              <w:rPr>
                <w:sz w:val="23"/>
                <w:szCs w:val="23"/>
                <w:color w:val="auto"/>
              </w:rPr>
            </w:pPr>
          </w:p>
        </w:tc>
        <w:tc>
          <w:tcPr>
            <w:tcW w:w="57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9.</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55"/>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w w:val="92"/>
              </w:rPr>
              <w:t>5,304,231 shares of Common Stock consisting of shares beneficially owned by MFS and/or certain other</w:t>
            </w:r>
          </w:p>
        </w:tc>
        <w:tc>
          <w:tcPr>
            <w:tcW w:w="0" w:type="dxa"/>
            <w:vAlign w:val="bottom"/>
          </w:tcPr>
          <w:p>
            <w:pPr>
              <w:spacing w:after="0"/>
              <w:rPr>
                <w:sz w:val="1"/>
                <w:szCs w:val="1"/>
                <w:color w:val="auto"/>
              </w:rPr>
            </w:pPr>
          </w:p>
        </w:tc>
      </w:tr>
      <w:tr>
        <w:trPr>
          <w:trHeight w:val="274"/>
        </w:trPr>
        <w:tc>
          <w:tcPr>
            <w:tcW w:w="1720" w:type="dxa"/>
            <w:vAlign w:val="bottom"/>
          </w:tcPr>
          <w:p>
            <w:pPr>
              <w:spacing w:after="0"/>
              <w:rPr>
                <w:sz w:val="23"/>
                <w:szCs w:val="23"/>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non-reporting entities</w:t>
            </w:r>
          </w:p>
        </w:tc>
        <w:tc>
          <w:tcPr>
            <w:tcW w:w="5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10.</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Not Applicable</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11.</w:t>
            </w:r>
          </w:p>
        </w:tc>
        <w:tc>
          <w:tcPr>
            <w:tcW w:w="9520" w:type="dxa"/>
            <w:vAlign w:val="bottom"/>
            <w:gridSpan w:val="2"/>
          </w:tcPr>
          <w:p>
            <w:pPr>
              <w:ind w:left="100"/>
              <w:spacing w:after="0"/>
              <w:rPr>
                <w:sz w:val="20"/>
                <w:szCs w:val="20"/>
                <w:color w:val="auto"/>
              </w:rPr>
            </w:pPr>
            <w:r>
              <w:rPr>
                <w:rFonts w:ascii="Arial" w:cs="Arial" w:eastAsia="Arial" w:hAnsi="Arial"/>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10.0%</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Arial" w:cs="Arial" w:eastAsia="Arial" w:hAnsi="Arial"/>
                <w:sz w:val="22"/>
                <w:szCs w:val="22"/>
                <w:color w:val="auto"/>
              </w:rPr>
              <w:t>12.</w:t>
            </w:r>
          </w:p>
        </w:tc>
        <w:tc>
          <w:tcPr>
            <w:tcW w:w="3760" w:type="dxa"/>
            <w:vAlign w:val="bottom"/>
          </w:tcPr>
          <w:p>
            <w:pPr>
              <w:ind w:left="100"/>
              <w:spacing w:after="0"/>
              <w:rPr>
                <w:sz w:val="20"/>
                <w:szCs w:val="20"/>
                <w:color w:val="auto"/>
              </w:rPr>
            </w:pPr>
            <w:r>
              <w:rPr>
                <w:rFonts w:ascii="Arial" w:cs="Arial" w:eastAsia="Arial" w:hAnsi="Arial"/>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Arial" w:cs="Arial" w:eastAsia="Arial" w:hAnsi="Arial"/>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620" w:hanging="707"/>
        <w:spacing w:after="0"/>
        <w:tabs>
          <w:tab w:leader="none" w:pos="16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Name of Issuer</w:t>
      </w:r>
    </w:p>
    <w:p>
      <w:pPr>
        <w:spacing w:after="0" w:line="14" w:lineRule="exact"/>
        <w:rPr>
          <w:rFonts w:ascii="Arial" w:cs="Arial" w:eastAsia="Arial" w:hAnsi="Arial"/>
          <w:sz w:val="22"/>
          <w:szCs w:val="22"/>
          <w:b w:val="1"/>
          <w:bCs w:val="1"/>
          <w:color w:val="auto"/>
        </w:rPr>
      </w:pPr>
    </w:p>
    <w:p>
      <w:pPr>
        <w:ind w:left="1620"/>
        <w:spacing w:after="0"/>
        <w:rPr>
          <w:rFonts w:ascii="Arial" w:cs="Arial" w:eastAsia="Arial" w:hAnsi="Arial"/>
          <w:sz w:val="22"/>
          <w:szCs w:val="22"/>
          <w:b w:val="1"/>
          <w:bCs w:val="1"/>
          <w:color w:val="auto"/>
        </w:rPr>
      </w:pPr>
      <w:r>
        <w:rPr>
          <w:rFonts w:ascii="Arial" w:cs="Arial" w:eastAsia="Arial" w:hAnsi="Arial"/>
          <w:sz w:val="22"/>
          <w:szCs w:val="22"/>
          <w:color w:val="auto"/>
        </w:rPr>
        <w:t>ICON PLC</w:t>
      </w:r>
    </w:p>
    <w:p>
      <w:pPr>
        <w:spacing w:after="0" w:line="101" w:lineRule="exact"/>
        <w:rPr>
          <w:rFonts w:ascii="Arial" w:cs="Arial" w:eastAsia="Arial" w:hAnsi="Arial"/>
          <w:sz w:val="22"/>
          <w:szCs w:val="22"/>
          <w:b w:val="1"/>
          <w:bCs w:val="1"/>
          <w:color w:val="auto"/>
        </w:rPr>
      </w:pPr>
    </w:p>
    <w:p>
      <w:pPr>
        <w:ind w:left="1620" w:hanging="707"/>
        <w:spacing w:after="0"/>
        <w:tabs>
          <w:tab w:leader="none" w:pos="16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Address of Issuer's Principal Executive Offices</w:t>
      </w:r>
    </w:p>
    <w:p>
      <w:pPr>
        <w:spacing w:after="0" w:line="14" w:lineRule="exact"/>
        <w:rPr>
          <w:rFonts w:ascii="Arial" w:cs="Arial" w:eastAsia="Arial" w:hAnsi="Arial"/>
          <w:sz w:val="22"/>
          <w:szCs w:val="22"/>
          <w:b w:val="1"/>
          <w:bCs w:val="1"/>
          <w:color w:val="auto"/>
        </w:rPr>
      </w:pPr>
    </w:p>
    <w:p>
      <w:pPr>
        <w:ind w:left="1620"/>
        <w:spacing w:after="0"/>
        <w:rPr>
          <w:rFonts w:ascii="Arial" w:cs="Arial" w:eastAsia="Arial" w:hAnsi="Arial"/>
          <w:sz w:val="22"/>
          <w:szCs w:val="22"/>
          <w:b w:val="1"/>
          <w:bCs w:val="1"/>
          <w:color w:val="auto"/>
        </w:rPr>
      </w:pPr>
      <w:r>
        <w:rPr>
          <w:rFonts w:ascii="Arial" w:cs="Arial" w:eastAsia="Arial" w:hAnsi="Arial"/>
          <w:sz w:val="22"/>
          <w:szCs w:val="22"/>
          <w:color w:val="auto"/>
        </w:rPr>
        <w:t>South County Business Park, Leopardstown, Dublin 18, Ireland</w:t>
      </w:r>
    </w:p>
    <w:p>
      <w:pPr>
        <w:spacing w:after="0" w:line="1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w:t>
      </w:r>
    </w:p>
    <w:p>
      <w:pPr>
        <w:spacing w:after="0" w:line="125" w:lineRule="exact"/>
        <w:rPr>
          <w:sz w:val="20"/>
          <w:szCs w:val="20"/>
          <w:color w:val="auto"/>
        </w:rPr>
      </w:pPr>
    </w:p>
    <w:p>
      <w:pPr>
        <w:ind w:left="1620" w:hanging="707"/>
        <w:spacing w:after="0"/>
        <w:tabs>
          <w:tab w:leader="none" w:pos="162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Name of Person Filing</w:t>
      </w:r>
    </w:p>
    <w:p>
      <w:pPr>
        <w:spacing w:after="0" w:line="14" w:lineRule="exact"/>
        <w:rPr>
          <w:rFonts w:ascii="Arial" w:cs="Arial" w:eastAsia="Arial" w:hAnsi="Arial"/>
          <w:sz w:val="22"/>
          <w:szCs w:val="22"/>
          <w:b w:val="1"/>
          <w:bCs w:val="1"/>
          <w:color w:val="auto"/>
        </w:rPr>
      </w:pPr>
    </w:p>
    <w:p>
      <w:pPr>
        <w:ind w:left="1620"/>
        <w:spacing w:after="0"/>
        <w:rPr>
          <w:rFonts w:ascii="Arial" w:cs="Arial" w:eastAsia="Arial" w:hAnsi="Arial"/>
          <w:sz w:val="22"/>
          <w:szCs w:val="22"/>
          <w:b w:val="1"/>
          <w:bCs w:val="1"/>
          <w:color w:val="auto"/>
        </w:rPr>
      </w:pPr>
      <w:r>
        <w:rPr>
          <w:rFonts w:ascii="Arial" w:cs="Arial" w:eastAsia="Arial" w:hAnsi="Arial"/>
          <w:sz w:val="22"/>
          <w:szCs w:val="22"/>
          <w:color w:val="auto"/>
        </w:rPr>
        <w:t>Massachusetts Financial Services Company</w:t>
      </w:r>
    </w:p>
    <w:p>
      <w:pPr>
        <w:spacing w:after="0" w:line="101" w:lineRule="exact"/>
        <w:rPr>
          <w:rFonts w:ascii="Arial" w:cs="Arial" w:eastAsia="Arial" w:hAnsi="Arial"/>
          <w:sz w:val="22"/>
          <w:szCs w:val="22"/>
          <w:b w:val="1"/>
          <w:bCs w:val="1"/>
          <w:color w:val="auto"/>
        </w:rPr>
      </w:pPr>
    </w:p>
    <w:p>
      <w:pPr>
        <w:ind w:left="1620" w:right="4000" w:hanging="707"/>
        <w:spacing w:after="0" w:line="256" w:lineRule="auto"/>
        <w:tabs>
          <w:tab w:leader="none" w:pos="162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Address of Principal Business Office or, if None, Residence </w:t>
      </w:r>
      <w:r>
        <w:rPr>
          <w:rFonts w:ascii="Arial" w:cs="Arial" w:eastAsia="Arial" w:hAnsi="Arial"/>
          <w:sz w:val="22"/>
          <w:szCs w:val="22"/>
          <w:color w:val="auto"/>
        </w:rPr>
        <w:t>111 Huntington Avenue, Boston, MA 02199</w:t>
      </w:r>
    </w:p>
    <w:p>
      <w:pPr>
        <w:spacing w:after="0" w:line="81" w:lineRule="exact"/>
        <w:rPr>
          <w:rFonts w:ascii="Arial" w:cs="Arial" w:eastAsia="Arial" w:hAnsi="Arial"/>
          <w:sz w:val="22"/>
          <w:szCs w:val="22"/>
          <w:b w:val="1"/>
          <w:bCs w:val="1"/>
          <w:color w:val="auto"/>
        </w:rPr>
      </w:pPr>
    </w:p>
    <w:p>
      <w:pPr>
        <w:ind w:left="1620" w:right="836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Citizenship </w:t>
      </w:r>
      <w:r>
        <w:rPr>
          <w:rFonts w:ascii="Arial" w:cs="Arial" w:eastAsia="Arial" w:hAnsi="Arial"/>
          <w:sz w:val="19"/>
          <w:szCs w:val="19"/>
          <w:color w:val="auto"/>
        </w:rPr>
        <w:t>Delaware</w:t>
      </w:r>
    </w:p>
    <w:p>
      <w:pPr>
        <w:spacing w:after="0" w:line="12" w:lineRule="exact"/>
        <w:rPr>
          <w:rFonts w:ascii="Arial" w:cs="Arial" w:eastAsia="Arial" w:hAnsi="Arial"/>
          <w:sz w:val="19"/>
          <w:szCs w:val="19"/>
          <w:b w:val="1"/>
          <w:bCs w:val="1"/>
          <w:color w:val="auto"/>
        </w:rPr>
      </w:pPr>
    </w:p>
    <w:p>
      <w:pPr>
        <w:ind w:left="1620" w:right="700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Title of Class of Securities </w:t>
      </w:r>
      <w:r>
        <w:rPr>
          <w:rFonts w:ascii="Arial" w:cs="Arial" w:eastAsia="Arial" w:hAnsi="Arial"/>
          <w:sz w:val="19"/>
          <w:szCs w:val="19"/>
          <w:color w:val="auto"/>
        </w:rPr>
        <w:t>Common Stock</w:t>
      </w:r>
    </w:p>
    <w:p>
      <w:pPr>
        <w:spacing w:after="0" w:line="12" w:lineRule="exact"/>
        <w:rPr>
          <w:rFonts w:ascii="Arial" w:cs="Arial" w:eastAsia="Arial" w:hAnsi="Arial"/>
          <w:sz w:val="19"/>
          <w:szCs w:val="19"/>
          <w:b w:val="1"/>
          <w:bCs w:val="1"/>
          <w:color w:val="auto"/>
        </w:rPr>
      </w:pPr>
    </w:p>
    <w:p>
      <w:pPr>
        <w:ind w:left="1620" w:right="7940" w:hanging="707"/>
        <w:spacing w:after="0" w:line="334" w:lineRule="auto"/>
        <w:tabs>
          <w:tab w:leader="none" w:pos="162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CUSIP Number </w:t>
      </w:r>
      <w:r>
        <w:rPr>
          <w:rFonts w:ascii="Arial" w:cs="Arial" w:eastAsia="Arial" w:hAnsi="Arial"/>
          <w:sz w:val="19"/>
          <w:szCs w:val="19"/>
          <w:color w:val="auto"/>
        </w:rPr>
        <w:t>G4705A100</w:t>
      </w:r>
    </w:p>
    <w:p>
      <w:pPr>
        <w:spacing w:after="0" w:line="13"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If This Statement is Filed Pursuant to Rule 13d-1(b), or 13d-2(b) or (c), Check Whether the Person Filing is a:</w:t>
      </w:r>
    </w:p>
    <w:p>
      <w:pPr>
        <w:sectPr>
          <w:pgSz w:w="11900" w:h="16838" w:orient="portrait"/>
          <w:cols w:equalWidth="0" w:num="1">
            <w:col w:w="11020"/>
          </w:cols>
          <w:pgMar w:left="400" w:top="423" w:right="479" w:bottom="0" w:gutter="0" w:footer="0" w:header="0"/>
        </w:sectPr>
      </w:pPr>
    </w:p>
    <w:p>
      <w:pPr>
        <w:spacing w:after="0" w:line="131"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(d)</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(e)</w:t>
      </w:r>
      <w:r>
        <w:rPr>
          <w:sz w:val="20"/>
          <w:szCs w:val="20"/>
          <w:color w:val="auto"/>
        </w:rPr>
        <w:tab/>
      </w:r>
      <w:r>
        <w:rPr>
          <w:rFonts w:ascii="Arial" w:cs="Arial" w:eastAsia="Arial" w:hAnsi="Arial"/>
          <w:sz w:val="22"/>
          <w:szCs w:val="22"/>
          <w:color w:val="auto"/>
        </w:rPr>
        <w:t>[X]</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(f)</w:t>
      </w:r>
      <w:r>
        <w:rPr>
          <w:sz w:val="20"/>
          <w:szCs w:val="20"/>
          <w:color w:val="auto"/>
        </w:rPr>
        <w:tab/>
      </w:r>
      <w:r>
        <w:rPr>
          <w:rFonts w:ascii="Arial" w:cs="Arial" w:eastAsia="Arial" w:hAnsi="Arial"/>
          <w:sz w:val="22"/>
          <w:szCs w:val="22"/>
          <w:color w:val="auto"/>
        </w:rPr>
        <w:t>[ ]</w:t>
      </w:r>
    </w:p>
    <w:p>
      <w:pPr>
        <w:spacing w:after="0" w:line="125"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(h)</w:t>
      </w:r>
      <w:r>
        <w:rPr>
          <w:sz w:val="20"/>
          <w:szCs w:val="20"/>
          <w:color w:val="auto"/>
        </w:rPr>
        <w:tab/>
      </w:r>
      <w:r>
        <w:rPr>
          <w:rFonts w:ascii="Arial" w:cs="Arial" w:eastAsia="Arial" w:hAnsi="Arial"/>
          <w:sz w:val="22"/>
          <w:szCs w:val="22"/>
          <w:color w:val="auto"/>
        </w:rPr>
        <w:t>[ ]</w:t>
      </w:r>
    </w:p>
    <w:p>
      <w:pPr>
        <w:spacing w:after="0" w:line="368"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22"/>
          <w:szCs w:val="22"/>
          <w:color w:val="auto"/>
        </w:rPr>
        <w:t>[ ]</w:t>
      </w:r>
    </w:p>
    <w:p>
      <w:pPr>
        <w:spacing w:after="0" w:line="247" w:lineRule="exact"/>
        <w:rPr>
          <w:sz w:val="20"/>
          <w:szCs w:val="20"/>
          <w:color w:val="auto"/>
        </w:rPr>
      </w:pPr>
    </w:p>
    <w:p>
      <w:pPr>
        <w:ind w:left="920"/>
        <w:spacing w:after="0"/>
        <w:tabs>
          <w:tab w:leader="none" w:pos="1600" w:val="left"/>
        </w:tabs>
        <w:rPr>
          <w:sz w:val="20"/>
          <w:szCs w:val="20"/>
          <w:color w:val="auto"/>
        </w:rPr>
      </w:pPr>
      <w:r>
        <w:rPr>
          <w:rFonts w:ascii="Arial" w:cs="Arial" w:eastAsia="Arial" w:hAnsi="Arial"/>
          <w:sz w:val="22"/>
          <w:szCs w:val="22"/>
          <w:color w:val="auto"/>
        </w:rPr>
        <w:t>(j)</w:t>
      </w:r>
      <w:r>
        <w:rPr>
          <w:sz w:val="20"/>
          <w:szCs w:val="20"/>
          <w:color w:val="auto"/>
        </w:rPr>
        <w:tab/>
      </w:r>
      <w:r>
        <w:rPr>
          <w:rFonts w:ascii="Arial" w:cs="Arial" w:eastAsia="Arial" w:hAnsi="Arial"/>
          <w:sz w:val="22"/>
          <w:szCs w:val="22"/>
          <w:color w:val="auto"/>
        </w:rPr>
        <w:t>[ ]</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left="8"/>
        <w:spacing w:after="0"/>
        <w:rPr>
          <w:sz w:val="20"/>
          <w:szCs w:val="20"/>
          <w:color w:val="auto"/>
        </w:rPr>
      </w:pPr>
      <w:r>
        <w:rPr>
          <w:rFonts w:ascii="Arial" w:cs="Arial" w:eastAsia="Arial" w:hAnsi="Arial"/>
          <w:sz w:val="22"/>
          <w:szCs w:val="22"/>
          <w:color w:val="auto"/>
        </w:rPr>
        <w:t>Broker or dealer registered under Section 15 of the Act (15 U.S.C. 78o).</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22"/>
          <w:szCs w:val="22"/>
          <w:color w:val="auto"/>
        </w:rPr>
        <w:t>Bank as defined in Section 3(a)(6) of the Act (15 U.S.C. 78c).</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22"/>
          <w:szCs w:val="22"/>
          <w:color w:val="auto"/>
        </w:rPr>
        <w:t>Insurance Company as defined in Section 3(a)(19) of the Act (15 U.S.C. 78c).</w:t>
      </w:r>
    </w:p>
    <w:p>
      <w:pPr>
        <w:spacing w:after="0" w:line="125" w:lineRule="exact"/>
        <w:rPr>
          <w:sz w:val="20"/>
          <w:szCs w:val="20"/>
          <w:color w:val="auto"/>
        </w:rPr>
      </w:pPr>
    </w:p>
    <w:p>
      <w:pPr>
        <w:ind w:left="8" w:right="560"/>
        <w:spacing w:after="0" w:line="250" w:lineRule="auto"/>
        <w:rPr>
          <w:sz w:val="20"/>
          <w:szCs w:val="20"/>
          <w:color w:val="auto"/>
        </w:rPr>
      </w:pPr>
      <w:r>
        <w:rPr>
          <w:rFonts w:ascii="Arial" w:cs="Arial" w:eastAsia="Arial" w:hAnsi="Arial"/>
          <w:sz w:val="22"/>
          <w:szCs w:val="22"/>
          <w:color w:val="auto"/>
        </w:rPr>
        <w:t>Investment Company registered under Section 8 of the Investment Company Act of 1940 (15 U.S.C. 80a-8).</w:t>
      </w:r>
    </w:p>
    <w:p>
      <w:pPr>
        <w:spacing w:after="0" w:line="94" w:lineRule="exact"/>
        <w:rPr>
          <w:sz w:val="20"/>
          <w:szCs w:val="20"/>
          <w:color w:val="auto"/>
        </w:rPr>
      </w:pPr>
    </w:p>
    <w:p>
      <w:pPr>
        <w:ind w:left="8"/>
        <w:spacing w:after="0"/>
        <w:rPr>
          <w:sz w:val="20"/>
          <w:szCs w:val="20"/>
          <w:color w:val="auto"/>
        </w:rPr>
      </w:pPr>
      <w:r>
        <w:rPr>
          <w:rFonts w:ascii="Arial" w:cs="Arial" w:eastAsia="Arial" w:hAnsi="Arial"/>
          <w:sz w:val="22"/>
          <w:szCs w:val="22"/>
          <w:color w:val="auto"/>
        </w:rPr>
        <w:t>An investment adviser in accordance with Rule 240.13d-1(b)(1)(ii)(E);</w:t>
      </w:r>
    </w:p>
    <w:p>
      <w:pPr>
        <w:spacing w:after="0" w:line="125" w:lineRule="exact"/>
        <w:rPr>
          <w:sz w:val="20"/>
          <w:szCs w:val="20"/>
          <w:color w:val="auto"/>
        </w:rPr>
      </w:pPr>
    </w:p>
    <w:p>
      <w:pPr>
        <w:ind w:left="8" w:right="440"/>
        <w:spacing w:after="0" w:line="415" w:lineRule="auto"/>
        <w:rPr>
          <w:sz w:val="20"/>
          <w:szCs w:val="20"/>
          <w:color w:val="auto"/>
        </w:rPr>
      </w:pPr>
      <w:r>
        <w:rPr>
          <w:rFonts w:ascii="Arial" w:cs="Arial" w:eastAsia="Arial" w:hAnsi="Arial"/>
          <w:sz w:val="19"/>
          <w:szCs w:val="19"/>
          <w:color w:val="auto"/>
        </w:rPr>
        <w:t>An employee benefit plan or endowment fund in accordance with Rule 240.13d-1(b)(1)(ii)(F); A parent holding company or control person in accordance with Rule 240.13d-1(b)(1)(ii)(G);</w:t>
      </w:r>
    </w:p>
    <w:p>
      <w:pPr>
        <w:ind w:left="8" w:right="240"/>
        <w:spacing w:after="0" w:line="250" w:lineRule="auto"/>
        <w:rPr>
          <w:sz w:val="20"/>
          <w:szCs w:val="20"/>
          <w:color w:val="auto"/>
        </w:rPr>
      </w:pPr>
      <w:r>
        <w:rPr>
          <w:rFonts w:ascii="Arial" w:cs="Arial" w:eastAsia="Arial" w:hAnsi="Arial"/>
          <w:sz w:val="22"/>
          <w:szCs w:val="22"/>
          <w:color w:val="auto"/>
        </w:rPr>
        <w:t>A savings association as defined in Section 3(b) of the Federal Deposit Insurance Act (12 U.S.C. 1813);</w:t>
      </w:r>
    </w:p>
    <w:p>
      <w:pPr>
        <w:spacing w:after="0" w:line="94" w:lineRule="exact"/>
        <w:rPr>
          <w:sz w:val="20"/>
          <w:szCs w:val="20"/>
          <w:color w:val="auto"/>
        </w:rPr>
      </w:pPr>
    </w:p>
    <w:p>
      <w:pPr>
        <w:ind w:left="8"/>
        <w:spacing w:after="0"/>
        <w:rPr>
          <w:sz w:val="20"/>
          <w:szCs w:val="20"/>
          <w:color w:val="auto"/>
        </w:rPr>
      </w:pPr>
      <w:r>
        <w:rPr>
          <w:rFonts w:ascii="Arial" w:cs="Arial" w:eastAsia="Arial" w:hAnsi="Arial"/>
          <w:sz w:val="19"/>
          <w:szCs w:val="19"/>
          <w:color w:val="auto"/>
        </w:rPr>
        <w:t>A church plan that is excluded from the definition of an investment company under Section 3(c)</w:t>
      </w:r>
    </w:p>
    <w:p>
      <w:pPr>
        <w:spacing w:after="0" w:line="43" w:lineRule="exact"/>
        <w:rPr>
          <w:sz w:val="20"/>
          <w:szCs w:val="20"/>
          <w:color w:val="auto"/>
        </w:rPr>
      </w:pPr>
    </w:p>
    <w:p>
      <w:pPr>
        <w:ind w:left="8" w:right="3040" w:hanging="8"/>
        <w:spacing w:after="0" w:line="456" w:lineRule="auto"/>
        <w:tabs>
          <w:tab w:leader="none" w:pos="422" w:val="left"/>
        </w:tabs>
        <w:numPr>
          <w:ilvl w:val="0"/>
          <w:numId w:val="4"/>
        </w:numPr>
        <w:rPr>
          <w:rFonts w:ascii="Arial" w:cs="Arial" w:eastAsia="Arial" w:hAnsi="Arial"/>
          <w:sz w:val="19"/>
          <w:szCs w:val="19"/>
          <w:color w:val="auto"/>
        </w:rPr>
      </w:pPr>
      <w:r>
        <w:rPr>
          <w:rFonts w:ascii="Arial" w:cs="Arial" w:eastAsia="Arial" w:hAnsi="Arial"/>
          <w:sz w:val="19"/>
          <w:szCs w:val="19"/>
          <w:color w:val="auto"/>
        </w:rPr>
        <w:t>of the Investment Company Act of 1940 (15 U.S.C. 80a-3); Group, in accordance with Rule 240.13d-1(b)(1)(ii)(J).</w:t>
      </w:r>
    </w:p>
    <w:p>
      <w:pPr>
        <w:spacing w:after="0" w:line="285" w:lineRule="exact"/>
        <w:rPr>
          <w:sz w:val="20"/>
          <w:szCs w:val="20"/>
          <w:color w:val="auto"/>
        </w:rPr>
      </w:pPr>
    </w:p>
    <w:p>
      <w:pPr>
        <w:sectPr>
          <w:pgSz w:w="11900" w:h="16838" w:orient="portrait"/>
          <w:cols w:equalWidth="0" w:num="2">
            <w:col w:w="1980" w:space="432"/>
            <w:col w:w="8608"/>
          </w:cols>
          <w:pgMar w:left="400" w:top="423" w:right="479" w:bottom="0" w:gutter="0" w:footer="0" w:header="0"/>
          <w:type w:val="continuous"/>
        </w:sectPr>
      </w:pPr>
    </w:p>
    <w:p>
      <w:pPr>
        <w:ind w:right="660"/>
        <w:spacing w:after="0" w:line="250" w:lineRule="auto"/>
        <w:rPr>
          <w:sz w:val="20"/>
          <w:szCs w:val="20"/>
          <w:color w:val="auto"/>
        </w:rPr>
      </w:pPr>
      <w:r>
        <w:rPr>
          <w:rFonts w:ascii="Arial" w:cs="Arial" w:eastAsia="Arial" w:hAnsi="Arial"/>
          <w:sz w:val="22"/>
          <w:szCs w:val="22"/>
          <w:color w:val="auto"/>
        </w:rPr>
        <w:t>Provide the following information regarding the aggregate number and percentage of the class of securities of the issuer identified in Item 1.</w:t>
      </w:r>
    </w:p>
    <w:p>
      <w:pPr>
        <w:spacing w:after="0" w:line="94" w:lineRule="exact"/>
        <w:rPr>
          <w:sz w:val="20"/>
          <w:szCs w:val="20"/>
          <w:color w:val="auto"/>
        </w:rPr>
      </w:pPr>
    </w:p>
    <w:p>
      <w:pPr>
        <w:ind w:left="1620" w:hanging="707"/>
        <w:spacing w:after="0"/>
        <w:tabs>
          <w:tab w:leader="none" w:pos="1620" w:val="left"/>
        </w:tabs>
        <w:numPr>
          <w:ilvl w:val="0"/>
          <w:numId w:val="5"/>
        </w:numPr>
        <w:rPr>
          <w:rFonts w:ascii="Arial" w:cs="Arial" w:eastAsia="Arial" w:hAnsi="Arial"/>
          <w:sz w:val="22"/>
          <w:szCs w:val="22"/>
          <w:color w:val="auto"/>
        </w:rPr>
      </w:pPr>
      <w:r>
        <w:rPr>
          <w:rFonts w:ascii="Arial" w:cs="Arial" w:eastAsia="Arial" w:hAnsi="Arial"/>
          <w:sz w:val="22"/>
          <w:szCs w:val="22"/>
          <w:color w:val="auto"/>
        </w:rPr>
        <w:t>Amount Beneficially Owned:</w:t>
      </w:r>
    </w:p>
    <w:p>
      <w:pPr>
        <w:spacing w:after="0" w:line="125" w:lineRule="exact"/>
        <w:rPr>
          <w:rFonts w:ascii="Arial" w:cs="Arial" w:eastAsia="Arial" w:hAnsi="Arial"/>
          <w:sz w:val="22"/>
          <w:szCs w:val="22"/>
          <w:color w:val="auto"/>
        </w:rPr>
      </w:pPr>
    </w:p>
    <w:p>
      <w:pPr>
        <w:ind w:left="1620" w:right="340"/>
        <w:spacing w:after="0" w:line="250" w:lineRule="auto"/>
        <w:rPr>
          <w:rFonts w:ascii="Arial" w:cs="Arial" w:eastAsia="Arial" w:hAnsi="Arial"/>
          <w:sz w:val="22"/>
          <w:szCs w:val="22"/>
          <w:color w:val="auto"/>
        </w:rPr>
      </w:pPr>
      <w:r>
        <w:rPr>
          <w:rFonts w:ascii="Arial" w:cs="Arial" w:eastAsia="Arial" w:hAnsi="Arial"/>
          <w:sz w:val="22"/>
          <w:szCs w:val="22"/>
          <w:color w:val="auto"/>
        </w:rPr>
        <w:t>5,304,231 shares of Common Stock consisting of shares beneficially owned by MFS and/or certain other non-reporting entities</w:t>
      </w:r>
    </w:p>
    <w:p>
      <w:pPr>
        <w:sectPr>
          <w:pgSz w:w="11900" w:h="16838" w:orient="portrait"/>
          <w:cols w:equalWidth="0" w:num="1">
            <w:col w:w="11020"/>
          </w:cols>
          <w:pgMar w:left="400" w:top="423" w:right="479" w:bottom="0" w:gutter="0" w:footer="0" w:header="0"/>
          <w:type w:val="continuous"/>
        </w:sectPr>
      </w:pPr>
    </w:p>
    <w:p>
      <w:pPr>
        <w:spacing w:after="0" w:line="94" w:lineRule="exact"/>
        <w:rPr>
          <w:sz w:val="20"/>
          <w:szCs w:val="20"/>
          <w:color w:val="auto"/>
        </w:rPr>
      </w:pPr>
    </w:p>
    <w:p>
      <w:pPr>
        <w:ind w:left="1620" w:hanging="707"/>
        <w:spacing w:after="0"/>
        <w:tabs>
          <w:tab w:leader="none" w:pos="1620" w:val="left"/>
        </w:tabs>
        <w:numPr>
          <w:ilvl w:val="0"/>
          <w:numId w:val="6"/>
        </w:numPr>
        <w:rPr>
          <w:rFonts w:ascii="Arial" w:cs="Arial" w:eastAsia="Arial" w:hAnsi="Arial"/>
          <w:sz w:val="22"/>
          <w:szCs w:val="22"/>
          <w:color w:val="auto"/>
        </w:rPr>
      </w:pPr>
      <w:r>
        <w:rPr>
          <w:rFonts w:ascii="Arial" w:cs="Arial" w:eastAsia="Arial" w:hAnsi="Arial"/>
          <w:sz w:val="22"/>
          <w:szCs w:val="22"/>
          <w:color w:val="auto"/>
        </w:rPr>
        <w:t>Percent of Class:</w:t>
      </w:r>
    </w:p>
    <w:p>
      <w:pPr>
        <w:spacing w:after="0" w:line="125" w:lineRule="exact"/>
        <w:rPr>
          <w:rFonts w:ascii="Arial" w:cs="Arial" w:eastAsia="Arial" w:hAnsi="Arial"/>
          <w:sz w:val="22"/>
          <w:szCs w:val="22"/>
          <w:color w:val="auto"/>
        </w:rPr>
      </w:pPr>
    </w:p>
    <w:p>
      <w:pPr>
        <w:ind w:left="1620"/>
        <w:spacing w:after="0"/>
        <w:rPr>
          <w:rFonts w:ascii="Arial" w:cs="Arial" w:eastAsia="Arial" w:hAnsi="Arial"/>
          <w:sz w:val="22"/>
          <w:szCs w:val="22"/>
          <w:color w:val="auto"/>
        </w:rPr>
      </w:pPr>
      <w:r>
        <w:rPr>
          <w:rFonts w:ascii="Arial" w:cs="Arial" w:eastAsia="Arial" w:hAnsi="Arial"/>
          <w:sz w:val="22"/>
          <w:szCs w:val="22"/>
          <w:color w:val="auto"/>
        </w:rPr>
        <w:t>10.0%</w:t>
      </w:r>
    </w:p>
    <w:p>
      <w:pPr>
        <w:spacing w:after="0" w:line="125" w:lineRule="exact"/>
        <w:rPr>
          <w:rFonts w:ascii="Arial" w:cs="Arial" w:eastAsia="Arial" w:hAnsi="Arial"/>
          <w:sz w:val="22"/>
          <w:szCs w:val="22"/>
          <w:color w:val="auto"/>
        </w:rPr>
      </w:pPr>
    </w:p>
    <w:p>
      <w:pPr>
        <w:ind w:left="1620" w:hanging="707"/>
        <w:spacing w:after="0"/>
        <w:tabs>
          <w:tab w:leader="none" w:pos="1620" w:val="left"/>
        </w:tabs>
        <w:numPr>
          <w:ilvl w:val="0"/>
          <w:numId w:val="6"/>
        </w:numPr>
        <w:rPr>
          <w:rFonts w:ascii="Arial" w:cs="Arial" w:eastAsia="Arial" w:hAnsi="Arial"/>
          <w:sz w:val="22"/>
          <w:szCs w:val="22"/>
          <w:color w:val="auto"/>
        </w:rPr>
      </w:pPr>
      <w:r>
        <w:rPr>
          <w:rFonts w:ascii="Arial" w:cs="Arial" w:eastAsia="Arial" w:hAnsi="Arial"/>
          <w:sz w:val="22"/>
          <w:szCs w:val="22"/>
          <w:color w:val="auto"/>
        </w:rPr>
        <w:t>Number of shares as to which such person has:</w:t>
      </w:r>
    </w:p>
    <w:p>
      <w:pPr>
        <w:spacing w:after="0" w:line="125" w:lineRule="exact"/>
        <w:rPr>
          <w:rFonts w:ascii="Arial" w:cs="Arial" w:eastAsia="Arial" w:hAnsi="Arial"/>
          <w:sz w:val="22"/>
          <w:szCs w:val="22"/>
          <w:color w:val="auto"/>
        </w:rPr>
      </w:pPr>
    </w:p>
    <w:p>
      <w:pPr>
        <w:ind w:left="2420" w:hanging="805"/>
        <w:spacing w:after="0"/>
        <w:tabs>
          <w:tab w:leader="none" w:pos="2420" w:val="left"/>
        </w:tabs>
        <w:numPr>
          <w:ilvl w:val="1"/>
          <w:numId w:val="6"/>
        </w:numPr>
        <w:rPr>
          <w:rFonts w:ascii="Arial" w:cs="Arial" w:eastAsia="Arial" w:hAnsi="Arial"/>
          <w:sz w:val="22"/>
          <w:szCs w:val="22"/>
          <w:color w:val="auto"/>
        </w:rPr>
      </w:pPr>
      <w:r>
        <w:rPr>
          <w:rFonts w:ascii="Arial" w:cs="Arial" w:eastAsia="Arial" w:hAnsi="Arial"/>
          <w:sz w:val="22"/>
          <w:szCs w:val="22"/>
          <w:color w:val="auto"/>
        </w:rPr>
        <w:t>sole power to vote or to direct the vote</w:t>
      </w:r>
    </w:p>
    <w:p>
      <w:pPr>
        <w:spacing w:after="0" w:line="125" w:lineRule="exact"/>
        <w:rPr>
          <w:rFonts w:ascii="Arial" w:cs="Arial" w:eastAsia="Arial" w:hAnsi="Arial"/>
          <w:sz w:val="22"/>
          <w:szCs w:val="22"/>
          <w:color w:val="auto"/>
        </w:rPr>
      </w:pPr>
    </w:p>
    <w:p>
      <w:pPr>
        <w:ind w:left="2420" w:hanging="805"/>
        <w:spacing w:after="0"/>
        <w:tabs>
          <w:tab w:leader="none" w:pos="2420" w:val="left"/>
        </w:tabs>
        <w:numPr>
          <w:ilvl w:val="1"/>
          <w:numId w:val="6"/>
        </w:numPr>
        <w:rPr>
          <w:rFonts w:ascii="Arial" w:cs="Arial" w:eastAsia="Arial" w:hAnsi="Arial"/>
          <w:sz w:val="22"/>
          <w:szCs w:val="22"/>
          <w:color w:val="auto"/>
        </w:rPr>
      </w:pPr>
      <w:r>
        <w:rPr>
          <w:rFonts w:ascii="Arial" w:cs="Arial" w:eastAsia="Arial" w:hAnsi="Arial"/>
          <w:sz w:val="22"/>
          <w:szCs w:val="22"/>
          <w:color w:val="auto"/>
        </w:rPr>
        <w:t>shared power to vote or to direct the vote</w:t>
      </w:r>
    </w:p>
    <w:p>
      <w:pPr>
        <w:spacing w:after="0" w:line="125" w:lineRule="exact"/>
        <w:rPr>
          <w:rFonts w:ascii="Arial" w:cs="Arial" w:eastAsia="Arial" w:hAnsi="Arial"/>
          <w:sz w:val="22"/>
          <w:szCs w:val="22"/>
          <w:color w:val="auto"/>
        </w:rPr>
      </w:pPr>
    </w:p>
    <w:p>
      <w:pPr>
        <w:ind w:left="2420" w:hanging="805"/>
        <w:spacing w:after="0" w:line="183" w:lineRule="auto"/>
        <w:tabs>
          <w:tab w:leader="none" w:pos="2420" w:val="left"/>
        </w:tabs>
        <w:numPr>
          <w:ilvl w:val="1"/>
          <w:numId w:val="6"/>
        </w:numPr>
        <w:rPr>
          <w:rFonts w:ascii="Arial" w:cs="Arial" w:eastAsia="Arial" w:hAnsi="Arial"/>
          <w:sz w:val="39"/>
          <w:szCs w:val="39"/>
          <w:color w:val="auto"/>
          <w:vertAlign w:val="subscript"/>
        </w:rPr>
      </w:pPr>
      <w:r>
        <w:rPr>
          <w:rFonts w:ascii="Arial" w:cs="Arial" w:eastAsia="Arial" w:hAnsi="Arial"/>
          <w:sz w:val="20"/>
          <w:szCs w:val="20"/>
          <w:color w:val="auto"/>
        </w:rPr>
        <w:t>sole power to dispose or to direct the disposition of</w:t>
      </w:r>
    </w:p>
    <w:p>
      <w:pPr>
        <w:spacing w:after="0" w:line="103" w:lineRule="exact"/>
        <w:rPr>
          <w:rFonts w:ascii="Arial" w:cs="Arial" w:eastAsia="Arial" w:hAnsi="Arial"/>
          <w:sz w:val="39"/>
          <w:szCs w:val="39"/>
          <w:color w:val="auto"/>
          <w:vertAlign w:val="subscript"/>
        </w:rPr>
      </w:pPr>
    </w:p>
    <w:p>
      <w:pPr>
        <w:ind w:left="2420" w:right="780" w:hanging="805"/>
        <w:spacing w:after="0" w:line="183" w:lineRule="auto"/>
        <w:tabs>
          <w:tab w:leader="none" w:pos="2420" w:val="left"/>
        </w:tabs>
        <w:numPr>
          <w:ilvl w:val="1"/>
          <w:numId w:val="6"/>
        </w:numPr>
        <w:rPr>
          <w:rFonts w:ascii="Arial" w:cs="Arial" w:eastAsia="Arial" w:hAnsi="Arial"/>
          <w:sz w:val="39"/>
          <w:szCs w:val="39"/>
          <w:color w:val="auto"/>
          <w:vertAlign w:val="subscript"/>
        </w:rPr>
      </w:pPr>
      <w:r>
        <w:rPr>
          <w:rFonts w:ascii="Arial" w:cs="Arial" w:eastAsia="Arial" w:hAnsi="Arial"/>
          <w:sz w:val="20"/>
          <w:szCs w:val="20"/>
          <w:color w:val="auto"/>
        </w:rPr>
        <w:t>shared power to dispose or to direct the disposition of</w:t>
      </w:r>
    </w:p>
    <w:p>
      <w:pPr>
        <w:spacing w:after="0" w:line="98"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Class.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color w:val="auto"/>
        </w:rPr>
        <w:t>5,163,666</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247" w:lineRule="exact"/>
        <w:rPr>
          <w:sz w:val="20"/>
          <w:szCs w:val="20"/>
          <w:color w:val="auto"/>
        </w:rPr>
      </w:pPr>
    </w:p>
    <w:p>
      <w:pPr>
        <w:spacing w:after="0"/>
        <w:rPr>
          <w:sz w:val="20"/>
          <w:szCs w:val="20"/>
          <w:color w:val="auto"/>
        </w:rPr>
      </w:pPr>
      <w:r>
        <w:rPr>
          <w:rFonts w:ascii="Arial" w:cs="Arial" w:eastAsia="Arial" w:hAnsi="Arial"/>
          <w:sz w:val="19"/>
          <w:szCs w:val="19"/>
          <w:color w:val="auto"/>
        </w:rPr>
        <w:t>5,304,231</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0</w:t>
      </w:r>
    </w:p>
    <w:p>
      <w:pPr>
        <w:spacing w:after="0" w:line="624" w:lineRule="exact"/>
        <w:rPr>
          <w:sz w:val="20"/>
          <w:szCs w:val="20"/>
          <w:color w:val="auto"/>
        </w:rPr>
      </w:pPr>
    </w:p>
    <w:p>
      <w:pPr>
        <w:sectPr>
          <w:pgSz w:w="11900" w:h="16838" w:orient="portrait"/>
          <w:cols w:equalWidth="0" w:num="2">
            <w:col w:w="6600" w:space="260"/>
            <w:col w:w="4160"/>
          </w:cols>
          <w:pgMar w:left="400" w:top="423" w:right="479" w:bottom="0" w:gutter="0" w:footer="0" w:header="0"/>
          <w:type w:val="continuous"/>
        </w:sectPr>
      </w:pPr>
    </w:p>
    <w:p>
      <w:pPr>
        <w:ind w:left="920" w:right="300"/>
        <w:spacing w:after="0" w:line="274" w:lineRule="auto"/>
        <w:rPr>
          <w:sz w:val="20"/>
          <w:szCs w:val="20"/>
          <w:color w:val="auto"/>
        </w:rPr>
      </w:pPr>
      <w:r>
        <w:rPr>
          <w:rFonts w:ascii="Arial" w:cs="Arial" w:eastAsia="Arial" w:hAnsi="Arial"/>
          <w:sz w:val="21"/>
          <w:szCs w:val="21"/>
          <w:color w:val="auto"/>
        </w:rPr>
        <w:t>If this statement is being filed to report the fact that as of the date hereof the reporting person has ceased to be the beneficial owner of more than five percent of the class of securities, check the following: [ ]</w:t>
      </w:r>
    </w:p>
    <w:p>
      <w:pPr>
        <w:sectPr>
          <w:pgSz w:w="11900" w:h="16838" w:orient="portrait"/>
          <w:cols w:equalWidth="0" w:num="1">
            <w:col w:w="11020"/>
          </w:cols>
          <w:pgMar w:left="400" w:top="423" w:right="479" w:bottom="0" w:gutter="0" w:footer="0" w:header="0"/>
          <w:type w:val="continuous"/>
        </w:sectPr>
      </w:pPr>
    </w:p>
    <w:bookmarkStart w:id="3" w:name="page4"/>
    <w:bookmarkEnd w:id="3"/>
    <w:p>
      <w:pPr>
        <w:spacing w:after="0"/>
        <w:tabs>
          <w:tab w:leader="none" w:pos="90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132"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ind w:left="920" w:right="360" w:hanging="903"/>
        <w:spacing w:after="0" w:line="256" w:lineRule="auto"/>
        <w:tabs>
          <w:tab w:leader="none" w:pos="900" w:val="left"/>
        </w:tabs>
        <w:rPr>
          <w:sz w:val="20"/>
          <w:szCs w:val="20"/>
          <w:color w:val="auto"/>
        </w:rPr>
      </w:pPr>
      <w:r>
        <w:rPr>
          <w:rFonts w:ascii="Arial" w:cs="Arial" w:eastAsia="Arial" w:hAnsi="Arial"/>
          <w:sz w:val="22"/>
          <w:szCs w:val="22"/>
          <w:b w:val="1"/>
          <w:bCs w:val="1"/>
          <w:color w:val="auto"/>
        </w:rPr>
        <w:t>Item 7.</w:t>
        <w:tab/>
        <w:t>Identification and Classification of the Subsidiary Which Acquired the Security Being Reported on by the Parent Holding Company.</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8.</w:t>
      </w:r>
      <w:r>
        <w:rPr>
          <w:sz w:val="20"/>
          <w:szCs w:val="20"/>
          <w:color w:val="auto"/>
        </w:rPr>
        <w:tab/>
      </w:r>
      <w:r>
        <w:rPr>
          <w:rFonts w:ascii="Arial" w:cs="Arial" w:eastAsia="Arial" w:hAnsi="Arial"/>
          <w:sz w:val="19"/>
          <w:szCs w:val="19"/>
          <w:b w:val="1"/>
          <w:bCs w:val="1"/>
          <w:color w:val="auto"/>
        </w:rPr>
        <w:t>Identification and Classification of Members of the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Not Applicable</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10.  Certification.</w:t>
      </w:r>
    </w:p>
    <w:p>
      <w:pPr>
        <w:spacing w:after="0" w:line="239" w:lineRule="exact"/>
        <w:rPr>
          <w:sz w:val="20"/>
          <w:szCs w:val="20"/>
          <w:color w:val="auto"/>
        </w:rPr>
      </w:pPr>
    </w:p>
    <w:p>
      <w:pPr>
        <w:ind w:left="920"/>
        <w:spacing w:after="0" w:line="287" w:lineRule="auto"/>
        <w:rPr>
          <w:sz w:val="20"/>
          <w:szCs w:val="20"/>
          <w:color w:val="auto"/>
        </w:rPr>
      </w:pPr>
      <w:r>
        <w:rPr>
          <w:rFonts w:ascii="Arial" w:cs="Arial" w:eastAsia="Arial" w:hAnsi="Arial"/>
          <w:sz w:val="19"/>
          <w:szCs w:val="19"/>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00"/>
          </w:cols>
          <w:pgMar w:left="400" w:top="112" w:right="49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4" w:lineRule="exact"/>
        <w:rPr>
          <w:sz w:val="20"/>
          <w:szCs w:val="20"/>
          <w:color w:val="auto"/>
        </w:rPr>
      </w:pPr>
    </w:p>
    <w:p>
      <w:pPr>
        <w:ind w:left="60" w:right="199"/>
        <w:spacing w:after="0" w:line="250"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256" w:lineRule="exact"/>
        <w:rPr>
          <w:sz w:val="20"/>
          <w:szCs w:val="20"/>
          <w:color w:val="auto"/>
        </w:rPr>
      </w:pPr>
    </w:p>
    <w:p>
      <w:pPr>
        <w:ind w:left="600"/>
        <w:spacing w:after="0"/>
        <w:rPr>
          <w:sz w:val="20"/>
          <w:szCs w:val="20"/>
          <w:color w:val="auto"/>
        </w:rPr>
      </w:pPr>
      <w:r>
        <w:rPr>
          <w:rFonts w:ascii="Arial" w:cs="Arial" w:eastAsia="Arial" w:hAnsi="Arial"/>
          <w:sz w:val="22"/>
          <w:szCs w:val="22"/>
          <w:color w:val="auto"/>
        </w:rPr>
        <w:t>Massachusetts Financial Services Company</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Robert R. Flaherty</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Date: May 07, 2021</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Name: Robert R. Flaherty</w:t>
      </w:r>
    </w:p>
    <w:p>
      <w:pPr>
        <w:spacing w:after="0" w:line="44" w:lineRule="exact"/>
        <w:rPr>
          <w:sz w:val="20"/>
          <w:szCs w:val="20"/>
          <w:color w:val="auto"/>
        </w:rPr>
      </w:pPr>
    </w:p>
    <w:p>
      <w:pPr>
        <w:ind w:left="600"/>
        <w:spacing w:after="0"/>
        <w:rPr>
          <w:sz w:val="20"/>
          <w:szCs w:val="20"/>
          <w:color w:val="auto"/>
        </w:rPr>
      </w:pPr>
      <w:r>
        <w:rPr>
          <w:rFonts w:ascii="Arial" w:cs="Arial" w:eastAsia="Arial" w:hAnsi="Arial"/>
          <w:sz w:val="22"/>
          <w:szCs w:val="22"/>
          <w:color w:val="auto"/>
        </w:rPr>
        <w:t>Title: Vice President</w:t>
      </w:r>
    </w:p>
    <w:sectPr>
      <w:pgSz w:w="11900" w:h="16838" w:orient="portrait"/>
      <w:cols w:equalWidth="0" w:num="1">
        <w:col w:w="9019"/>
      </w:cols>
      <w:pgMar w:left="1440" w:top="40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14"/>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2021-05-07T09:41:59Z</dcterms:created>
  <dcterms:modified xsi:type="dcterms:W3CDTF">2021-05-07T09:41:59Z</dcterms:modified>
</cp:coreProperties>
</file>