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October 2024</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6"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This report on Form 6-K is hereby incorporated by reference in the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registration statement on Form S-8 (Registration No. 333-257578) of ICON plc and registration statement on Form F-3 (Registration No. 333-278943)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September 30, 2024 we had approximately 42,250 employees in 106 locations in 55 countries. During the nine months ended September 30, 2024 we derived 37.8%, 50.7% and 11.5% of our revenue in the United States, Europe and Rest of World respectively (during the nine months ended September 30, 2023: 41.7%, 47.5% and 10.8% respectively).</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Board of Directors composition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23, 2024, Ms. Joan Garahy retired from the Board of Directors and Ms. Anne Whitaker was appointed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Leadership transition</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On April 3, 2024, the Company announced that Chief Financial Officer (“CFO”), Mr. Brendan Brennan, will leave his role at ICON in the fourth quarter of 2024 for a new opportunity outside of the CRO industry. On August 14, 2024, the Company announced the appointment of Mr. Nigel Clerkin as its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new CFO. Mr. Nigel Clerkin commenced employment with the Company in October 2024 and effective October 31, 2024 will take over from Mr. Brendan Brennan as CFO.</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During the three months ended September 30, 2024, 337,070 ordinary shares were redeemed by the Company for a total consideration of $100.0 million.</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October 22, 2024, the Company's Board of Directors authorized an additional buyback program of up to $250.0 million of the outstanding ordinary shares of the Company. Along with unutilized amounts under the authorization of February 20, 2024, this permits the Company to repurchase up to $650.0 million worth of ordinary shares.</w:t>
      </w:r>
    </w:p>
    <w:p>
      <w:pPr>
        <w:spacing w:after="0" w:line="20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resolution was passed at the Company’s Annual General Meeting (“AGM”) on July 23, 2024, which renewed the authorization for the Directors to purchase (buyback) up to 10% of the outstanding shares in the Company. All ordinary shares that were repurchased under the buyback program were canceled in accordance with the constitution of the Company and the nominal value of these shares transferred to other undenominated capital as required by Irish Company law.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New Notes</w:t>
      </w:r>
    </w:p>
    <w:p>
      <w:pPr>
        <w:spacing w:after="0" w:line="23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On May 8, 2024, ICON Investments Six Designated Activity Company (the "Issuer"), a wholly-owned subsidiary of ICON plc, issued $2 billion of Senior Secured Notes ("the New Notes"). The New Notes were issued in aggregate principal amounts of: $750 million 5.809% Senior Secured Notes due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 (See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for further details). On July 10, 2024, the New Notes were admitted to the Official List (the “Official List”) of The International Stock Exchange (the “Exchange”).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i w:val="1"/>
          <w:iCs w:val="1"/>
          <w:color w:val="auto"/>
        </w:rPr>
        <w:t>Repricing - senior secured term loan facility and senior secured revolving credit facility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 2021, and in connection with the PRA merger, ICON plc and certain subsidiaries entered into a credit agreement (the “Credit</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Agreement”) which provided for a senior secured term loan facility of $5,515 million and a senior secured revolving credit facility in an initial aggregate amount of $300 million (subsequently increased on May 2, 2023 to $500 million).</w:t>
      </w: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On March 14, 2024, the parties to the Credit Agreement entered into the Third Amendment to the Credit Agreement (the “Third Amendment”) in connection with the repricing of the senior secured term loan facility and the senior secured revolving credit facility.</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utilization fee increased by 15 basis points, dependent on amount utilized.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1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During the quarter ended September 30, 2024, the Company made mandatory principal repayments of $7.4 million (nine months ended September 30, 2024: mandatory and voluntary repayments of $2,297.3 million) of the senior secured term loan facility. The voluntary repayments made during the nine months ended September 30, 2024 resulted in an accelerated charge associated with previously capitalized fees of $16.9 million.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during the quarter ended September 30, 2024, the Company drew $50.0 million (nine months ended September 30, 2024:</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$243.0 million) of the senior secured revolving loan facility and repaid $50.0 million (nine months ended September 30, 2024: $298.0 million). At</w:t>
      </w:r>
    </w:p>
    <w:p>
      <w:pPr>
        <w:spacing w:after="0" w:line="1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 xml:space="preserve">September 30, 2024, $nil was drawn under the senior secured revolving loan facility. Refer to </w:t>
      </w:r>
      <w:r>
        <w:rPr>
          <w:rFonts w:ascii="Arial" w:cs="Arial" w:eastAsia="Arial" w:hAnsi="Arial"/>
          <w:sz w:val="16"/>
          <w:szCs w:val="16"/>
          <w:i w:val="1"/>
          <w:iCs w:val="1"/>
          <w:color w:val="auto"/>
        </w:rPr>
        <w:t>note 10. Bank credit lines, loan facilities and notes</w:t>
      </w:r>
      <w:r>
        <w:rPr>
          <w:rFonts w:ascii="Arial" w:cs="Arial" w:eastAsia="Arial" w:hAnsi="Arial"/>
          <w:sz w:val="16"/>
          <w:szCs w:val="16"/>
          <w:color w:val="auto"/>
        </w:rPr>
        <w:t xml:space="preserve"> for further details on the Company's Senior Secured Credit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continues to result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 during the nine months ended September 30, 2024.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 and the conflict area in the Middle East</w:t>
      </w:r>
    </w:p>
    <w:p>
      <w:pPr>
        <w:spacing w:after="0" w:line="24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242829"/>
        </w:rPr>
        <w:t xml:space="preserve">We are all saddened by the continuing developments in </w:t>
      </w:r>
      <w:r>
        <w:rPr>
          <w:rFonts w:ascii="Arial" w:cs="Arial" w:eastAsia="Arial" w:hAnsi="Arial"/>
          <w:sz w:val="16"/>
          <w:szCs w:val="16"/>
          <w:color w:val="000000"/>
        </w:rPr>
        <w:t>Israel and the conflict area in</w:t>
      </w:r>
      <w:r>
        <w:rPr>
          <w:rFonts w:ascii="Arial" w:cs="Arial" w:eastAsia="Arial" w:hAnsi="Arial"/>
          <w:sz w:val="16"/>
          <w:szCs w:val="16"/>
          <w:color w:val="242829"/>
        </w:rPr>
        <w:t xml:space="preserve"> the Middle East. </w:t>
      </w:r>
      <w:r>
        <w:rPr>
          <w:rFonts w:ascii="Arial" w:cs="Arial" w:eastAsia="Arial" w:hAnsi="Arial"/>
          <w:sz w:val="16"/>
          <w:szCs w:val="16"/>
          <w:color w:val="000000"/>
        </w:rPr>
        <w:t>The Company's key focus continues to be on</w:t>
      </w:r>
      <w:r>
        <w:rPr>
          <w:rFonts w:ascii="Arial" w:cs="Arial" w:eastAsia="Arial" w:hAnsi="Arial"/>
          <w:sz w:val="16"/>
          <w:szCs w:val="16"/>
          <w:color w:val="242829"/>
        </w:rPr>
        <w:t xml:space="preserve"> </w:t>
      </w:r>
      <w:r>
        <w:rPr>
          <w:rFonts w:ascii="Arial" w:cs="Arial" w:eastAsia="Arial" w:hAnsi="Arial"/>
          <w:sz w:val="16"/>
          <w:szCs w:val="16"/>
          <w:color w:val="000000"/>
        </w:rPr>
        <w:t>the safety of our employees and their families, patients, investigators and on the mitigation of adverse impacts on ongoing clinical trials. The Company has worked to ensure the safety of employees and their families through the implementation of a number of employee assistance programs. The team have been advised to work remotely as they continue to support our customers’ studies. The financial impact of the conflict was not material to the Company during the nine months ended September 30, 2024.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exchange translation</w:t>
      </w:r>
    </w:p>
    <w:p>
      <w:pPr>
        <w:spacing w:after="0" w:line="1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 w:name="page5"/>
    <w:bookmarkEnd w:id="4"/>
    <w:p>
      <w:pPr>
        <w:ind w:left="53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AT SEPTEMBER 30, 2024 AND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(Audited)</w:t>
            </w:r>
          </w:p>
        </w:tc>
      </w:tr>
      <w:tr>
        <w:trPr>
          <w:trHeight w:val="156"/>
        </w:trPr>
        <w:tc>
          <w:tcPr>
            <w:tcW w:w="7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7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695,507</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378,102</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Available for sale investments</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credit losses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1,396,080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Unbilled revenue</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1,361,198</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951,936</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82,760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65,797</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Prepayments and other current assets</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140,536</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132,105</w:t>
            </w:r>
          </w:p>
        </w:tc>
      </w:tr>
      <w:tr>
        <w:trPr>
          <w:trHeight w:val="216"/>
        </w:trPr>
        <w:tc>
          <w:tcPr>
            <w:tcW w:w="7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0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102,931</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91,254</w:t>
            </w:r>
          </w:p>
        </w:tc>
      </w:tr>
      <w:tr>
        <w:trPr>
          <w:trHeight w:val="209"/>
        </w:trPr>
        <w:tc>
          <w:tcPr>
            <w:tcW w:w="710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3,779,012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3,411,470</w:t>
            </w:r>
          </w:p>
        </w:tc>
      </w:tr>
      <w:tr>
        <w:trPr>
          <w:trHeight w:val="163"/>
        </w:trPr>
        <w:tc>
          <w:tcPr>
            <w:tcW w:w="7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365,726</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361,184</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9,085,447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9,022,075</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 assets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3,605,814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3,855,865</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Operating right-of-use assets</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156,955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140,333</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88,445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78,470</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Deferred tax asset</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75,993</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73,662</w:t>
            </w:r>
          </w:p>
        </w:tc>
      </w:tr>
      <w:tr>
        <w:trPr>
          <w:trHeight w:val="216"/>
        </w:trPr>
        <w:tc>
          <w:tcPr>
            <w:tcW w:w="7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Investments in equity</w:t>
            </w:r>
          </w:p>
        </w:tc>
        <w:tc>
          <w:tcPr>
            <w:tcW w:w="10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53,720</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r>
      <w:tr>
        <w:trPr>
          <w:trHeight w:val="21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17,211,112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16,989,863</w:t>
            </w: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4"/>
        </w:trPr>
        <w:tc>
          <w:tcPr>
            <w:tcW w:w="7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106,172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131,584</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Unearned revenue</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1,585,257</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1,654,507</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1,045,134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915,399</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52,585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w:t>
            </w:r>
          </w:p>
        </w:tc>
      </w:tr>
      <w:tr>
        <w:trPr>
          <w:trHeight w:val="215"/>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Current bank credit lines, loan facilities and notes</w:t>
            </w: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29,762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110,150</w:t>
            </w:r>
          </w:p>
        </w:tc>
      </w:tr>
      <w:tr>
        <w:trPr>
          <w:trHeight w:val="210"/>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2,818,910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2,825,608</w:t>
            </w:r>
          </w:p>
        </w:tc>
      </w:tr>
      <w:tr>
        <w:trPr>
          <w:trHeight w:val="216"/>
        </w:trPr>
        <w:tc>
          <w:tcPr>
            <w:tcW w:w="7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Non-current bank credit lines, loan facilities and notes</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3,402,368</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3,665,439</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145,714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126,321</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Non-current other liabilities</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50,157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45,998</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income taxes payable</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201,135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186,654</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Deferred tax liability</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818,329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899,100</w:t>
            </w:r>
          </w:p>
        </w:tc>
      </w:tr>
      <w:tr>
        <w:trPr>
          <w:trHeight w:val="216"/>
        </w:trPr>
        <w:tc>
          <w:tcPr>
            <w:tcW w:w="7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Commitments and contingencies</w:t>
            </w:r>
          </w:p>
        </w:tc>
        <w:tc>
          <w:tcPr>
            <w:tcW w:w="10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1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7,436,613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7,749,120</w:t>
            </w:r>
          </w:p>
        </w:tc>
      </w:tr>
      <w:tr>
        <w:trPr>
          <w:trHeight w:val="197"/>
        </w:trPr>
        <w:tc>
          <w:tcPr>
            <w:tcW w:w="7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82,559,366 shares issued and outstanding at September 30, 2024 and</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82,495,086 shares issued and outstanding at December 31, 2023</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6,703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7,011,547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6,942,669</w:t>
            </w:r>
          </w:p>
        </w:tc>
      </w:tr>
      <w:tr>
        <w:trPr>
          <w:trHeight w:val="217"/>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undenominated capital</w:t>
            </w: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1,184</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15"/>
        </w:trPr>
        <w:tc>
          <w:tcPr>
            <w:tcW w:w="710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(110,062)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(143,506)</w:t>
            </w:r>
          </w:p>
        </w:tc>
      </w:tr>
      <w:tr>
        <w:trPr>
          <w:trHeight w:val="216"/>
        </w:trPr>
        <w:tc>
          <w:tcPr>
            <w:tcW w:w="7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0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2,865,127</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r>
      <w:tr>
        <w:trPr>
          <w:trHeight w:val="210"/>
        </w:trPr>
        <w:tc>
          <w:tcPr>
            <w:tcW w:w="71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Shareholders' Equity</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9,774,499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9,240,743</w:t>
            </w:r>
          </w:p>
        </w:tc>
      </w:tr>
      <w:tr>
        <w:trPr>
          <w:trHeight w:val="235"/>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17,211,112</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16,989,863</w:t>
            </w: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060"/>
          </w:cols>
          <w:pgMar w:left="420" w:top="70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706" w:right="41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NINE MONTHS ENDED SEPTEMBER 30, 2024 AND SEPTEMBER 30, 2023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4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4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760" w:type="dxa"/>
            <w:vAlign w:val="bottom"/>
            <w:gridSpan w:val="6"/>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40" w:type="dxa"/>
            <w:vAlign w:val="bottom"/>
            <w:shd w:val="clear" w:color="auto" w:fill="CCEEFF"/>
          </w:tcPr>
          <w:p>
            <w:pPr>
              <w:spacing w:after="0"/>
              <w:rPr>
                <w:sz w:val="18"/>
                <w:szCs w:val="18"/>
                <w:color w:val="auto"/>
              </w:rPr>
            </w:pPr>
          </w:p>
        </w:tc>
      </w:tr>
      <w:tr>
        <w:trPr>
          <w:trHeight w:val="270"/>
        </w:trPr>
        <w:tc>
          <w:tcPr>
            <w:tcW w:w="4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2,030,030</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2,055,099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6,240,575</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6,053,928</w:t>
            </w:r>
          </w:p>
        </w:tc>
      </w:tr>
      <w:tr>
        <w:trPr>
          <w:trHeight w:val="270"/>
        </w:trPr>
        <w:tc>
          <w:tcPr>
            <w:tcW w:w="4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720" w:type="dxa"/>
            <w:vAlign w:val="bottom"/>
          </w:tcPr>
          <w:p>
            <w:pPr>
              <w:ind w:left="340"/>
              <w:spacing w:after="0"/>
              <w:rPr>
                <w:sz w:val="20"/>
                <w:szCs w:val="20"/>
                <w:color w:val="auto"/>
              </w:rPr>
            </w:pPr>
            <w:r>
              <w:rPr>
                <w:rFonts w:ascii="Arial" w:cs="Arial" w:eastAsia="Arial" w:hAnsi="Arial"/>
                <w:sz w:val="16"/>
                <w:szCs w:val="16"/>
                <w:color w:val="auto"/>
              </w:rPr>
              <w:t>Direct costs (excluding depreciation and amortization)</w:t>
            </w:r>
          </w:p>
        </w:tc>
        <w:tc>
          <w:tcPr>
            <w:tcW w:w="3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1,438,616</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1,449,136</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4,403,583</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4,274,222</w:t>
            </w:r>
          </w:p>
        </w:tc>
      </w:tr>
      <w:tr>
        <w:trPr>
          <w:trHeight w:val="217"/>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205,095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185,187</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576,903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572,999</w:t>
            </w:r>
          </w:p>
        </w:tc>
      </w:tr>
      <w:tr>
        <w:trPr>
          <w:trHeight w:val="215"/>
        </w:trPr>
        <w:tc>
          <w:tcPr>
            <w:tcW w:w="47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93,029</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146,032</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391,845</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436,217</w:t>
            </w:r>
          </w:p>
        </w:tc>
      </w:tr>
      <w:tr>
        <w:trPr>
          <w:trHeight w:val="217"/>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7,856</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10,433</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21,667</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34,516</w:t>
            </w:r>
          </w:p>
        </w:tc>
      </w:tr>
      <w:tr>
        <w:trPr>
          <w:trHeight w:val="215"/>
        </w:trPr>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45,789</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45,390</w:t>
            </w:r>
          </w:p>
        </w:tc>
      </w:tr>
      <w:tr>
        <w:trPr>
          <w:trHeight w:val="210"/>
        </w:trPr>
        <w:tc>
          <w:tcPr>
            <w:tcW w:w="4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1,744,596</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1,790,788</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5,439,787</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5,363,344</w:t>
            </w:r>
          </w:p>
        </w:tc>
      </w:tr>
      <w:tr>
        <w:trPr>
          <w:trHeight w:val="251"/>
        </w:trPr>
        <w:tc>
          <w:tcPr>
            <w:tcW w:w="4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285,434</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264,311</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800,788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690,584</w:t>
            </w:r>
          </w:p>
        </w:tc>
      </w:tr>
      <w:tr>
        <w:trPr>
          <w:trHeight w:val="215"/>
        </w:trPr>
        <w:tc>
          <w:tcPr>
            <w:tcW w:w="472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2,434</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1,273</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5,601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3,294</w:t>
            </w:r>
          </w:p>
        </w:tc>
      </w:tr>
      <w:tr>
        <w:trPr>
          <w:trHeight w:val="216"/>
        </w:trPr>
        <w:tc>
          <w:tcPr>
            <w:tcW w:w="4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(53,303)</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(83,908)</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(185,808)</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(255,665)</w:t>
            </w:r>
          </w:p>
        </w:tc>
      </w:tr>
      <w:tr>
        <w:trPr>
          <w:trHeight w:val="251"/>
        </w:trPr>
        <w:tc>
          <w:tcPr>
            <w:tcW w:w="4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234,565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181,676</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620,581</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438,213</w:t>
            </w:r>
          </w:p>
        </w:tc>
      </w:tr>
      <w:tr>
        <w:trPr>
          <w:trHeight w:val="215"/>
        </w:trPr>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(37,437)</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(89,105)</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(41,913)</w:t>
            </w:r>
          </w:p>
        </w:tc>
      </w:tr>
      <w:tr>
        <w:trPr>
          <w:trHeight w:val="251"/>
        </w:trPr>
        <w:tc>
          <w:tcPr>
            <w:tcW w:w="4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Income before share of losses from equity method investments</w:t>
            </w:r>
          </w:p>
        </w:tc>
        <w:tc>
          <w:tcPr>
            <w:tcW w:w="3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197,128</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163,665</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531,476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396,300</w:t>
            </w:r>
          </w:p>
        </w:tc>
      </w:tr>
      <w:tr>
        <w:trPr>
          <w:trHeight w:val="216"/>
        </w:trPr>
        <w:tc>
          <w:tcPr>
            <w:tcW w:w="4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Share of losses from equity method investments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197,128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163,665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531,476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395,917</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8"/>
        </w:trPr>
        <w:tc>
          <w:tcPr>
            <w:tcW w:w="4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Net income per ordinary share (note 13):</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1"/>
        </w:trPr>
        <w:tc>
          <w:tcPr>
            <w:tcW w:w="4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15"/>
        </w:trPr>
        <w:tc>
          <w:tcPr>
            <w:tcW w:w="4720" w:type="dxa"/>
            <w:vAlign w:val="bottom"/>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41"/>
        </w:trPr>
        <w:tc>
          <w:tcPr>
            <w:tcW w:w="4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2"/>
        </w:trPr>
        <w:tc>
          <w:tcPr>
            <w:tcW w:w="4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number of ordinary shares outstanding (note</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0"/>
        </w:trPr>
        <w:tc>
          <w:tcPr>
            <w:tcW w:w="4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4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82,831,300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82,215,627</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82,716,842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82,001,500</w:t>
            </w:r>
          </w:p>
        </w:tc>
      </w:tr>
      <w:tr>
        <w:trPr>
          <w:trHeight w:val="215"/>
        </w:trPr>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83,445,827</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82,972,888</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83,305,441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82,737,073</w:t>
            </w: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92"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2024 AND SEPTEMBER 30, 2023</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4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4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197,128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163,665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531,476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395,917</w:t>
            </w: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69,695</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(38,648)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28,670</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(33,786)</w:t>
            </w:r>
          </w:p>
        </w:tc>
      </w:tr>
      <w:tr>
        <w:trPr>
          <w:trHeight w:val="216"/>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(Loss) / gain on cash flow hedge</w:t>
            </w:r>
          </w:p>
        </w:tc>
        <w:tc>
          <w:tcPr>
            <w:tcW w:w="1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15,134</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266,625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130,003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564,920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377,265</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Accumulated</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Ordinary</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Ordinary</w:t>
            </w: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82,495,086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6,942,669</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(143,506)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2,433,719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9,240,743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(32,040)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164,482</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156,527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16,303</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32,192</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82,683,805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6,970,079</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(166,462)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2,621,157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9,432,647</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146,910</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133,813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87,668</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82,816,600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6,988,736</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(179,559)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2,768,067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9,585,126</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197,128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197,128</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69,695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69,695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266,625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74,151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10,734</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5,685</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12,085</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(337,070)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repurchase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82,559,366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7,011,547</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2,865,127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9,774,499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Number of</w:t>
            </w: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Accumulated</w:t>
            </w: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Ordinary</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Ordinary</w:t>
            </w: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81,723,555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6,840,306</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(171,538)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1,821,384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8,497,963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128,296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68,218</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81,928,422</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6,867,887</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(159,896)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1,938,038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8,653,853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115,598</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(10,638)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(10,638)</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14,006</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118,966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93,304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129,323</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82,151,049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6,891,494</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(156,528)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2,053,636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8,796,440</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163,665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163,665</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(38,648)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(38,648)</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130,003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147,661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16,337</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28,266</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16,256</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82,326,976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6,924,073</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(190,190)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2,217,301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8,959,034</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NINE MONTHS ENDED SEPTEMBER 30, 2024 AND SEPTEMBER 30, 2023</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43"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9951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7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7140" w:type="dxa"/>
            <w:vAlign w:val="bottom"/>
          </w:tcPr>
          <w:p>
            <w:pPr>
              <w:ind w:left="140"/>
              <w:spacing w:after="0"/>
              <w:rPr>
                <w:sz w:val="20"/>
                <w:szCs w:val="20"/>
                <w:color w:val="auto"/>
              </w:rPr>
            </w:pPr>
            <w:r>
              <w:rPr>
                <w:rFonts w:ascii="Arial" w:cs="Arial" w:eastAsia="Arial" w:hAnsi="Arial"/>
                <w:sz w:val="16"/>
                <w:szCs w:val="16"/>
                <w:b w:val="1"/>
                <w:bCs w:val="1"/>
                <w:color w:val="auto"/>
              </w:rPr>
              <w:t>Cash flows provided by operating activities:</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531,476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395,917</w:t>
            </w:r>
          </w:p>
        </w:tc>
      </w:tr>
      <w:tr>
        <w:trPr>
          <w:trHeight w:val="54"/>
        </w:trPr>
        <w:tc>
          <w:tcPr>
            <w:tcW w:w="7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391,845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436,217</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operating right-of-use assets and related property, plant and equipment</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29,820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33,979</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equity method investments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Acquisition-related gain</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(6,160)</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12,485</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41,183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47,303</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benefit</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(114,487)</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Unrealized foreign exchange movements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34,018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(7,670)</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21,966</w:t>
            </w:r>
          </w:p>
        </w:tc>
      </w:tr>
      <w:tr>
        <w:trPr>
          <w:trHeight w:val="215"/>
        </w:trPr>
        <w:tc>
          <w:tcPr>
            <w:tcW w:w="71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352,795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(139,096)</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Unbilled revenue</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(423,533)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14,370</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Unearned revenue</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(72,930)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158,269</w:t>
            </w:r>
          </w:p>
        </w:tc>
      </w:tr>
      <w:tr>
        <w:trPr>
          <w:trHeight w:val="215"/>
        </w:trPr>
        <w:tc>
          <w:tcPr>
            <w:tcW w:w="71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 assets</w:t>
            </w: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88,790</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(141,425)</w:t>
            </w:r>
          </w:p>
        </w:tc>
      </w:tr>
      <w:tr>
        <w:trPr>
          <w:trHeight w:val="210"/>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948,338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720,896</w:t>
            </w:r>
          </w:p>
        </w:tc>
      </w:tr>
      <w:tr>
        <w:trPr>
          <w:trHeight w:val="54"/>
        </w:trPr>
        <w:tc>
          <w:tcPr>
            <w:tcW w:w="7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used in investing activities: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(106,772)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(87,980)</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subsidiary undertakings (net of cash acquired)</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(85,629)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Movement of available for sale investments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1,954</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investments in equity</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Purchase of investments in equity</w:t>
            </w: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(10,131)</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(10,829)</w:t>
            </w:r>
          </w:p>
        </w:tc>
      </w:tr>
      <w:tr>
        <w:trPr>
          <w:trHeight w:val="210"/>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(197,907)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(104,150)</w:t>
            </w:r>
          </w:p>
        </w:tc>
      </w:tr>
      <w:tr>
        <w:trPr>
          <w:trHeight w:val="54"/>
        </w:trPr>
        <w:tc>
          <w:tcPr>
            <w:tcW w:w="7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used in financing activities: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New Notes issue costs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(12,678)</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Drawdown of credit lines and loan facilities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2,242,480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305,000</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Repayment of credit lines and loan facilities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(2,595,323)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(930,000)</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36,517</w:t>
            </w:r>
          </w:p>
        </w:tc>
      </w:tr>
      <w:tr>
        <w:trPr>
          <w:trHeight w:val="215"/>
        </w:trPr>
        <w:tc>
          <w:tcPr>
            <w:tcW w:w="7140" w:type="dxa"/>
            <w:vAlign w:val="bottom"/>
          </w:tcPr>
          <w:p>
            <w:pPr>
              <w:ind w:left="220"/>
              <w:spacing w:after="0"/>
              <w:rPr>
                <w:sz w:val="20"/>
                <w:szCs w:val="20"/>
                <w:color w:val="auto"/>
              </w:rPr>
            </w:pPr>
            <w:r>
              <w:rPr>
                <w:rFonts w:ascii="Arial" w:cs="Arial" w:eastAsia="Arial" w:hAnsi="Arial"/>
                <w:sz w:val="16"/>
                <w:szCs w:val="16"/>
                <w:color w:val="auto"/>
              </w:rPr>
              <w:t>Share issue costs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ordinary shares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Share repurchase costs</w:t>
            </w:r>
          </w:p>
        </w:tc>
        <w:tc>
          <w:tcPr>
            <w:tcW w:w="1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financing activities</w:t>
            </w:r>
          </w:p>
        </w:tc>
        <w:tc>
          <w:tcPr>
            <w:tcW w:w="10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(433,227)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(588,497)</w:t>
            </w:r>
          </w:p>
        </w:tc>
      </w:tr>
      <w:tr>
        <w:trPr>
          <w:trHeight w:val="54"/>
        </w:trPr>
        <w:tc>
          <w:tcPr>
            <w:tcW w:w="7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5"/>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0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(3,952)</w:t>
            </w:r>
          </w:p>
        </w:tc>
      </w:tr>
      <w:tr>
        <w:trPr>
          <w:trHeight w:val="210"/>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0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317,405</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24,297</w:t>
            </w:r>
          </w:p>
        </w:tc>
      </w:tr>
      <w:tr>
        <w:trPr>
          <w:trHeight w:val="215"/>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288,768</w:t>
            </w:r>
          </w:p>
        </w:tc>
      </w:tr>
      <w:tr>
        <w:trPr>
          <w:trHeight w:val="21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695,507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313,065</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692"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2024</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2023 (see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Operating results for the nine months ended September 30, 2024 are not necessarily indicative of the results that may be expected for the fiscal period ending December 31, 2024.</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 reimbursable expenses) at each reporting period as a percentage of forecasted total project costs.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Consulting services revenue</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3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Pr>
          <w:p>
            <w:pPr>
              <w:ind w:left="660"/>
              <w:spacing w:after="0"/>
              <w:rPr>
                <w:sz w:val="20"/>
                <w:szCs w:val="20"/>
                <w:color w:val="auto"/>
              </w:rPr>
            </w:pPr>
            <w:r>
              <w:rPr>
                <w:rFonts w:ascii="Arial" w:cs="Arial" w:eastAsia="Arial" w:hAnsi="Arial"/>
                <w:sz w:val="16"/>
                <w:szCs w:val="16"/>
                <w:color w:val="auto"/>
              </w:rPr>
              <w:t>Intangible assets are amortized on a straight-line basis over their estimated useful lives, as set forth in the table below:</w:t>
            </w:r>
          </w:p>
        </w:tc>
        <w:tc>
          <w:tcPr>
            <w:tcW w:w="1880" w:type="dxa"/>
            <w:vAlign w:val="bottom"/>
          </w:tcPr>
          <w:p>
            <w:pPr>
              <w:spacing w:after="0"/>
              <w:rPr>
                <w:sz w:val="18"/>
                <w:szCs w:val="18"/>
                <w:color w:val="auto"/>
              </w:rPr>
            </w:pPr>
          </w:p>
        </w:tc>
      </w:tr>
      <w:tr>
        <w:trPr>
          <w:trHeight w:val="258"/>
        </w:trPr>
        <w:tc>
          <w:tcPr>
            <w:tcW w:w="934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16"/>
        </w:trPr>
        <w:tc>
          <w:tcPr>
            <w:tcW w:w="9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80" w:type="dxa"/>
            <w:vAlign w:val="bottom"/>
          </w:tcPr>
          <w:p>
            <w:pPr>
              <w:jc w:val="right"/>
              <w:spacing w:after="0"/>
              <w:rPr>
                <w:sz w:val="20"/>
                <w:szCs w:val="20"/>
                <w:color w:val="auto"/>
              </w:rPr>
            </w:pPr>
            <w:r>
              <w:rPr>
                <w:rFonts w:ascii="Arial" w:cs="Arial" w:eastAsia="Arial" w:hAnsi="Arial"/>
                <w:sz w:val="16"/>
                <w:szCs w:val="16"/>
                <w:color w:val="auto"/>
              </w:rPr>
              <w:t>16 - 23 years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18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periodically assesses the estimated useful lives of intangible assets to evaluate whether what was established at acquisition continues to be appropriate.</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issued but not adopted as of September 30, 2024</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2023, the Financial Accounting Standards Board (“FASB”) issued Accounting Standards Update (“ASU”) 2023-07, Segment Reporting</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Improvements to Reportable Segment Disclosures (“ASU 2023-07”), which amends the guidance in ASC Topic 280, Segment Reporting. The amended guidance requires disclosure of significant segment expenses and other segment items on an annual and interim basis. Furthermore, all disclosures about a reportable segment’s profit or loss, which are currently required annually, will be mandated for interim periods. The additional disclosures required by ASU 2023-07 apply to entities with a single reportable segment. The amended guidance is effective for fiscal periods beginning after December 15, 2023, and for interim periods within fiscal years beginning after December 15, 2024, with retrospective application required. The Company is currently evaluating the impact of this ASU on disclosures within its consolidated financial statements.</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December 2023, the FASB issued ASU 2023-09, Improvements to Income Tax Disclosures, which requires disaggregated information about an entity’s effective tax rate reconciliation and additional discloses on income taxes paid. The new requirements are effective for annual periods beginning after December 15, 2024. The guidance is to be applied prospectively, with an option for retrospective application. The Company is currently evaluating the impact of this new guidance on disclosures within its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concentration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3"/>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Clients 1-5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502,589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527,345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1,557,636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1,615,713</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321,939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961,059</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868,753</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453,206</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448,428</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1,335,324</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1,267,750</w:t>
            </w:r>
          </w:p>
        </w:tc>
      </w:tr>
      <w:tr>
        <w:trPr>
          <w:trHeight w:val="216"/>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752,296</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776,919</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2,386,556</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2,301,712</w:t>
            </w:r>
          </w:p>
        </w:tc>
      </w:tr>
      <w:tr>
        <w:trPr>
          <w:trHeight w:val="20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2,030,030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2,055,099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6,240,575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6,053,928</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4. Accounts receivable, unbilled revenue (contract assets) and unearned revenue or payments on account (contract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receivables and unbilled revenue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shd w:val="clear" w:color="auto" w:fill="CCEEFF"/>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0" w:type="dxa"/>
            <w:vAlign w:val="bottom"/>
            <w:tcBorders>
              <w:bottom w:val="single" w:sz="8" w:color="auto"/>
            </w:tcBorders>
            <w:shd w:val="clear" w:color="auto" w:fill="CCEEFF"/>
          </w:tcPr>
          <w:p>
            <w:pPr>
              <w:spacing w:after="0"/>
              <w:rPr>
                <w:sz w:val="18"/>
                <w:szCs w:val="18"/>
                <w:color w:val="auto"/>
              </w:rPr>
            </w:pPr>
          </w:p>
        </w:tc>
        <w:tc>
          <w:tcPr>
            <w:tcW w:w="4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9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Billed services (accounts receivable)</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1,431,581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1,821,855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Allowance for credit losses</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(31,533)</w:t>
            </w: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1,396,080</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Unbilled services (unbilled revenue)</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1,361,198</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951,936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 net</w:t>
            </w:r>
          </w:p>
        </w:tc>
        <w:tc>
          <w:tcPr>
            <w:tcW w:w="1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2,757,278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2,742,258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9680" w:type="dxa"/>
            <w:vAlign w:val="bottom"/>
            <w:tcBorders>
              <w:top w:val="single" w:sz="8" w:color="CCEEFF"/>
              <w:bottom w:val="single" w:sz="8" w:color="auto"/>
            </w:tcBorders>
            <w:gridSpan w:val="7"/>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0" w:type="dxa"/>
            <w:vAlign w:val="bottom"/>
          </w:tcPr>
          <w:p>
            <w:pPr>
              <w:spacing w:after="0"/>
              <w:rPr>
                <w:sz w:val="24"/>
                <w:szCs w:val="24"/>
                <w:color w:val="auto"/>
              </w:rPr>
            </w:pPr>
          </w:p>
        </w:tc>
        <w:tc>
          <w:tcPr>
            <w:tcW w:w="9680" w:type="dxa"/>
            <w:vAlign w:val="bottom"/>
            <w:gridSpan w:val="7"/>
          </w:tcPr>
          <w:p>
            <w:pPr>
              <w:jc w:val="right"/>
              <w:ind w:right="899"/>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3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 Change</w:t>
            </w: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rPr>
              <w:t>(in thousands, except percentages)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services (unbilled revenue)</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1,361,198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951,936</w:t>
            </w:r>
          </w:p>
        </w:tc>
        <w:tc>
          <w:tcPr>
            <w:tcW w:w="30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409,262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Unearned revenue (payments on account)</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(1,585,257)</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(1,654,507)</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69,250</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19"/>
                <w:szCs w:val="19"/>
                <w:color w:val="auto"/>
              </w:rPr>
            </w:pPr>
          </w:p>
        </w:tc>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(702,571)</w:t>
            </w:r>
          </w:p>
        </w:tc>
        <w:tc>
          <w:tcPr>
            <w:tcW w:w="300" w:type="dxa"/>
            <w:vAlign w:val="bottom"/>
            <w:tcBorders>
              <w:bottom w:val="single" w:sz="8" w:color="auto"/>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478,512</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Unbilled services as at September 30, 2024 increased by $409.3 million compared to December 31, 2023. Unearned revenue decreased by $69.3 million over the same period resulting in a decrease of $478.5 million in the net balance of unbilled services and unearned revenue or payments on account between December 31, 2023 and September 30, 2024.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September 30, 2024, approximately $15.5 billion (September 30, 2023: $14.3 billion) of revenue is expected to be recognized in the future in respect of unsatisfied performance obligations. The Company expects to recognize revenue on approximately 51% of the unsatisfied performance obligations over the next 12 months (September 30, 2023: 51%),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5. Goodwill</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Nine Months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r>
      <w:tr>
        <w:trPr>
          <w:trHeight w:val="216"/>
        </w:trPr>
        <w:tc>
          <w:tcPr>
            <w:tcW w:w="822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Ended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r>
      <w:tr>
        <w:trPr>
          <w:trHeight w:val="156"/>
        </w:trPr>
        <w:tc>
          <w:tcPr>
            <w:tcW w:w="8220" w:type="dxa"/>
            <w:vAlign w:val="bottom"/>
          </w:tcPr>
          <w:p>
            <w:pPr>
              <w:spacing w:after="0"/>
              <w:rPr>
                <w:sz w:val="13"/>
                <w:szCs w:val="13"/>
                <w:color w:val="auto"/>
              </w:rPr>
            </w:pPr>
          </w:p>
        </w:tc>
        <w:tc>
          <w:tcPr>
            <w:tcW w:w="17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September 30,</w:t>
            </w: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99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Borders>
              <w:top w:val="single" w:sz="8" w:color="auto"/>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Borders>
              <w:top w:val="single" w:sz="8" w:color="auto"/>
            </w:tcBorders>
            <w:shd w:val="clear" w:color="auto" w:fill="CCEEFF"/>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3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9,022,075</w:t>
            </w:r>
          </w:p>
        </w:tc>
        <w:tc>
          <w:tcPr>
            <w:tcW w:w="6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8,971,670</w:t>
            </w: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w:t>
            </w:r>
          </w:p>
        </w:tc>
        <w:tc>
          <w:tcPr>
            <w:tcW w:w="3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52,985</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36,750</w:t>
            </w:r>
          </w:p>
        </w:tc>
      </w:tr>
      <w:tr>
        <w:trPr>
          <w:trHeight w:val="215"/>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13,655</w:t>
            </w:r>
          </w:p>
        </w:tc>
      </w:tr>
      <w:tr>
        <w:trPr>
          <w:trHeight w:val="235"/>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3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9,085,447</w:t>
            </w:r>
          </w:p>
        </w:tc>
        <w:tc>
          <w:tcPr>
            <w:tcW w:w="6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9,022,075</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 charges for the nine months ended September 30, 2024 or the year ended December 31,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HumanFirst Inc.</w:t>
      </w:r>
    </w:p>
    <w:p>
      <w:pPr>
        <w:spacing w:after="0" w:line="11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On January 9, 2024, the Company acquired HumanFirst Inc. ("HumanFirst"), a life sciences technology company in exchange for consideration of $13.3 million. The acquisition of Humanfirst has been accounted for as a business combination in accordance with ASC 805 'Business Combinations'.</w:t>
      </w:r>
    </w:p>
    <w:p>
      <w:pPr>
        <w:spacing w:after="0" w:line="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net cash outflow was $7.8 million comprising initial cash payments of $11.8 million, net of cash acquired of $4.0 million. Deferred consideration of $1.5 million remains unpaid as of September 30, 2024.</w:t>
      </w:r>
    </w:p>
    <w:p>
      <w:pPr>
        <w:spacing w:after="0" w:line="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purchase price allocation, as of the date of acquisition, was based on a preliminary valuation and may be subject to revision. Preliminarily, the HumanFirst acquisition resulted in the initial recognition of goodwill of $2.7 million and a developed technology intangible asset of $9.9 million. Preliminary goodwill arising in connection with the acquisition is primarily attributable to the assembled workforce of HumanFirst.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KCR S.A Group</w:t>
      </w:r>
    </w:p>
    <w:p>
      <w:pPr>
        <w:spacing w:after="0" w:line="12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On August 19, 2024, the Company acquired the KCR S.A Group ("KCR"), a CRO offering full service and functional services partnership ("FSP") clinical trial services, in exchange for consideration of $95.1 million. The acquisition of KCR has been accounted for as a business combination in accordance with ASC 805 'Business Combinations'.</w:t>
      </w:r>
    </w:p>
    <w:p>
      <w:pPr>
        <w:spacing w:after="0" w:line="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net cash outflow was $77.8 million comprising initial cash payments of $89.7 million, net of cash acquired of $11.9 million. Deferred consideration of $1.1 million remains unpaid as of September 30, 2024. The fair value of contingent consideration was estimated at the date of acquisition and amounted to $4.3 million.</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purchase price allocation, as of the date of acquisition, was based on a preliminary valuation and may be subject to revision. Preliminarily, the KCR acquisition resulted in the initial recognition of goodwill of $50.3 million and intangible assets of $30.8 million. Preliminary goodwill arising in connection with the acquisition is primarily attributable to the assembled workforce of KCR and the expected synergies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6. Intangible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Intangible Assets as of September 30, 2024 and December 31, 2023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6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0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78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3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4,119,115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4,090,393</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544,546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541,302</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3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204,666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204,653</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170,501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170,366</w:t>
            </w:r>
          </w:p>
        </w:tc>
      </w:tr>
      <w:tr>
        <w:trPr>
          <w:trHeight w:val="21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3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151,306</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141,257</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3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5,190,134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5,147,971</w:t>
            </w:r>
          </w:p>
        </w:tc>
      </w:tr>
      <w:tr>
        <w:trPr>
          <w:trHeight w:val="21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amortization</w:t>
            </w:r>
          </w:p>
        </w:tc>
        <w:tc>
          <w:tcPr>
            <w:tcW w:w="3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(1,584,320)</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(1,292,106)</w:t>
            </w:r>
          </w:p>
        </w:tc>
      </w:tr>
      <w:tr>
        <w:trPr>
          <w:trHeight w:val="234"/>
        </w:trPr>
        <w:tc>
          <w:tcPr>
            <w:tcW w:w="50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3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3,605,814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3,855,865</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3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nine months ended September 30, 2024, the amortization expense recognized by the Company was $291.0 million (nine months ended September 30, 2023: $343.9 million and year ended December 31, 2023: $459.9 million). The decrease in amortization in the nine months ended September 30, 2024 is the result of Order Backlog ($500.0 million) and Trade Name ($202.0 million) intangible assets recognized with the PRA merger being fully amortized as of July 1, 2024.</w:t>
      </w:r>
    </w:p>
    <w:p>
      <w:pPr>
        <w:spacing w:after="0" w:line="21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On January 9, 2024, the Company acquired HumanFirst. The acquisition resulted in the recognition of a developed technology intangible asset of $9.9 million. Refer to note 5.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for further details.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On August 19, 2024, the Company acquired KCR. The acquisition resulted in the preliminary recognition of intangible assets of $30.8 million. The purchase price allocation, as of the date of acquisition, was based on a preliminary valuation and may be subject to revision. Refer to note 5.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for further details.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Times New Roman" w:cs="Times New Roman" w:eastAsia="Times New Roman" w:hAnsi="Times New Roman"/>
          <w:sz w:val="17"/>
          <w:szCs w:val="17"/>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 measurements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1"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5"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and accounts payable approximate fair value due to the short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right="20" w:firstLine="648"/>
        <w:spacing w:after="0" w:line="286" w:lineRule="auto"/>
        <w:rPr>
          <w:sz w:val="20"/>
          <w:szCs w:val="20"/>
          <w:color w:val="auto"/>
        </w:rPr>
      </w:pPr>
      <w:r>
        <w:rPr>
          <w:rFonts w:ascii="Arial" w:cs="Arial" w:eastAsia="Arial" w:hAnsi="Arial"/>
          <w:sz w:val="16"/>
          <w:szCs w:val="16"/>
          <w:color w:val="auto"/>
        </w:rPr>
        <w:t>As of September 30, 2024, the fair value of the major classes of the Company's assets and liabilities measured at fair value on a recurring basis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Investments</w:t>
            </w: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00" w:type="dxa"/>
            <w:vAlign w:val="bottom"/>
            <w:vMerge w:val="restart"/>
            <w:shd w:val="clear" w:color="auto" w:fill="CCEEFF"/>
          </w:tcPr>
          <w:p>
            <w:pPr>
              <w:ind w:left="5360"/>
              <w:spacing w:after="0"/>
              <w:rPr>
                <w:sz w:val="20"/>
                <w:szCs w:val="20"/>
                <w:color w:val="auto"/>
              </w:rPr>
            </w:pPr>
            <w:r>
              <w:rPr>
                <w:rFonts w:ascii="Arial" w:cs="Arial" w:eastAsia="Arial" w:hAnsi="Arial"/>
                <w:sz w:val="16"/>
                <w:szCs w:val="16"/>
                <w:b w:val="1"/>
                <w:bCs w:val="1"/>
                <w:color w:val="auto"/>
              </w:rPr>
              <w:t>Level 1</w:t>
            </w:r>
          </w:p>
        </w:tc>
        <w:tc>
          <w:tcPr>
            <w:tcW w:w="1320" w:type="dxa"/>
            <w:vAlign w:val="bottom"/>
            <w:vMerge w:val="restart"/>
            <w:shd w:val="clear" w:color="auto" w:fill="CCEEFF"/>
          </w:tcPr>
          <w:p>
            <w:pPr>
              <w:ind w:left="380"/>
              <w:spacing w:after="0"/>
              <w:rPr>
                <w:sz w:val="20"/>
                <w:szCs w:val="20"/>
                <w:color w:val="auto"/>
              </w:rPr>
            </w:pPr>
            <w:r>
              <w:rPr>
                <w:rFonts w:ascii="Arial" w:cs="Arial" w:eastAsia="Arial" w:hAnsi="Arial"/>
                <w:sz w:val="16"/>
                <w:szCs w:val="16"/>
                <w:b w:val="1"/>
                <w:bCs w:val="1"/>
                <w:color w:val="auto"/>
              </w:rPr>
              <w:t>Level 2</w:t>
            </w:r>
          </w:p>
        </w:tc>
        <w:tc>
          <w:tcPr>
            <w:tcW w:w="980" w:type="dxa"/>
            <w:vAlign w:val="bottom"/>
            <w:vMerge w:val="restart"/>
            <w:shd w:val="clear" w:color="auto" w:fill="CCEEFF"/>
          </w:tcPr>
          <w:p>
            <w:pPr>
              <w:ind w:left="380"/>
              <w:spacing w:after="0"/>
              <w:rPr>
                <w:sz w:val="20"/>
                <w:szCs w:val="20"/>
                <w:color w:val="auto"/>
              </w:rPr>
            </w:pPr>
            <w:r>
              <w:rPr>
                <w:rFonts w:ascii="Arial" w:cs="Arial" w:eastAsia="Arial" w:hAnsi="Arial"/>
                <w:sz w:val="16"/>
                <w:szCs w:val="16"/>
                <w:b w:val="1"/>
                <w:bCs w:val="1"/>
                <w:color w:val="auto"/>
              </w:rPr>
              <w:t>Level 3</w:t>
            </w:r>
          </w:p>
        </w:tc>
        <w:tc>
          <w:tcPr>
            <w:tcW w:w="17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Measured at Net</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Asset Value</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Investments in equity* (b)</w:t>
            </w:r>
          </w:p>
        </w:tc>
        <w:tc>
          <w:tcPr>
            <w:tcW w:w="1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50,220</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50,220</w:t>
            </w:r>
          </w:p>
        </w:tc>
      </w:tr>
      <w:tr>
        <w:trPr>
          <w:trHeight w:val="234"/>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9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50,220</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50,220</w:t>
            </w:r>
          </w:p>
        </w:tc>
      </w:tr>
      <w:tr>
        <w:trPr>
          <w:trHeight w:val="20"/>
        </w:trPr>
        <w:tc>
          <w:tcPr>
            <w:tcW w:w="3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*excludes investments in equity securities recorded at cost of $3.5 million which do not qualify for the NAV practical expedient.</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of December 31, 2023, the fair value of the major classes of the Company's assets and liabilities measured at fair value on a recurring basis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Investments</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1</w:t>
            </w: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2</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ind w:left="640"/>
              <w:spacing w:after="0"/>
              <w:rPr>
                <w:sz w:val="20"/>
                <w:szCs w:val="20"/>
                <w:color w:val="auto"/>
              </w:rPr>
            </w:pPr>
            <w:r>
              <w:rPr>
                <w:rFonts w:ascii="Arial" w:cs="Arial" w:eastAsia="Arial" w:hAnsi="Arial"/>
                <w:sz w:val="16"/>
                <w:szCs w:val="16"/>
                <w:b w:val="1"/>
                <w:bCs w:val="1"/>
                <w:color w:val="auto"/>
              </w:rPr>
              <w:t>Level 3</w:t>
            </w:r>
          </w:p>
        </w:tc>
        <w:tc>
          <w:tcPr>
            <w:tcW w:w="1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Measured at Net</w:t>
            </w: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Asset Value</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1,954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Investments in equity (b)</w:t>
            </w: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48,758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instruments (c)</w:t>
            </w:r>
          </w:p>
        </w:tc>
        <w:tc>
          <w:tcPr>
            <w:tcW w:w="1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56"/>
        <w:spacing w:after="0" w:line="304" w:lineRule="auto"/>
        <w:tabs>
          <w:tab w:leader="none" w:pos="89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fair value of highly liquid investments with maturities greater than three months, a minimum "A-" rated fixed term deposit and are based on quoted market prices.</w:t>
      </w:r>
    </w:p>
    <w:p>
      <w:pPr>
        <w:spacing w:after="0" w:line="168" w:lineRule="exact"/>
        <w:rPr>
          <w:rFonts w:ascii="Arial" w:cs="Arial" w:eastAsia="Arial" w:hAnsi="Arial"/>
          <w:sz w:val="16"/>
          <w:szCs w:val="16"/>
          <w:color w:val="auto"/>
        </w:rPr>
      </w:pPr>
    </w:p>
    <w:p>
      <w:pPr>
        <w:jc w:val="both"/>
        <w:ind w:firstLine="656"/>
        <w:spacing w:after="0" w:line="265" w:lineRule="auto"/>
        <w:tabs>
          <w:tab w:leader="none" w:pos="905"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determine the classification of its investments in equity, the Company considered the nature of its investment, the extent of influence over operating and financial decisions and the availability of readily determinable fair values. The Company determined that certain interests in funds meet the definition of equity securities without readily determinable fair values, which qualify for the Net Asset Value (NAV) practical expedient in ASC 820 'Fair value measurement'. Any increases or decreases in fair value are recognized in net income in the period.</w:t>
      </w:r>
    </w:p>
    <w:p>
      <w:pPr>
        <w:spacing w:after="0" w:line="213" w:lineRule="exact"/>
        <w:rPr>
          <w:rFonts w:ascii="Arial" w:cs="Arial" w:eastAsia="Arial" w:hAnsi="Arial"/>
          <w:sz w:val="16"/>
          <w:szCs w:val="16"/>
          <w:color w:val="auto"/>
        </w:rPr>
      </w:pPr>
    </w:p>
    <w:p>
      <w:pPr>
        <w:ind w:left="900" w:hanging="244"/>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fair value of the interest rate caps and the interest rate swap.</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September 30, 2024, assets carried on the Condensed Consolidated Balance Sheet which are not re-measured to fair value on a recurring basis totaled $12,691.2 million (December 31, 2023: $12,878.0 million) and are identified as Level 3 assets. These assets are comprised of goodwill of $9,085.4 million (December 31, 2023: $9,022.1 million) and net identifiable intangible assets of $3,605.8 million (December 31, 2023: $3,855.9 million).</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estimated fair value of the Company’s debt was $3,538.9 million at September 30, 2024 (December 31, 2023: $3,793.5 million). The fair values of the Senior Secured Credit Facilities, the 2026 Notes and the New Notes were determined based on Level 2 inputs, which are based on rates at which the debt is traded among financial institutions. The fair value of the senior secured revolving loan facility is recorded as its carrying value, due to the short term duration. Refer to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for further details on the Company's financing arrangements.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8. Restructuring</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In the nine months ended September 30, 2024, a restructuring charge of $45.8 million (September 30, 2023: $45.4 million) was recorded in the Condensed Consolidated Statement of Operations under a restructuring plan adopted following a review of operations.</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restructuring plan reflected a workforce reduction of $31.7 million (September 30, 2023: $34.1 million) and an office consolidation program to optimize the Company's office footprint of $14.1 million (September 30, 2023: $11.3 million), being the impairment of operating right-off-use assets and related property plant and equipment of $12.6 million (September 30, 2023: $8.6 million) and onerous contract costs of $1.5 million (September 30, 2023: $2.7 million).</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gridSpan w:val="2"/>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2760" w:type="dxa"/>
            <w:vAlign w:val="bottom"/>
            <w:tcBorders>
              <w:bottom w:val="single" w:sz="8" w:color="auto"/>
            </w:tcBorders>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ind w:right="179"/>
              <w:spacing w:after="0" w:line="155" w:lineRule="exact"/>
              <w:rPr>
                <w:sz w:val="20"/>
                <w:szCs w:val="20"/>
                <w:color w:val="auto"/>
              </w:rPr>
            </w:pPr>
            <w:r>
              <w:rPr>
                <w:rFonts w:ascii="Arial" w:cs="Arial" w:eastAsia="Arial" w:hAnsi="Arial"/>
                <w:sz w:val="16"/>
                <w:szCs w:val="16"/>
                <w:b w:val="1"/>
                <w:bCs w:val="1"/>
                <w:color w:val="auto"/>
              </w:rPr>
              <w:t>September 30,</w:t>
            </w:r>
          </w:p>
        </w:tc>
        <w:tc>
          <w:tcPr>
            <w:tcW w:w="1500" w:type="dxa"/>
            <w:vAlign w:val="bottom"/>
          </w:tcPr>
          <w:p>
            <w:pPr>
              <w:jc w:val="right"/>
              <w:ind w:right="179"/>
              <w:spacing w:after="0" w:line="155" w:lineRule="exact"/>
              <w:rPr>
                <w:sz w:val="20"/>
                <w:szCs w:val="20"/>
                <w:color w:val="auto"/>
              </w:rPr>
            </w:pPr>
            <w:r>
              <w:rPr>
                <w:rFonts w:ascii="Arial" w:cs="Arial" w:eastAsia="Arial" w:hAnsi="Arial"/>
                <w:sz w:val="16"/>
                <w:szCs w:val="16"/>
                <w:b w:val="1"/>
                <w:bCs w:val="1"/>
                <w:color w:val="auto"/>
              </w:rPr>
              <w:t>September 30,</w:t>
            </w: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45,789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45,390</w:t>
            </w:r>
          </w:p>
        </w:tc>
      </w:tr>
      <w:tr>
        <w:trPr>
          <w:trHeight w:val="234"/>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45,789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45,390</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At September 30, 2024, a total liability of $15.0 million (December 31, 2023: $7.0 million) was recorded on the Consolidated Balance Sheet relating to restructuring activities.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156"/>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8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5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Opening provision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6,999</w:t>
            </w: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6,022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 during the period*</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33,230</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36,704</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(25,246)</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(35,727)</w:t>
            </w:r>
          </w:p>
        </w:tc>
        <w:tc>
          <w:tcPr>
            <w:tcW w:w="0" w:type="dxa"/>
            <w:vAlign w:val="bottom"/>
          </w:tcPr>
          <w:p>
            <w:pPr>
              <w:spacing w:after="0"/>
              <w:rPr>
                <w:sz w:val="1"/>
                <w:szCs w:val="1"/>
                <w:color w:val="auto"/>
              </w:rPr>
            </w:pPr>
          </w:p>
        </w:tc>
      </w:tr>
      <w:tr>
        <w:trPr>
          <w:trHeight w:val="234"/>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provision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14,983</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charge for the nine months ended September 30, 2024 reflects the workforce reduction of $31.7 million and onerous contract costs of $1.5 million. The charge was recognised during the three months ended June 30, 2024.</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closing provision of $15.0 million (December 31, 2023: $7.0 million) reflects:</w:t>
      </w:r>
    </w:p>
    <w:p>
      <w:pPr>
        <w:spacing w:after="0" w:line="100" w:lineRule="exact"/>
        <w:rPr>
          <w:sz w:val="20"/>
          <w:szCs w:val="20"/>
          <w:color w:val="auto"/>
        </w:rPr>
      </w:pPr>
    </w:p>
    <w:p>
      <w:pPr>
        <w:ind w:right="20" w:firstLine="656"/>
        <w:spacing w:after="0" w:line="286" w:lineRule="auto"/>
        <w:tabs>
          <w:tab w:leader="none" w:pos="904" w:val="left"/>
        </w:tabs>
        <w:numPr>
          <w:ilvl w:val="0"/>
          <w:numId w:val="4"/>
        </w:numPr>
        <w:rPr>
          <w:rFonts w:ascii="Arial" w:cs="Arial" w:eastAsia="Arial" w:hAnsi="Arial"/>
          <w:sz w:val="16"/>
          <w:szCs w:val="16"/>
          <w:color w:val="auto"/>
        </w:rPr>
      </w:pPr>
      <w:r>
        <w:rPr>
          <w:rFonts w:ascii="Arial" w:cs="Arial" w:eastAsia="Arial" w:hAnsi="Arial"/>
          <w:sz w:val="16"/>
          <w:szCs w:val="16"/>
          <w:color w:val="auto"/>
        </w:rPr>
        <w:t>$10.8 million (December 31, 2023: $4.0 million) of personnel related liabilities as a result of the workforce reduction; all of which have been classified as short-term within Other Liabilities, and</w:t>
      </w:r>
    </w:p>
    <w:p>
      <w:pPr>
        <w:spacing w:after="0" w:line="47" w:lineRule="exact"/>
        <w:rPr>
          <w:rFonts w:ascii="Arial" w:cs="Arial" w:eastAsia="Arial" w:hAnsi="Arial"/>
          <w:sz w:val="16"/>
          <w:szCs w:val="16"/>
          <w:color w:val="auto"/>
        </w:rPr>
      </w:pPr>
    </w:p>
    <w:p>
      <w:pPr>
        <w:ind w:firstLine="656"/>
        <w:spacing w:after="0" w:line="321" w:lineRule="auto"/>
        <w:tabs>
          <w:tab w:leader="none" w:pos="891" w:val="left"/>
        </w:tabs>
        <w:numPr>
          <w:ilvl w:val="0"/>
          <w:numId w:val="4"/>
        </w:numPr>
        <w:rPr>
          <w:rFonts w:ascii="Arial" w:cs="Arial" w:eastAsia="Arial" w:hAnsi="Arial"/>
          <w:sz w:val="16"/>
          <w:szCs w:val="16"/>
          <w:color w:val="auto"/>
        </w:rPr>
      </w:pPr>
      <w:r>
        <w:rPr>
          <w:rFonts w:ascii="Arial" w:cs="Arial" w:eastAsia="Arial" w:hAnsi="Arial"/>
          <w:sz w:val="16"/>
          <w:szCs w:val="16"/>
          <w:color w:val="auto"/>
        </w:rPr>
        <w:t>$4.2 million (December 31, 2023: $3.0 million) of facilities related liabilities of which $1.1 million (December 31, 2023: $1.0 million) is included within Other Liabilities and $3.1 million (December 31, 2023: $2.0 million) is included within Non-Current Other Liabilities.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9. Operating leases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 costs recorded under operating leases for three and nine months ended September 30, 2024 and September 30, 2023 were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12,263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ind w:left="700"/>
              <w:spacing w:after="0"/>
              <w:rPr>
                <w:sz w:val="20"/>
                <w:szCs w:val="20"/>
                <w:color w:val="auto"/>
              </w:rPr>
            </w:pPr>
            <w:r>
              <w:rPr>
                <w:rFonts w:ascii="Arial" w:cs="Arial" w:eastAsia="Arial" w:hAnsi="Arial"/>
                <w:sz w:val="16"/>
                <w:szCs w:val="16"/>
                <w:color w:val="auto"/>
              </w:rPr>
              <w:t>11,850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37,539</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0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11,566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33,736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Of the total cost of $11.9 million incurred in the three months ended September 30, 2024 (September 30, 2023: $11.6 million), $10.6 million (September 30, 2023: $8.8 million) is recorded within selling, general and administration costs and $1.3 million (September 30, 2023: $2.8 million) is recorded within direct costs.</w:t>
      </w:r>
    </w:p>
    <w:p>
      <w:pPr>
        <w:spacing w:after="0" w:line="20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Of the total cost of $33.7 million incurred in the nine months ended September 30, 2024 (September 30, 2023: $36.7 million), $28.6 million (September 30, 2023: $28.1 million) is recorded within selling, general and administration costs and $5.1 million (September 30, 2023: $8.6 million) is recorded within direct costs.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the nine months ended September 30, 2024 and September 30, 2023, costs incurred by the Group related to variable lease payments were de minimis.</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Right-of-use assets obtained, in exchange for lease obligations during the three months ended September 30, 2024, totaled $13.3 million (September 30, 2023: $2.1 million). Right-of-use assets obtained, in exchange for lease obligations during the nine months ended September 30, 2024, totaled $59.9 million (September 30, 2023: $24.6 million).</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weighted average remaining lease term and weighted-average discount rate at September 30, 2024 were 6.72 and 3.79%, respectively. The weighted average remaining lease term and weighted-average discount rate at December 31, 2023 were 6.72 years and 3.29%,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2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September 30, 2024 were as follows:</w:t>
            </w: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0"/>
        </w:trPr>
        <w:tc>
          <w:tcPr>
            <w:tcW w:w="9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90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9020" w:type="dxa"/>
            <w:vAlign w:val="bottom"/>
          </w:tcPr>
          <w:p>
            <w:pPr>
              <w:ind w:left="20"/>
              <w:spacing w:after="0"/>
              <w:rPr>
                <w:sz w:val="20"/>
                <w:szCs w:val="20"/>
                <w:color w:val="auto"/>
              </w:rPr>
            </w:pPr>
            <w:r>
              <w:rPr>
                <w:rFonts w:ascii="Arial" w:cs="Arial" w:eastAsia="Arial" w:hAnsi="Arial"/>
                <w:sz w:val="16"/>
                <w:szCs w:val="16"/>
                <w:color w:val="auto"/>
              </w:rPr>
              <w:t>Year 1</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44,534</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2</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39,371</w:t>
            </w:r>
          </w:p>
        </w:tc>
      </w:tr>
      <w:tr>
        <w:trPr>
          <w:trHeight w:val="215"/>
        </w:trPr>
        <w:tc>
          <w:tcPr>
            <w:tcW w:w="9020" w:type="dxa"/>
            <w:vAlign w:val="bottom"/>
          </w:tcPr>
          <w:p>
            <w:pPr>
              <w:ind w:left="20"/>
              <w:spacing w:after="0"/>
              <w:rPr>
                <w:sz w:val="20"/>
                <w:szCs w:val="20"/>
                <w:color w:val="auto"/>
              </w:rPr>
            </w:pPr>
            <w:r>
              <w:rPr>
                <w:rFonts w:ascii="Arial" w:cs="Arial" w:eastAsia="Arial" w:hAnsi="Arial"/>
                <w:sz w:val="16"/>
                <w:szCs w:val="16"/>
                <w:color w:val="auto"/>
              </w:rPr>
              <w:t>Year 3</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32,510</w:t>
            </w: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4</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24,789</w:t>
            </w:r>
          </w:p>
        </w:tc>
      </w:tr>
      <w:tr>
        <w:trPr>
          <w:trHeight w:val="215"/>
        </w:trPr>
        <w:tc>
          <w:tcPr>
            <w:tcW w:w="9020" w:type="dxa"/>
            <w:vAlign w:val="bottom"/>
          </w:tcPr>
          <w:p>
            <w:pPr>
              <w:ind w:left="20"/>
              <w:spacing w:after="0"/>
              <w:rPr>
                <w:sz w:val="20"/>
                <w:szCs w:val="20"/>
                <w:color w:val="auto"/>
              </w:rPr>
            </w:pPr>
            <w:r>
              <w:rPr>
                <w:rFonts w:ascii="Arial" w:cs="Arial" w:eastAsia="Arial" w:hAnsi="Arial"/>
                <w:sz w:val="16"/>
                <w:szCs w:val="16"/>
                <w:color w:val="auto"/>
              </w:rPr>
              <w:t>Year 5</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18,197</w:t>
            </w:r>
          </w:p>
        </w:tc>
      </w:tr>
      <w:tr>
        <w:trPr>
          <w:trHeight w:val="216"/>
        </w:trPr>
        <w:tc>
          <w:tcPr>
            <w:tcW w:w="9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47,063</w:t>
            </w:r>
          </w:p>
        </w:tc>
      </w:tr>
      <w:tr>
        <w:trPr>
          <w:trHeight w:val="210"/>
        </w:trPr>
        <w:tc>
          <w:tcPr>
            <w:tcW w:w="9020" w:type="dxa"/>
            <w:vAlign w:val="bottom"/>
          </w:tcPr>
          <w:p>
            <w:pPr>
              <w:ind w:left="20"/>
              <w:spacing w:after="0"/>
              <w:rPr>
                <w:sz w:val="20"/>
                <w:szCs w:val="20"/>
                <w:color w:val="auto"/>
              </w:rPr>
            </w:pPr>
            <w:r>
              <w:rPr>
                <w:rFonts w:ascii="Arial" w:cs="Arial" w:eastAsia="Arial" w:hAnsi="Arial"/>
                <w:sz w:val="16"/>
                <w:szCs w:val="16"/>
                <w:color w:val="auto"/>
              </w:rPr>
              <w:t>Total future minimum lease payments</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206,464</w:t>
            </w:r>
          </w:p>
        </w:tc>
      </w:tr>
      <w:tr>
        <w:trPr>
          <w:trHeight w:val="216"/>
        </w:trPr>
        <w:tc>
          <w:tcPr>
            <w:tcW w:w="9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(22,242)</w:t>
            </w:r>
          </w:p>
        </w:tc>
      </w:tr>
      <w:tr>
        <w:trPr>
          <w:trHeight w:val="210"/>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184,222</w:t>
            </w:r>
          </w:p>
        </w:tc>
      </w:tr>
      <w:tr>
        <w:trPr>
          <w:trHeight w:val="21"/>
        </w:trPr>
        <w:tc>
          <w:tcPr>
            <w:tcW w:w="9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Operating lease liabilities are presented as current and non-current. As at September 30, 2024, operating lease liabilities of $38.5 million have been included in Other liabilities (December 31, 2023: $36.4 million) and $145.7 million have been classified as Non-current Lease Liabilities (December 31, 2023: $126.3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auto"/>
              </w:rPr>
              <w:t>10. Bank credit lines, loan facilities and notes</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520" w:type="dxa"/>
            <w:vAlign w:val="bottom"/>
            <w:gridSpan w:val="4"/>
          </w:tcPr>
          <w:p>
            <w:pPr>
              <w:ind w:left="660"/>
              <w:spacing w:after="0"/>
              <w:rPr>
                <w:sz w:val="20"/>
                <w:szCs w:val="20"/>
                <w:color w:val="auto"/>
              </w:rPr>
            </w:pPr>
            <w:r>
              <w:rPr>
                <w:rFonts w:ascii="Arial" w:cs="Arial" w:eastAsia="Arial" w:hAnsi="Arial"/>
                <w:sz w:val="16"/>
                <w:szCs w:val="16"/>
                <w:color w:val="auto"/>
              </w:rPr>
              <w:t>The Company had the following debt outstanding as of September 30, 2024 and December 31, 2023:</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320" w:type="dxa"/>
            <w:vAlign w:val="bottom"/>
            <w:gridSpan w:val="2"/>
          </w:tcPr>
          <w:p>
            <w:pPr>
              <w:spacing w:after="0"/>
              <w:rPr>
                <w:sz w:val="23"/>
                <w:szCs w:val="23"/>
                <w:color w:val="auto"/>
              </w:rPr>
            </w:pPr>
          </w:p>
        </w:tc>
        <w:tc>
          <w:tcPr>
            <w:tcW w:w="27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gridSpan w:val="2"/>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rPr>
              <w:t>Interest rate as of</w:t>
            </w:r>
          </w:p>
        </w:tc>
        <w:tc>
          <w:tcPr>
            <w:tcW w:w="272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Maturity Date</w:t>
            </w:r>
          </w:p>
        </w:tc>
        <w:tc>
          <w:tcPr>
            <w:tcW w:w="176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September 30,</w:t>
            </w:r>
          </w:p>
        </w:tc>
        <w:tc>
          <w:tcPr>
            <w:tcW w:w="156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December 31,</w:t>
            </w: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Senior Secured Term Loan</w:t>
            </w:r>
          </w:p>
        </w:tc>
        <w:tc>
          <w:tcPr>
            <w:tcW w:w="1420" w:type="dxa"/>
            <w:vAlign w:val="bottom"/>
          </w:tcPr>
          <w:p>
            <w:pPr>
              <w:ind w:left="20"/>
              <w:spacing w:after="0"/>
              <w:rPr>
                <w:sz w:val="20"/>
                <w:szCs w:val="20"/>
                <w:color w:val="auto"/>
              </w:rPr>
            </w:pPr>
            <w:r>
              <w:rPr>
                <w:rFonts w:ascii="Arial" w:cs="Arial" w:eastAsia="Arial" w:hAnsi="Arial"/>
                <w:sz w:val="16"/>
                <w:szCs w:val="16"/>
                <w:color w:val="auto"/>
              </w:rPr>
              <w:t>July 2028</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6.604 %</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7.860 % $</w:t>
            </w:r>
          </w:p>
        </w:tc>
        <w:tc>
          <w:tcPr>
            <w:tcW w:w="1240" w:type="dxa"/>
            <w:vAlign w:val="bottom"/>
          </w:tcPr>
          <w:p>
            <w:pPr>
              <w:jc w:val="right"/>
              <w:spacing w:after="0"/>
              <w:rPr>
                <w:sz w:val="20"/>
                <w:szCs w:val="20"/>
                <w:color w:val="auto"/>
              </w:rPr>
            </w:pPr>
            <w:r>
              <w:rPr>
                <w:rFonts w:ascii="Arial" w:cs="Arial" w:eastAsia="Arial" w:hAnsi="Arial"/>
                <w:sz w:val="16"/>
                <w:szCs w:val="16"/>
                <w:color w:val="auto"/>
              </w:rPr>
              <w:t>953,890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3,251,213</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(the "2026 Notes")</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2026</w:t>
            </w:r>
          </w:p>
        </w:tc>
        <w:tc>
          <w:tcPr>
            <w:tcW w:w="1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2.875 %</w:t>
            </w:r>
          </w:p>
        </w:tc>
        <w:tc>
          <w:tcPr>
            <w:tcW w:w="1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2.875 %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Senior Secured Revolving Loan</w:t>
            </w:r>
          </w:p>
        </w:tc>
        <w:tc>
          <w:tcPr>
            <w:tcW w:w="1420" w:type="dxa"/>
            <w:vAlign w:val="bottom"/>
          </w:tcPr>
          <w:p>
            <w:pPr>
              <w:ind w:left="20"/>
              <w:spacing w:after="0"/>
              <w:rPr>
                <w:sz w:val="20"/>
                <w:szCs w:val="20"/>
                <w:color w:val="auto"/>
              </w:rPr>
            </w:pPr>
            <w:r>
              <w:rPr>
                <w:rFonts w:ascii="Arial" w:cs="Arial" w:eastAsia="Arial" w:hAnsi="Arial"/>
                <w:sz w:val="16"/>
                <w:szCs w:val="16"/>
                <w:color w:val="auto"/>
              </w:rPr>
              <w:t>July 2026</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 %</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6.720 %</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(the "2027 Notes")*</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2027</w:t>
            </w:r>
          </w:p>
        </w:tc>
        <w:tc>
          <w:tcPr>
            <w:tcW w:w="1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5.809 %</w:t>
            </w:r>
          </w:p>
        </w:tc>
        <w:tc>
          <w:tcPr>
            <w:tcW w:w="1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Senior Secured Notes (the "2029 Notes")*</w:t>
            </w:r>
          </w:p>
        </w:tc>
        <w:tc>
          <w:tcPr>
            <w:tcW w:w="1420" w:type="dxa"/>
            <w:vAlign w:val="bottom"/>
          </w:tcPr>
          <w:p>
            <w:pPr>
              <w:ind w:left="20"/>
              <w:spacing w:after="0"/>
              <w:rPr>
                <w:sz w:val="20"/>
                <w:szCs w:val="20"/>
                <w:color w:val="auto"/>
              </w:rPr>
            </w:pPr>
            <w:r>
              <w:rPr>
                <w:rFonts w:ascii="Arial" w:cs="Arial" w:eastAsia="Arial" w:hAnsi="Arial"/>
                <w:sz w:val="16"/>
                <w:szCs w:val="16"/>
                <w:color w:val="auto"/>
              </w:rPr>
              <w:t>May 2029</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5.849 %</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750,000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 (the "2034 Notes")*</w:t>
            </w:r>
          </w:p>
        </w:tc>
        <w:tc>
          <w:tcPr>
            <w:tcW w:w="1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May 2034</w:t>
            </w:r>
          </w:p>
        </w:tc>
        <w:tc>
          <w:tcPr>
            <w:tcW w:w="17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6.000 %</w:t>
            </w:r>
          </w:p>
        </w:tc>
        <w:tc>
          <w:tcPr>
            <w:tcW w:w="15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3,453,890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3,806,213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debt</w:t>
            </w:r>
          </w:p>
        </w:tc>
        <w:tc>
          <w:tcPr>
            <w:tcW w:w="1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(29,762)</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(110,150)</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Total long-term debt</w:t>
            </w:r>
          </w:p>
        </w:tc>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3,424,128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3,696,063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(21,760)</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(30,624)</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long-term debt, net</w:t>
            </w:r>
          </w:p>
        </w:tc>
        <w:tc>
          <w:tcPr>
            <w:tcW w:w="1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3,402,368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3,665,439</w:t>
            </w:r>
          </w:p>
        </w:tc>
        <w:tc>
          <w:tcPr>
            <w:tcW w:w="0" w:type="dxa"/>
            <w:vAlign w:val="bottom"/>
          </w:tcPr>
          <w:p>
            <w:pPr>
              <w:spacing w:after="0"/>
              <w:rPr>
                <w:sz w:val="1"/>
                <w:szCs w:val="1"/>
                <w:color w:val="auto"/>
              </w:rPr>
            </w:pPr>
          </w:p>
        </w:tc>
      </w:tr>
      <w:tr>
        <w:trPr>
          <w:trHeight w:val="21"/>
        </w:trPr>
        <w:tc>
          <w:tcPr>
            <w:tcW w:w="37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780" w:type="dxa"/>
            <w:vAlign w:val="bottom"/>
          </w:tcPr>
          <w:p>
            <w:pPr>
              <w:spacing w:after="0"/>
              <w:rPr>
                <w:sz w:val="20"/>
                <w:szCs w:val="20"/>
                <w:color w:val="auto"/>
              </w:rPr>
            </w:pPr>
            <w:r>
              <w:rPr>
                <w:rFonts w:ascii="Arial" w:cs="Arial" w:eastAsia="Arial" w:hAnsi="Arial"/>
                <w:sz w:val="16"/>
                <w:szCs w:val="16"/>
                <w:color w:val="auto"/>
              </w:rPr>
              <w:t>*Issued May 8, 2024</w:t>
            </w:r>
          </w:p>
        </w:tc>
        <w:tc>
          <w:tcPr>
            <w:tcW w:w="14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8520" w:type="dxa"/>
            <w:vAlign w:val="bottom"/>
            <w:gridSpan w:val="4"/>
          </w:tcPr>
          <w:p>
            <w:pPr>
              <w:ind w:left="660"/>
              <w:spacing w:after="0"/>
              <w:rPr>
                <w:sz w:val="20"/>
                <w:szCs w:val="20"/>
                <w:color w:val="auto"/>
              </w:rPr>
            </w:pPr>
            <w:r>
              <w:rPr>
                <w:rFonts w:ascii="Arial" w:cs="Arial" w:eastAsia="Arial" w:hAnsi="Arial"/>
                <w:sz w:val="16"/>
                <w:szCs w:val="16"/>
                <w:color w:val="auto"/>
              </w:rPr>
              <w:t>As of September 30, 2024, the contractual maturities of the Company's debt obligations were as follows: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Contractual maturities of debt</w:t>
            </w:r>
          </w:p>
        </w:tc>
        <w:tc>
          <w:tcPr>
            <w:tcW w:w="14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6"/>
                <w:szCs w:val="16"/>
                <w:color w:val="auto"/>
              </w:rPr>
              <w:t>2024 (remaining)</w:t>
            </w:r>
          </w:p>
        </w:tc>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7,441</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2026</w:t>
            </w:r>
          </w:p>
        </w:tc>
        <w:tc>
          <w:tcPr>
            <w:tcW w:w="1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529,762</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779,762</w:t>
            </w:r>
          </w:p>
        </w:tc>
        <w:tc>
          <w:tcPr>
            <w:tcW w:w="0" w:type="dxa"/>
            <w:vAlign w:val="bottom"/>
          </w:tcPr>
          <w:p>
            <w:pPr>
              <w:spacing w:after="0"/>
              <w:rPr>
                <w:sz w:val="1"/>
                <w:szCs w:val="1"/>
                <w:color w:val="auto"/>
              </w:rPr>
            </w:pPr>
          </w:p>
        </w:tc>
      </w:tr>
      <w:tr>
        <w:trPr>
          <w:trHeight w:val="21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2028 and thereafter</w:t>
            </w:r>
          </w:p>
        </w:tc>
        <w:tc>
          <w:tcPr>
            <w:tcW w:w="1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2,107,163</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3,453,890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New Notes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20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par).</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proceeds from the issuance were used to repay a portion of the senior secured term loan outstanding under the Senior Secured Credit Facilities and to pay fees, costs and expenses related to the offering.</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Interest on the New Notes is payable on May 8 and November 8 of each year, commencing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September 30, 2024, the applicable margin is 2.0% (which reflects the Third Amendment). The senior secured term loan facility is subject to a floor of 0.50%.</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 Term SOFR Adjustment on the interest period chosen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repayments, comprising mandatory and voluntary repayments, during the nine months ended September 30, 2024 and year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4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2023</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2024</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2, 2024</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(2,014,882)</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3, 2024</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(7,441)</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2024</w:t>
            </w:r>
          </w:p>
        </w:tc>
        <w:tc>
          <w:tcPr>
            <w:tcW w:w="4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(2,297,323)</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There has been no voluntary repayment made during the quarter. The voluntary repayment made during the nine months ended September 30, 2024 resulted in an accelerated charge associated with previously capitalized fees of $16.9 million (September 30, 2023: $5.9 million).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right="20" w:firstLine="648"/>
        <w:spacing w:after="0" w:line="286" w:lineRule="auto"/>
        <w:rPr>
          <w:sz w:val="20"/>
          <w:szCs w:val="20"/>
          <w:color w:val="auto"/>
        </w:rPr>
      </w:pPr>
      <w:r>
        <w:rPr>
          <w:rFonts w:ascii="Arial" w:cs="Arial" w:eastAsia="Arial" w:hAnsi="Arial"/>
          <w:sz w:val="16"/>
          <w:szCs w:val="16"/>
          <w:color w:val="auto"/>
        </w:rPr>
        <w:t>During the nine months ended September 30, 2024, the Company drew down $243.0 million of the senior secured revolving loan facility and repaid $298.0 million as shown below. As at September 30, 2024, $nil (December 31, 2023: $55 million) was drawn under the senior secured revolving loan facility.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Borders>
              <w:bottom w:val="single" w:sz="8" w:color="auto"/>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Repayment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09"/>
        </w:trPr>
        <w:tc>
          <w:tcPr>
            <w:tcW w:w="4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2023</w:t>
            </w:r>
          </w:p>
        </w:tc>
        <w:tc>
          <w:tcPr>
            <w:tcW w:w="2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Quarter 2, 2023</w:t>
            </w:r>
          </w:p>
        </w:tc>
        <w:tc>
          <w:tcPr>
            <w:tcW w:w="2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 2023</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1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 2023</w:t>
            </w:r>
          </w:p>
        </w:tc>
        <w:tc>
          <w:tcPr>
            <w:tcW w:w="2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r>
      <w:tr>
        <w:trPr>
          <w:trHeight w:val="209"/>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2023</w:t>
            </w:r>
          </w:p>
        </w:tc>
        <w:tc>
          <w:tcPr>
            <w:tcW w:w="2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6"/>
                <w:szCs w:val="16"/>
                <w:color w:val="auto"/>
              </w:rPr>
              <w:t>Quarter 1, 2024</w:t>
            </w:r>
          </w:p>
        </w:tc>
        <w:tc>
          <w:tcPr>
            <w:tcW w:w="2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2024</w:t>
            </w:r>
          </w:p>
        </w:tc>
        <w:tc>
          <w:tcPr>
            <w:tcW w:w="2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(193,000)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3, 2024</w:t>
            </w:r>
          </w:p>
        </w:tc>
        <w:tc>
          <w:tcPr>
            <w:tcW w:w="2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2024</w:t>
            </w:r>
          </w:p>
        </w:tc>
        <w:tc>
          <w:tcPr>
            <w:tcW w:w="2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2026 Notes</w:t>
      </w:r>
    </w:p>
    <w:p>
      <w:pPr>
        <w:spacing w:after="0" w:line="2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estimated fair value of the Company’s debt was $3,538.9 million at September 30, 2024 (December 31, 2023: $3,793.5 million). The fair values of the Senior Secured Credit Facilities, the 2026 Notes and the New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11. Derivatives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previously entered into interest rate cap and swap agreements for purposes of managing its exposure to interest rate fluctuations.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were due to expire on December 31, 2024. Under the terms of the interest rate caps, the Company had paid a fixed rate of 0.42% and received a variable rate equal to the amount that the three-month SOFR exceeds 4.75%.</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was due to begin accruing on December 31, 2024 and the interest rate swap was due to expire on September 30, 2026. Under the terms of the interest rate swap, the Company would have paid a fixed rate of 3.4% and would have received a variable rate of interest equal to the three-month SOFR on the 2022 Swap.</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2022 Caps and the 2022 Swap were designated as cash flow hedges. Gains and losses were initially reported as a component of other comprehensive income/loss and subsequently recognized in net income.</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During the quarter ended June 30, 2024, the Company’s exposure to interest rate fluctuations significantly reduced with the voluntary and mandatory repayments made of $2,014.9 million of the senior secured term loan facility. Given this reduction and the repricing of the Senior Secured Credit facilities (which occurred during the quarter ended March 31, 2024), the Company closed the 2022 Caps and 2022 Swap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at September 30, 2024, 72% of the Company’s outstanding debt is at a fixed interest rate (December 31, 2023: 13%).</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June 30, 2024, following the closure of the interest rate caps and interest rate swap, the Company derecognized the derivative positions (December 31, 2023: current derivative liability of $1.9 million within Other Liabilities and a non-current derivative liability of $0.5 million within Non-Current Other Liabilities).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During the three months ended September 30, 2024, the Company recognized a loss of $0.2 million (September 30, 2023: $5.0 million gain) within other comprehensive income/loss after a reclassification of $0.2 million gain (September 30, 2023: $0.3 million) from other comprehensive income/loss to the income statement.</w:t>
      </w:r>
    </w:p>
    <w:p>
      <w:pPr>
        <w:spacing w:after="0" w:line="21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During the nine months ended September 30, 2024, the Company recognized a gain of $4.8 million (September 30, 2023: $15.1 million) within other comprehensive income/loss after a reclassification of $13.7 million gain (September 30, 2023: $3.3 million) from other comprehensive income/loss to the income statement.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fair value of the Company’s derivative financial instruments at December 31, 2023 ($nil at September 30, 2024), on a gross basis, are summarized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December 31, 2023</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0"/>
        </w:trPr>
        <w:tc>
          <w:tcPr>
            <w:tcW w:w="6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Asset</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Liability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Notional</w:t>
            </w:r>
          </w:p>
        </w:tc>
      </w:tr>
      <w:tr>
        <w:trPr>
          <w:trHeight w:val="210"/>
        </w:trPr>
        <w:tc>
          <w:tcPr>
            <w:tcW w:w="69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color w:val="auto"/>
              </w:rPr>
              <w:t>Interest Rate Caps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ind w:left="120"/>
              <w:spacing w:after="0"/>
              <w:rPr>
                <w:sz w:val="20"/>
                <w:szCs w:val="20"/>
                <w:color w:val="auto"/>
              </w:rPr>
            </w:pPr>
            <w:r>
              <w:rPr>
                <w:rFonts w:ascii="Arial" w:cs="Arial" w:eastAsia="Arial" w:hAnsi="Arial"/>
                <w:sz w:val="16"/>
                <w:szCs w:val="16"/>
                <w:color w:val="auto"/>
              </w:rPr>
              <w:t>— $</w:t>
            </w:r>
          </w:p>
        </w:tc>
        <w:tc>
          <w:tcPr>
            <w:tcW w:w="1300" w:type="dxa"/>
            <w:vAlign w:val="bottom"/>
          </w:tcPr>
          <w:p>
            <w:pPr>
              <w:jc w:val="right"/>
              <w:spacing w:after="0"/>
              <w:rPr>
                <w:sz w:val="20"/>
                <w:szCs w:val="20"/>
                <w:color w:val="auto"/>
              </w:rPr>
            </w:pPr>
            <w:r>
              <w:rPr>
                <w:rFonts w:ascii="Arial" w:cs="Arial" w:eastAsia="Arial" w:hAnsi="Arial"/>
                <w:sz w:val="16"/>
                <w:szCs w:val="16"/>
                <w:color w:val="auto"/>
              </w:rPr>
              <w:t>1,871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1,600,606</w:t>
            </w:r>
          </w:p>
        </w:tc>
      </w:tr>
      <w:tr>
        <w:trPr>
          <w:trHeight w:val="236"/>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0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1,100,606</w:t>
            </w:r>
          </w:p>
        </w:tc>
      </w:tr>
      <w:tr>
        <w:trPr>
          <w:trHeight w:val="218"/>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derivatives designated as hedging instruments</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2,701,212</w:t>
            </w:r>
          </w:p>
        </w:tc>
      </w:tr>
      <w:tr>
        <w:trPr>
          <w:trHeight w:val="27"/>
        </w:trPr>
        <w:tc>
          <w:tcPr>
            <w:tcW w:w="6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Income taxes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recognized during the three and nine months ended September 30, 2024 and September 30, 2023, comprise: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18,011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89,105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41,913</w:t>
            </w:r>
          </w:p>
        </w:tc>
      </w:tr>
      <w:tr>
        <w:trPr>
          <w:trHeight w:val="234"/>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18,011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89,105</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41,913</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3" w:name="page24"/>
    <w:bookmarkEnd w:id="23"/>
    <w:p>
      <w:pPr>
        <w:jc w:val="both"/>
        <w:ind w:firstLine="648"/>
        <w:spacing w:after="0" w:line="265" w:lineRule="auto"/>
        <w:rPr>
          <w:sz w:val="20"/>
          <w:szCs w:val="20"/>
          <w:color w:val="auto"/>
        </w:rPr>
      </w:pPr>
      <w:r>
        <w:rPr>
          <w:rFonts w:ascii="Arial" w:cs="Arial" w:eastAsia="Arial" w:hAnsi="Arial"/>
          <w:sz w:val="16"/>
          <w:szCs w:val="16"/>
          <w:color w:val="auto"/>
        </w:rPr>
        <w:t>As at September 30, 2024 the Company maintains a $201.4 million liability (December 31, 2023: $187.1 million) for unrecognized tax benefit, which is comprised of $164.2 million (December 31, 2023: $160.0 million) related to items generating unrecognized tax benefits and $37.2 million (December 31, 2023: $27.1 million) for interest and penalties related to such items. The Company recognizes interest accrued on unrecognized tax benefits as an additional income tax expense.</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2015 through 2023 tax years. During such audits, local tax authorities may challenge the positions taken by us in our tax returns.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income per ordinary share</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18"/>
                <w:szCs w:val="18"/>
                <w:color w:val="auto"/>
              </w:rPr>
            </w:pPr>
          </w:p>
        </w:tc>
        <w:tc>
          <w:tcPr>
            <w:tcW w:w="3220" w:type="dxa"/>
            <w:vAlign w:val="bottom"/>
            <w:tcBorders>
              <w:bottom w:val="single" w:sz="8" w:color="auto"/>
            </w:tcBorders>
            <w:gridSpan w:val="2"/>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Three Months Ended</w:t>
            </w:r>
          </w:p>
        </w:tc>
        <w:tc>
          <w:tcPr>
            <w:tcW w:w="2860" w:type="dxa"/>
            <w:vAlign w:val="bottom"/>
            <w:tcBorders>
              <w:bottom w:val="single" w:sz="8" w:color="auto"/>
            </w:tcBorders>
            <w:gridSpan w:val="2"/>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68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September 30,</w:t>
            </w: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56"/>
        </w:trPr>
        <w:tc>
          <w:tcPr>
            <w:tcW w:w="51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1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82,831,300</w:t>
            </w:r>
          </w:p>
        </w:tc>
        <w:tc>
          <w:tcPr>
            <w:tcW w:w="15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82,215,627</w:t>
            </w:r>
          </w:p>
        </w:tc>
        <w:tc>
          <w:tcPr>
            <w:tcW w:w="15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82,716,842</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82,001,500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68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0"/>
              <w:spacing w:after="0" w:line="162" w:lineRule="exact"/>
              <w:rPr>
                <w:sz w:val="20"/>
                <w:szCs w:val="20"/>
                <w:color w:val="auto"/>
              </w:rPr>
            </w:pPr>
            <w:r>
              <w:rPr>
                <w:rFonts w:ascii="Arial" w:cs="Arial" w:eastAsia="Arial" w:hAnsi="Arial"/>
                <w:sz w:val="16"/>
                <w:szCs w:val="16"/>
                <w:color w:val="auto"/>
              </w:rPr>
              <w:t>Effect of dilutive share options and other awards outstanding under</w:t>
            </w:r>
          </w:p>
        </w:tc>
        <w:tc>
          <w:tcPr>
            <w:tcW w:w="1680" w:type="dxa"/>
            <w:vAlign w:val="bottom"/>
            <w:vMerge w:val="restart"/>
          </w:tcPr>
          <w:p>
            <w:pPr>
              <w:jc w:val="right"/>
              <w:ind w:right="159"/>
              <w:spacing w:after="0"/>
              <w:rPr>
                <w:sz w:val="20"/>
                <w:szCs w:val="20"/>
                <w:color w:val="auto"/>
              </w:rPr>
            </w:pPr>
            <w:r>
              <w:rPr>
                <w:rFonts w:ascii="Arial" w:cs="Arial" w:eastAsia="Arial" w:hAnsi="Arial"/>
                <w:sz w:val="16"/>
                <w:szCs w:val="16"/>
                <w:color w:val="auto"/>
              </w:rPr>
              <w:t>614,527</w:t>
            </w:r>
          </w:p>
        </w:tc>
        <w:tc>
          <w:tcPr>
            <w:tcW w:w="1540" w:type="dxa"/>
            <w:vAlign w:val="bottom"/>
            <w:vMerge w:val="restart"/>
          </w:tcPr>
          <w:p>
            <w:pPr>
              <w:jc w:val="right"/>
              <w:ind w:right="199"/>
              <w:spacing w:after="0"/>
              <w:rPr>
                <w:sz w:val="20"/>
                <w:szCs w:val="20"/>
                <w:color w:val="auto"/>
              </w:rPr>
            </w:pPr>
            <w:r>
              <w:rPr>
                <w:rFonts w:ascii="Arial" w:cs="Arial" w:eastAsia="Arial" w:hAnsi="Arial"/>
                <w:sz w:val="16"/>
                <w:szCs w:val="16"/>
                <w:color w:val="auto"/>
              </w:rPr>
              <w:t>757,261</w:t>
            </w:r>
          </w:p>
        </w:tc>
        <w:tc>
          <w:tcPr>
            <w:tcW w:w="1540" w:type="dxa"/>
            <w:vAlign w:val="bottom"/>
            <w:vMerge w:val="restart"/>
          </w:tcPr>
          <w:p>
            <w:pPr>
              <w:jc w:val="right"/>
              <w:ind w:right="159"/>
              <w:spacing w:after="0"/>
              <w:rPr>
                <w:sz w:val="20"/>
                <w:szCs w:val="20"/>
                <w:color w:val="auto"/>
              </w:rPr>
            </w:pPr>
            <w:r>
              <w:rPr>
                <w:rFonts w:ascii="Arial" w:cs="Arial" w:eastAsia="Arial" w:hAnsi="Arial"/>
                <w:sz w:val="16"/>
                <w:szCs w:val="16"/>
                <w:color w:val="auto"/>
              </w:rPr>
              <w:t>588,599</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735,573</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based compensation programs</w:t>
            </w:r>
          </w:p>
        </w:tc>
        <w:tc>
          <w:tcPr>
            <w:tcW w:w="16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6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Weighted average number of ordinary shares outstanding for diluted</w:t>
            </w:r>
          </w:p>
        </w:tc>
        <w:tc>
          <w:tcPr>
            <w:tcW w:w="16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83,445,827</w:t>
            </w:r>
          </w:p>
        </w:tc>
        <w:tc>
          <w:tcPr>
            <w:tcW w:w="15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82,972,888</w:t>
            </w:r>
          </w:p>
        </w:tc>
        <w:tc>
          <w:tcPr>
            <w:tcW w:w="15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83,305,441</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82,737,073</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per ordinary share</w:t>
            </w: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3"/>
            <w:shd w:val="clear" w:color="auto" w:fill="CCEEFF"/>
          </w:tcPr>
          <w:p>
            <w:pPr>
              <w:ind w:left="500"/>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30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2023</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880"/>
              <w:spacing w:after="0"/>
              <w:rPr>
                <w:sz w:val="20"/>
                <w:szCs w:val="20"/>
                <w:color w:val="auto"/>
              </w:rPr>
            </w:pPr>
            <w:r>
              <w:rPr>
                <w:rFonts w:ascii="Arial" w:cs="Arial" w:eastAsia="Arial" w:hAnsi="Arial"/>
                <w:sz w:val="16"/>
                <w:szCs w:val="16"/>
                <w:color w:val="auto"/>
              </w:rPr>
              <w:t>2.38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ind w:left="860"/>
              <w:spacing w:after="0"/>
              <w:rPr>
                <w:sz w:val="20"/>
                <w:szCs w:val="20"/>
                <w:color w:val="auto"/>
              </w:rPr>
            </w:pPr>
            <w:r>
              <w:rPr>
                <w:rFonts w:ascii="Arial" w:cs="Arial" w:eastAsia="Arial" w:hAnsi="Arial"/>
                <w:sz w:val="16"/>
                <w:szCs w:val="16"/>
                <w:color w:val="auto"/>
              </w:rPr>
              <w:t>1.99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ind w:left="880"/>
              <w:spacing w:after="0"/>
              <w:rPr>
                <w:sz w:val="20"/>
                <w:szCs w:val="20"/>
                <w:color w:val="auto"/>
              </w:rPr>
            </w:pPr>
            <w:r>
              <w:rPr>
                <w:rFonts w:ascii="Arial" w:cs="Arial" w:eastAsia="Arial" w:hAnsi="Arial"/>
                <w:sz w:val="16"/>
                <w:szCs w:val="16"/>
                <w:color w:val="auto"/>
              </w:rPr>
              <w:t>6.43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880"/>
              <w:spacing w:after="0"/>
              <w:rPr>
                <w:sz w:val="20"/>
                <w:szCs w:val="20"/>
                <w:color w:val="auto"/>
              </w:rPr>
            </w:pPr>
            <w:r>
              <w:rPr>
                <w:rFonts w:ascii="Arial" w:cs="Arial" w:eastAsia="Arial" w:hAnsi="Arial"/>
                <w:sz w:val="16"/>
                <w:szCs w:val="16"/>
                <w:color w:val="auto"/>
              </w:rPr>
              <w:t>4.83</w:t>
            </w:r>
          </w:p>
        </w:tc>
      </w:tr>
      <w:tr>
        <w:trPr>
          <w:trHeight w:val="241"/>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2.36</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1.97</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6.38</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4.79</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Share-based awards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option activity for the nine months ended September 30,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shd w:val="clear" w:color="auto" w:fill="CCEEFF"/>
          </w:tcPr>
          <w:p>
            <w:pPr>
              <w:spacing w:after="0"/>
              <w:rPr>
                <w:sz w:val="16"/>
                <w:szCs w:val="16"/>
                <w:color w:val="auto"/>
              </w:rPr>
            </w:pPr>
          </w:p>
        </w:tc>
        <w:tc>
          <w:tcPr>
            <w:tcW w:w="3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4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14"/>
                <w:szCs w:val="14"/>
                <w:color w:val="auto"/>
              </w:rPr>
            </w:pPr>
          </w:p>
        </w:tc>
        <w:tc>
          <w:tcPr>
            <w:tcW w:w="336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14"/>
                <w:szCs w:val="14"/>
                <w:color w:val="auto"/>
              </w:rPr>
            </w:pPr>
          </w:p>
        </w:tc>
        <w:tc>
          <w:tcPr>
            <w:tcW w:w="3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Average</w:t>
            </w: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14"/>
                <w:szCs w:val="14"/>
                <w:color w:val="auto"/>
              </w:rPr>
            </w:pPr>
          </w:p>
        </w:tc>
        <w:tc>
          <w:tcPr>
            <w:tcW w:w="3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Exercise</w:t>
            </w: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spacing w:after="0"/>
              <w:rPr>
                <w:sz w:val="18"/>
                <w:szCs w:val="18"/>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Price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09"/>
        </w:trPr>
        <w:tc>
          <w:tcPr>
            <w:tcW w:w="5000" w:type="dxa"/>
            <w:vAlign w:val="bottom"/>
          </w:tcPr>
          <w:p>
            <w:pPr>
              <w:ind w:left="20"/>
              <w:spacing w:after="0"/>
              <w:rPr>
                <w:sz w:val="20"/>
                <w:szCs w:val="20"/>
                <w:color w:val="auto"/>
              </w:rPr>
            </w:pPr>
            <w:r>
              <w:rPr>
                <w:rFonts w:ascii="Arial" w:cs="Arial" w:eastAsia="Arial" w:hAnsi="Arial"/>
                <w:sz w:val="16"/>
                <w:szCs w:val="16"/>
                <w:color w:val="auto"/>
              </w:rPr>
              <w:t>Outstanding at December 31, 2023</w:t>
            </w:r>
          </w:p>
        </w:tc>
        <w:tc>
          <w:tcPr>
            <w:tcW w:w="3360" w:type="dxa"/>
            <w:vAlign w:val="bottom"/>
          </w:tcPr>
          <w:p>
            <w:pPr>
              <w:jc w:val="right"/>
              <w:spacing w:after="0"/>
              <w:rPr>
                <w:sz w:val="20"/>
                <w:szCs w:val="20"/>
                <w:color w:val="auto"/>
              </w:rPr>
            </w:pPr>
            <w:r>
              <w:rPr>
                <w:rFonts w:ascii="Arial" w:cs="Arial" w:eastAsia="Arial" w:hAnsi="Arial"/>
                <w:sz w:val="16"/>
                <w:szCs w:val="16"/>
                <w:color w:val="auto"/>
              </w:rPr>
              <w:t>902,806</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142.96</w:t>
            </w:r>
          </w:p>
        </w:tc>
        <w:tc>
          <w:tcPr>
            <w:tcW w:w="118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3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325.51</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3360" w:type="dxa"/>
            <w:vAlign w:val="bottom"/>
          </w:tcPr>
          <w:p>
            <w:pPr>
              <w:jc w:val="right"/>
              <w:spacing w:after="0"/>
              <w:rPr>
                <w:sz w:val="20"/>
                <w:szCs w:val="20"/>
                <w:color w:val="auto"/>
              </w:rPr>
            </w:pPr>
            <w:r>
              <w:rPr>
                <w:rFonts w:ascii="Arial" w:cs="Arial" w:eastAsia="Arial" w:hAnsi="Arial"/>
                <w:sz w:val="16"/>
                <w:szCs w:val="16"/>
                <w:color w:val="auto"/>
              </w:rPr>
              <w:t>(275,805)</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117.37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(17,341)</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239.54</w:t>
            </w: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2024</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678,040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169.30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September 30, 2024</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461,732</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133.30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4" w:name="page25"/>
    <w:bookmarkEnd w:id="24"/>
    <w:p>
      <w:pPr>
        <w:jc w:val="both"/>
        <w:ind w:firstLine="648"/>
        <w:spacing w:after="0" w:line="275"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September 30, 2024 was 461,732. Fully vested share options at September 30, 2024 have an average remaining contractual term of 3.48 years and an average exercise price of $133.30.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weighted average fair value of options granted during the nine months ended September 30, 2024 and September 30, 2023 was calculated using the Black-Scholes option pricing model. The weighted average grant date fair values and assumptions used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7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7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115.76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85.12</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Assumptions: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r>
      <w:tr>
        <w:trPr>
          <w:trHeight w:val="21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life</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years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2013 RSU Plan by 2.5 million shares. The shares are awarded at par value and vest over a service period. Awards under the 2013 RSU Plan may be settled in cash or shares at the option of the Company. No awards may be granted under the 2013 RSU Plan after May 11, 2025.</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99" w:lineRule="exact"/>
        <w:rPr>
          <w:sz w:val="20"/>
          <w:szCs w:val="20"/>
          <w:color w:val="auto"/>
        </w:rPr>
      </w:pPr>
    </w:p>
    <w:p>
      <w:pPr>
        <w:jc w:val="both"/>
        <w:ind w:firstLine="210"/>
        <w:spacing w:after="0" w:line="28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nine months ended September 30,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shd w:val="clear" w:color="auto" w:fill="CCEEFF"/>
          </w:tcPr>
          <w:p>
            <w:pPr>
              <w:spacing w:after="0"/>
              <w:rPr>
                <w:sz w:val="16"/>
                <w:szCs w:val="16"/>
                <w:color w:val="auto"/>
              </w:rPr>
            </w:pPr>
          </w:p>
        </w:tc>
        <w:tc>
          <w:tcPr>
            <w:tcW w:w="2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PSU</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14"/>
                <w:szCs w:val="14"/>
                <w:color w:val="auto"/>
              </w:rPr>
            </w:pPr>
          </w:p>
        </w:tc>
        <w:tc>
          <w:tcPr>
            <w:tcW w:w="2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Weighted</w:t>
            </w:r>
          </w:p>
        </w:tc>
        <w:tc>
          <w:tcPr>
            <w:tcW w:w="1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14"/>
                <w:szCs w:val="14"/>
                <w:color w:val="auto"/>
              </w:rPr>
            </w:pPr>
          </w:p>
        </w:tc>
        <w:tc>
          <w:tcPr>
            <w:tcW w:w="2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Average Grant</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spacing w:after="0"/>
              <w:rPr>
                <w:sz w:val="14"/>
                <w:szCs w:val="14"/>
                <w:color w:val="auto"/>
              </w:rPr>
            </w:pPr>
          </w:p>
        </w:tc>
        <w:tc>
          <w:tcPr>
            <w:tcW w:w="2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Date</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Outstanding at December 31, 2023</w:t>
            </w:r>
          </w:p>
        </w:tc>
        <w:tc>
          <w:tcPr>
            <w:tcW w:w="2640" w:type="dxa"/>
            <w:vAlign w:val="bottom"/>
          </w:tcPr>
          <w:p>
            <w:pPr>
              <w:jc w:val="right"/>
              <w:spacing w:after="0"/>
              <w:rPr>
                <w:sz w:val="20"/>
                <w:szCs w:val="20"/>
                <w:color w:val="auto"/>
              </w:rPr>
            </w:pPr>
            <w:r>
              <w:rPr>
                <w:rFonts w:ascii="Arial" w:cs="Arial" w:eastAsia="Arial" w:hAnsi="Arial"/>
                <w:sz w:val="16"/>
                <w:szCs w:val="16"/>
                <w:color w:val="auto"/>
              </w:rPr>
              <w:t>105,256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226.29</w:t>
            </w:r>
          </w:p>
        </w:tc>
        <w:tc>
          <w:tcPr>
            <w:tcW w:w="1220" w:type="dxa"/>
            <w:vAlign w:val="bottom"/>
          </w:tcPr>
          <w:p>
            <w:pPr>
              <w:jc w:val="right"/>
              <w:spacing w:after="0"/>
              <w:rPr>
                <w:sz w:val="20"/>
                <w:szCs w:val="20"/>
                <w:color w:val="auto"/>
              </w:rPr>
            </w:pPr>
            <w:r>
              <w:rPr>
                <w:rFonts w:ascii="Arial" w:cs="Arial" w:eastAsia="Arial" w:hAnsi="Arial"/>
                <w:sz w:val="16"/>
                <w:szCs w:val="16"/>
                <w:color w:val="auto"/>
              </w:rPr>
              <w:t>621,011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218.27</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325.51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245,750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318.49</w:t>
            </w: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Shares vested</w:t>
            </w:r>
          </w:p>
        </w:tc>
        <w:tc>
          <w:tcPr>
            <w:tcW w:w="2640" w:type="dxa"/>
            <w:vAlign w:val="bottom"/>
          </w:tcPr>
          <w:p>
            <w:pPr>
              <w:jc w:val="right"/>
              <w:spacing w:after="0"/>
              <w:rPr>
                <w:sz w:val="20"/>
                <w:szCs w:val="20"/>
                <w:color w:val="auto"/>
              </w:rPr>
            </w:pPr>
            <w:r>
              <w:rPr>
                <w:rFonts w:ascii="Arial" w:cs="Arial" w:eastAsia="Arial" w:hAnsi="Arial"/>
                <w:sz w:val="16"/>
                <w:szCs w:val="16"/>
                <w:color w:val="auto"/>
              </w:rPr>
              <w:t>(9,975)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177.38</w:t>
            </w:r>
          </w:p>
        </w:tc>
        <w:tc>
          <w:tcPr>
            <w:tcW w:w="1220" w:type="dxa"/>
            <w:vAlign w:val="bottom"/>
          </w:tcPr>
          <w:p>
            <w:pPr>
              <w:jc w:val="right"/>
              <w:spacing w:after="0"/>
              <w:rPr>
                <w:sz w:val="20"/>
                <w:szCs w:val="20"/>
                <w:color w:val="auto"/>
              </w:rPr>
            </w:pPr>
            <w:r>
              <w:rPr>
                <w:rFonts w:ascii="Arial" w:cs="Arial" w:eastAsia="Arial" w:hAnsi="Arial"/>
                <w:sz w:val="16"/>
                <w:szCs w:val="16"/>
                <w:color w:val="auto"/>
              </w:rPr>
              <w:t>(115,570)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221.85</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(94,178)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262.66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(62,360)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233.79</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2024</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264.25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688,831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251.87</w:t>
            </w:r>
          </w:p>
        </w:tc>
        <w:tc>
          <w:tcPr>
            <w:tcW w:w="0" w:type="dxa"/>
            <w:vAlign w:val="bottom"/>
          </w:tcPr>
          <w:p>
            <w:pPr>
              <w:spacing w:after="0"/>
              <w:rPr>
                <w:sz w:val="1"/>
                <w:szCs w:val="1"/>
                <w:color w:val="auto"/>
              </w:rPr>
            </w:pP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nine months ended September 30, 2024 totaled $1.8 million (2023: $7.5 million).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nine months ended September 30, 2024 totaled $25.6 million (2023: $33.3 million).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2022 - 2024, 2023 - 2025 and 2024 - 2026. Depending on the amount of EPS from 2022 to 2026, up to an additional 96,105 PSUs may also be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compensation expense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 compensation expense for the three and nine months ended September 30, 2024 and September 30, 2023 has been allocated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7,745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6,637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21,765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18,725</w:t>
            </w:r>
          </w:p>
        </w:tc>
      </w:tr>
      <w:tr>
        <w:trPr>
          <w:trHeight w:val="216"/>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9,828</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19,418</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29,097</w:t>
            </w:r>
          </w:p>
        </w:tc>
      </w:tr>
      <w:tr>
        <w:trPr>
          <w:trHeight w:val="20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16,465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47,822</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 capital</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and the Company’s constitutional documents through open market share acquisitions.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1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During the nine months ended September 30, 2024, 337,070 shares were redeemed by the Company under this buyback program for a total consideration of $100.0 million.</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October 22, 2024, the Company's Board of Directors authorized an additional buyback program of up to $250.0 million of the outstanding ordinary shares of the Company. Along with unutilized amounts under the authorization of February 20, 2024, this permits the Company to repurchase up to $650.0 million worth of ordinary shares.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Business Segment and Geographical Information</w:t>
      </w:r>
    </w:p>
    <w:p>
      <w:pPr>
        <w:spacing w:after="0" w:line="2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the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reportable segment, which is the provision of outsourced development services on a global basis to pharmaceutical, biotechnology, medical device and government and public health organizations.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jc w:val="both"/>
        <w:ind w:firstLine="648"/>
        <w:spacing w:after="0" w:line="275"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 assets owned, risks borne, and functions performed by each entity from these intercompany transactions. The arm’s length return is reviewed annually to ensure that it is market appropriate.</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00"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geographical distribution of the Company’s segment measures for the three and nine months ended September 30, 2024 and September 30, 2023 and as at September 30, 2024 and December 31, 2023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10"/>
        </w:trPr>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2880" w:type="dxa"/>
            <w:vAlign w:val="bottom"/>
            <w:gridSpan w:val="3"/>
          </w:tcPr>
          <w:p>
            <w:pPr>
              <w:spacing w:after="0"/>
              <w:rPr>
                <w:sz w:val="9"/>
                <w:szCs w:val="9"/>
                <w:color w:val="auto"/>
              </w:rPr>
            </w:pPr>
          </w:p>
        </w:tc>
      </w:tr>
      <w:tr>
        <w:trPr>
          <w:trHeight w:val="216"/>
        </w:trPr>
        <w:tc>
          <w:tcPr>
            <w:tcW w:w="5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615,957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596,337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1,971,502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1,701,580</w:t>
            </w: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420,605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384,720</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1,195,033</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1,172,752</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755,100</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831,789</w:t>
            </w:r>
          </w:p>
        </w:tc>
        <w:tc>
          <w:tcPr>
            <w:tcW w:w="3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2,356,954</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2,524,212</w:t>
            </w:r>
          </w:p>
        </w:tc>
      </w:tr>
      <w:tr>
        <w:trPr>
          <w:trHeight w:val="216"/>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238,368</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242,253</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717,086</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655,384</w:t>
            </w:r>
          </w:p>
        </w:tc>
      </w:tr>
      <w:tr>
        <w:trPr>
          <w:trHeight w:val="21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2,030,030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2,055,099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6,240,575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6,053,928</w:t>
            </w:r>
          </w:p>
        </w:tc>
      </w:tr>
      <w:tr>
        <w:trPr>
          <w:trHeight w:val="21"/>
        </w:trPr>
        <w:tc>
          <w:tcPr>
            <w:tcW w:w="5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4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4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Ireland *</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155,265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121,343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400,377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298,567</w:t>
            </w: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54,733</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56,705</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147,873</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138,959</w:t>
            </w: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U.S.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58,243</w:t>
            </w:r>
          </w:p>
        </w:tc>
        <w:tc>
          <w:tcPr>
            <w:tcW w:w="2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70,013</w:t>
            </w:r>
          </w:p>
        </w:tc>
        <w:tc>
          <w:tcPr>
            <w:tcW w:w="30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197,798</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213,846</w:t>
            </w:r>
          </w:p>
        </w:tc>
      </w:tr>
      <w:tr>
        <w:trPr>
          <w:trHeight w:val="216"/>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16,250</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54,740</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39,212</w:t>
            </w:r>
          </w:p>
        </w:tc>
      </w:tr>
      <w:tr>
        <w:trPr>
          <w:trHeight w:val="20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285,434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264,311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800,788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690,584</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Includes the full amount of the amortization charge associated with the intangible asset acquired in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shd w:val="clear" w:color="auto" w:fill="CCEEFF"/>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6"/>
        </w:trPr>
        <w:tc>
          <w:tcPr>
            <w:tcW w:w="3320" w:type="dxa"/>
            <w:vAlign w:val="bottom"/>
            <w:tcBorders>
              <w:bottom w:val="single" w:sz="8" w:color="auto"/>
            </w:tcBorders>
            <w:shd w:val="clear" w:color="auto" w:fill="CCEEFF"/>
          </w:tcPr>
          <w:p>
            <w:pPr>
              <w:spacing w:after="0"/>
              <w:rPr>
                <w:sz w:val="18"/>
                <w:szCs w:val="18"/>
                <w:color w:val="auto"/>
              </w:rPr>
            </w:pPr>
          </w:p>
        </w:tc>
        <w:tc>
          <w:tcPr>
            <w:tcW w:w="51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2024 December 31, 2023</w:t>
            </w:r>
          </w:p>
        </w:tc>
      </w:tr>
      <w:tr>
        <w:trPr>
          <w:trHeight w:val="210"/>
        </w:trPr>
        <w:tc>
          <w:tcPr>
            <w:tcW w:w="33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9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5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221,160</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199,051</w:t>
            </w: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5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93,956</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94,046</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5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147,175</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159,245</w:t>
            </w:r>
          </w:p>
        </w:tc>
      </w:tr>
      <w:tr>
        <w:trPr>
          <w:trHeight w:val="21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5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60,390</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49,175</w:t>
            </w:r>
          </w:p>
        </w:tc>
      </w:tr>
      <w:tr>
        <w:trPr>
          <w:trHeight w:val="234"/>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522,681</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501,517</w:t>
            </w: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5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837"/>
        </w:trPr>
        <w:tc>
          <w:tcPr>
            <w:tcW w:w="3320" w:type="dxa"/>
            <w:vAlign w:val="bottom"/>
          </w:tcPr>
          <w:p>
            <w:pPr>
              <w:spacing w:after="0"/>
              <w:rPr>
                <w:sz w:val="24"/>
                <w:szCs w:val="24"/>
                <w:color w:val="auto"/>
              </w:rPr>
            </w:pPr>
          </w:p>
        </w:tc>
        <w:tc>
          <w:tcPr>
            <w:tcW w:w="5140" w:type="dxa"/>
            <w:vAlign w:val="bottom"/>
          </w:tcPr>
          <w:p>
            <w:pPr>
              <w:jc w:val="right"/>
              <w:ind w:right="2659"/>
              <w:spacing w:after="0"/>
              <w:rPr>
                <w:sz w:val="20"/>
                <w:szCs w:val="20"/>
                <w:color w:val="auto"/>
              </w:rPr>
            </w:pPr>
            <w:r>
              <w:rPr>
                <w:rFonts w:ascii="Arial" w:cs="Arial" w:eastAsia="Arial" w:hAnsi="Arial"/>
                <w:sz w:val="16"/>
                <w:szCs w:val="16"/>
                <w:color w:val="auto"/>
              </w:rPr>
              <w:t>26</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7"/>
        </w:trPr>
        <w:tc>
          <w:tcPr>
            <w:tcW w:w="33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17. Subsequent events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evaluated subsequent events from the Balance Sheet date through to the date at which the financial statements were available to be issued.</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October 22, 2024, the Company's Board of Directors authorized an additional buyback program of up to $250.0 million of the outstanding ordinary shares of the Company. Along with unutilized amounts under the authorization of February 20, 2024, this permits the Company to repurchase up to $650.0 million worth of ordinary shares.</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determined that there are no other items to disclose.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2023.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September 30, 2024, we employed approximately 42,250 employees in 106 locations in 55 countries. During the three months ended September 30, 2024 we derived 37.2%, 51.1% and 11.7% of our revenue in the United States, Europe and Rest of World respectively (during the period ended September 30, 2023: 40.5%, 47.7% and 11.8% respectively).</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September 30, 2024 we had unsatisfied performance obligations of approximately $15.5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0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shd w:val="clear" w:color="auto" w:fill="CCEEFF"/>
          </w:tcPr>
          <w:p>
            <w:pPr>
              <w:spacing w:after="0"/>
              <w:rPr>
                <w:sz w:val="16"/>
                <w:szCs w:val="16"/>
                <w:color w:val="auto"/>
              </w:rPr>
            </w:pPr>
          </w:p>
        </w:tc>
        <w:tc>
          <w:tcPr>
            <w:tcW w:w="2460" w:type="dxa"/>
            <w:vAlign w:val="bottom"/>
            <w:shd w:val="clear" w:color="auto" w:fill="CCEEFF"/>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9"/>
        </w:trPr>
        <w:tc>
          <w:tcPr>
            <w:tcW w:w="65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 to 2024</w:t>
            </w:r>
          </w:p>
        </w:tc>
      </w:tr>
      <w:tr>
        <w:trPr>
          <w:trHeight w:val="156"/>
        </w:trPr>
        <w:tc>
          <w:tcPr>
            <w:tcW w:w="6560" w:type="dxa"/>
            <w:vAlign w:val="bottom"/>
            <w:shd w:val="clear" w:color="auto" w:fill="CCEEFF"/>
          </w:tcPr>
          <w:p>
            <w:pPr>
              <w:spacing w:after="0"/>
              <w:rPr>
                <w:sz w:val="13"/>
                <w:szCs w:val="13"/>
                <w:color w:val="auto"/>
              </w:rPr>
            </w:pPr>
          </w:p>
        </w:tc>
        <w:tc>
          <w:tcPr>
            <w:tcW w:w="2460" w:type="dxa"/>
            <w:vAlign w:val="bottom"/>
            <w:shd w:val="clear" w:color="auto" w:fill="CCEEFF"/>
          </w:tcPr>
          <w:p>
            <w:pPr>
              <w:jc w:val="center"/>
              <w:ind w:left="559"/>
              <w:spacing w:after="0" w:line="155" w:lineRule="exact"/>
              <w:rPr>
                <w:sz w:val="20"/>
                <w:szCs w:val="20"/>
                <w:color w:val="auto"/>
              </w:rPr>
            </w:pPr>
            <w:r>
              <w:rPr>
                <w:rFonts w:ascii="Arial" w:cs="Arial" w:eastAsia="Arial" w:hAnsi="Arial"/>
                <w:sz w:val="16"/>
                <w:szCs w:val="16"/>
                <w:b w:val="1"/>
                <w:bCs w:val="1"/>
                <w:color w:val="auto"/>
              </w:rPr>
              <w:t>Percentage of Revenue</w:t>
            </w:r>
          </w:p>
        </w:tc>
        <w:tc>
          <w:tcPr>
            <w:tcW w:w="8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right="79"/>
              <w:spacing w:after="0" w:line="155" w:lineRule="exact"/>
              <w:rPr>
                <w:sz w:val="20"/>
                <w:szCs w:val="20"/>
                <w:color w:val="auto"/>
              </w:rPr>
            </w:pPr>
            <w:r>
              <w:rPr>
                <w:rFonts w:ascii="Arial" w:cs="Arial" w:eastAsia="Arial" w:hAnsi="Arial"/>
                <w:sz w:val="16"/>
                <w:szCs w:val="16"/>
                <w:b w:val="1"/>
                <w:bCs w:val="1"/>
                <w:color w:val="auto"/>
                <w:w w:val="99"/>
              </w:rPr>
              <w:t>Percentage</w:t>
            </w:r>
          </w:p>
        </w:tc>
      </w:tr>
      <w:tr>
        <w:trPr>
          <w:trHeight w:val="162"/>
        </w:trPr>
        <w:tc>
          <w:tcPr>
            <w:tcW w:w="65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6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(Decrease)</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Revenue</w:t>
            </w:r>
          </w:p>
        </w:tc>
        <w:tc>
          <w:tcPr>
            <w:tcW w:w="2460" w:type="dxa"/>
            <w:vAlign w:val="bottom"/>
          </w:tcPr>
          <w:p>
            <w:pPr>
              <w:jc w:val="right"/>
              <w:ind w:right="839"/>
              <w:spacing w:after="0"/>
              <w:rPr>
                <w:sz w:val="20"/>
                <w:szCs w:val="20"/>
                <w:color w:val="auto"/>
              </w:rPr>
            </w:pPr>
            <w:r>
              <w:rPr>
                <w:rFonts w:ascii="Arial" w:cs="Arial" w:eastAsia="Arial" w:hAnsi="Arial"/>
                <w:sz w:val="16"/>
                <w:szCs w:val="16"/>
                <w:color w:val="auto"/>
              </w:rPr>
              <w:t>100.0 %</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100.0 %</w:t>
            </w: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1"/>
        </w:trPr>
        <w:tc>
          <w:tcPr>
            <w:tcW w:w="6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 costs</w:t>
            </w:r>
          </w:p>
        </w:tc>
        <w:tc>
          <w:tcPr>
            <w:tcW w:w="24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70.9 %</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70.5 %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460" w:type="dxa"/>
            <w:vAlign w:val="bottom"/>
          </w:tcPr>
          <w:p>
            <w:pPr>
              <w:jc w:val="right"/>
              <w:ind w:right="839"/>
              <w:spacing w:after="0"/>
              <w:rPr>
                <w:sz w:val="20"/>
                <w:szCs w:val="20"/>
                <w:color w:val="auto"/>
              </w:rPr>
            </w:pPr>
            <w:r>
              <w:rPr>
                <w:rFonts w:ascii="Arial" w:cs="Arial" w:eastAsia="Arial" w:hAnsi="Arial"/>
                <w:sz w:val="16"/>
                <w:szCs w:val="16"/>
                <w:color w:val="auto"/>
              </w:rPr>
              <w:t>10.1 %</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9.0 %</w:t>
            </w:r>
          </w:p>
        </w:tc>
        <w:tc>
          <w:tcPr>
            <w:tcW w:w="142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24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1.7 %</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460" w:type="dxa"/>
            <w:vAlign w:val="bottom"/>
          </w:tcPr>
          <w:p>
            <w:pPr>
              <w:jc w:val="right"/>
              <w:ind w:right="839"/>
              <w:spacing w:after="0"/>
              <w:rPr>
                <w:sz w:val="20"/>
                <w:szCs w:val="20"/>
                <w:color w:val="auto"/>
              </w:rPr>
            </w:pPr>
            <w:r>
              <w:rPr>
                <w:rFonts w:ascii="Arial" w:cs="Arial" w:eastAsia="Arial" w:hAnsi="Arial"/>
                <w:sz w:val="16"/>
                <w:szCs w:val="16"/>
                <w:color w:val="auto"/>
              </w:rPr>
              <w:t>2.9 %</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5.6 %</w:t>
            </w:r>
          </w:p>
        </w:tc>
        <w:tc>
          <w:tcPr>
            <w:tcW w:w="142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216"/>
        </w:trPr>
        <w:tc>
          <w:tcPr>
            <w:tcW w:w="6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Transaction and integration related</w:t>
            </w:r>
          </w:p>
        </w:tc>
        <w:tc>
          <w:tcPr>
            <w:tcW w:w="246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0.3 %</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from operations</w:t>
            </w:r>
          </w:p>
        </w:tc>
        <w:tc>
          <w:tcPr>
            <w:tcW w:w="24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14.1 %</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12.9 %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r>
      <w:tr>
        <w:trPr>
          <w:trHeight w:val="21"/>
        </w:trPr>
        <w:tc>
          <w:tcPr>
            <w:tcW w:w="65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Nine Months Ended September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5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gridSpan w:val="2"/>
            <w:shd w:val="clear" w:color="auto" w:fill="CCEEFF"/>
          </w:tcPr>
          <w:p>
            <w:pPr>
              <w:jc w:val="center"/>
              <w:ind w:left="79"/>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2023 to 2024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980" w:type="dxa"/>
            <w:vAlign w:val="bottom"/>
            <w:gridSpan w:val="2"/>
            <w:shd w:val="clear" w:color="auto" w:fill="CCEEFF"/>
          </w:tcPr>
          <w:p>
            <w:pPr>
              <w:jc w:val="center"/>
              <w:ind w:left="79"/>
              <w:spacing w:after="0" w:line="155" w:lineRule="exact"/>
              <w:rPr>
                <w:sz w:val="20"/>
                <w:szCs w:val="20"/>
                <w:color w:val="auto"/>
              </w:rPr>
            </w:pPr>
            <w:r>
              <w:rPr>
                <w:rFonts w:ascii="Arial" w:cs="Arial" w:eastAsia="Arial" w:hAnsi="Arial"/>
                <w:sz w:val="16"/>
                <w:szCs w:val="16"/>
                <w:b w:val="1"/>
                <w:bCs w:val="1"/>
                <w:color w:val="auto"/>
              </w:rPr>
              <w:t>Percentage of Revenue</w:t>
            </w:r>
          </w:p>
        </w:tc>
        <w:tc>
          <w:tcPr>
            <w:tcW w:w="10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Percentage</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100.0 %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spacing w:after="0"/>
              <w:rPr>
                <w:sz w:val="20"/>
                <w:szCs w:val="20"/>
                <w:color w:val="auto"/>
              </w:rPr>
            </w:pPr>
            <w:r>
              <w:rPr>
                <w:rFonts w:ascii="Arial" w:cs="Arial" w:eastAsia="Arial" w:hAnsi="Arial"/>
                <w:sz w:val="16"/>
                <w:szCs w:val="16"/>
                <w:color w:val="auto"/>
              </w:rPr>
              <w:t>3.1 %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Costs and expenses:</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 costs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70.6 %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9.2 %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9.5 %</w:t>
            </w:r>
          </w:p>
        </w:tc>
        <w:tc>
          <w:tcPr>
            <w:tcW w:w="1200" w:type="dxa"/>
            <w:vAlign w:val="bottom"/>
          </w:tcPr>
          <w:p>
            <w:pPr>
              <w:jc w:val="right"/>
              <w:spacing w:after="0"/>
              <w:rPr>
                <w:sz w:val="20"/>
                <w:szCs w:val="20"/>
                <w:color w:val="auto"/>
              </w:rPr>
            </w:pPr>
            <w:r>
              <w:rPr>
                <w:rFonts w:ascii="Arial" w:cs="Arial" w:eastAsia="Arial" w:hAnsi="Arial"/>
                <w:sz w:val="16"/>
                <w:szCs w:val="16"/>
                <w:color w:val="auto"/>
              </w:rPr>
              <w:t>0.7 %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5.7 %</w:t>
            </w: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0.6 %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0.8 %</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0.7 %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12.8 %</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11.4 %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4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280"/>
              <w:spacing w:after="0" w:line="162" w:lineRule="exact"/>
              <w:rPr>
                <w:sz w:val="20"/>
                <w:szCs w:val="20"/>
                <w:color w:val="auto"/>
              </w:rPr>
            </w:pPr>
            <w:r>
              <w:rPr>
                <w:rFonts w:ascii="Arial" w:cs="Arial" w:eastAsia="Arial" w:hAnsi="Arial"/>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2,030,030 $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2,055,099</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(25,069)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 for the three months ended September 30, 2024 decreased by $25.1 million, or 1.2%, to $2,030.0 million, compared to $2,055.1 million for the three months ended September 30, 2023. Revenue decreased by 1.0% in constant currency terms.</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 three months ended September 30, 2024, we derived 37.2%, 51.1% and 11.7% of our revenue in the United States, Europe and Rest of World respectively. Revenues from our top five customers amounted to $502.6 million in the three months ended September 30, 2024, compared to $527.3 million for the three months ended September 30, 2023 or 24.8% and 25.7% respectively. New customer accounts are continually added across the full portfolio of large pharma customers, mid-tier pharma customers and biotech customers.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Revenue in Ireland increased by $19.7 million for the three months ended September 30, 2024, to $616.0 million, compared to $596.3 million for the three months ended September 30, 2023. Revenue in Ireland during the period ended September 30, 2024 increased by 3.3% compared to an overall decrease in Group revenue of 1.2%. Revenue in Ireland is principally a function of our global contracting model (see note 16. </w:t>
      </w:r>
      <w:r>
        <w:rPr>
          <w:rFonts w:ascii="Arial" w:cs="Arial" w:eastAsia="Arial" w:hAnsi="Arial"/>
          <w:sz w:val="16"/>
          <w:szCs w:val="16"/>
          <w:i w:val="1"/>
          <w:iCs w:val="1"/>
          <w:color w:val="auto"/>
        </w:rPr>
        <w:t>Business Segment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Geographical Information </w:t>
      </w:r>
      <w:r>
        <w:rPr>
          <w:rFonts w:ascii="Arial" w:cs="Arial" w:eastAsia="Arial" w:hAnsi="Arial"/>
          <w:sz w:val="16"/>
          <w:szCs w:val="16"/>
          <w:color w:val="auto"/>
        </w:rPr>
        <w:t>for further details).</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Revenue in our Rest of Europe region increased by $35.9 million or 9.3%, to $420.6 million, compared to $384.7 million for the three months ended September 30, 2023. Revenue in the U.S. region decreased by $76.7 million or 9.2%, to $755.1 million, compared to $831.8 million for the three months ended September 30, 2023. Revenue in the Rest of World ('Other') region decreased by $3.9 million or 1.6%, to $238.4 million, compared to $242.3 million for the three months ended September 30,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jc w:val="center"/>
              <w:ind w:right="29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shd w:val="clear" w:color="auto" w:fill="CCEEFF"/>
          </w:tcPr>
          <w:p>
            <w:pPr>
              <w:spacing w:after="0"/>
              <w:rPr>
                <w:sz w:val="16"/>
                <w:szCs w:val="16"/>
                <w:color w:val="auto"/>
              </w:rPr>
            </w:pPr>
          </w:p>
        </w:tc>
        <w:tc>
          <w:tcPr>
            <w:tcW w:w="176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6,240,575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6,053,928</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186,647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nine months ended September 30, 2024 increased by $186.6 million, or 3.1%, to $6,240.6 million, compared to $6,053.9 million for the nine months ended September 30, 2023. Revenue increased by 3.2% in constant currency terms. The increase in revenue for the nine months ended September 30, 2024 is due to continued organic growth across the Company's markets.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648"/>
        <w:spacing w:after="0" w:line="261" w:lineRule="auto"/>
        <w:rPr>
          <w:sz w:val="20"/>
          <w:szCs w:val="20"/>
          <w:color w:val="auto"/>
        </w:rPr>
      </w:pPr>
      <w:r>
        <w:rPr>
          <w:rFonts w:ascii="Arial" w:cs="Arial" w:eastAsia="Arial" w:hAnsi="Arial"/>
          <w:sz w:val="16"/>
          <w:szCs w:val="16"/>
          <w:color w:val="auto"/>
        </w:rPr>
        <w:t>During the nine months ended September 30, 2024 we derived approximately 37.8%, 50.7% and 11.5% of our revenue in the United States, Europe and Rest of World, respectively. During the nine months ended September 30, 2024, $1,557.6 million or 25.0% of our revenues were derived from our top 5 customers (nine months ended September 30, 2023: $1,615.7 million or 26.7%), $2,518.7 million or 40.4% of our revenues were derived from our top 10 customers (nine months ended September 30, 2023: $2,484.5 million or 41.0%) and $3,854.0 million or 61.8% of our revenues were derived from our top 25 customers (nine months ended September 30, 2023: $3,752.2 million or 62.0%). New customer accounts are continually added across the full portfolio of large pharma customers, mid-tier pharma customers and biotech customers.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Revenue in Ireland increased by $269.9 million for the nine months ended September 30, 2024, to $1,971.5 million, compared to $1,701.6 million for the nine months ended September 30, 2023. Revenue in Ireland for the nine months ended September 30, 2024 increased by 15.9% compared to an overall increase in Group revenue of 3.1%. Revenue in Ireland is principally a function of the Company’s global transfer pricing model (see note 16. </w:t>
      </w:r>
      <w:r>
        <w:rPr>
          <w:rFonts w:ascii="Arial" w:cs="Arial" w:eastAsia="Arial" w:hAnsi="Arial"/>
          <w:sz w:val="16"/>
          <w:szCs w:val="16"/>
          <w:i w:val="1"/>
          <w:iCs w:val="1"/>
          <w:color w:val="auto"/>
        </w:rPr>
        <w:t>Business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and Geographical information </w:t>
      </w:r>
      <w:r>
        <w:rPr>
          <w:rFonts w:ascii="Arial" w:cs="Arial" w:eastAsia="Arial" w:hAnsi="Arial"/>
          <w:sz w:val="16"/>
          <w:szCs w:val="16"/>
          <w:color w:val="auto"/>
        </w:rPr>
        <w:t>for further details).</w:t>
      </w:r>
    </w:p>
    <w:p>
      <w:pPr>
        <w:spacing w:after="0" w:line="23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Revenue in the Rest of Europe region for the nine months ended September 30, 2024 increased by $22.2 million or 1.9% to $1,195.0 million compared to $1,172.8 million for the nine months ended September 30, 2023. Revenue in the U.S. region decreased by $167.2 million or 6.6% to $2,357.0 million compared to $2,524.2 million for the nine months ended September 30, 2023. Revenue in the Rest of World region increased by $61.7 million or 9.4% to $717.1 million compared to $655.4 million for the nine months ended September 30, 2023.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8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Nine Months Ended</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2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0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1,438,616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1,449,136</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(10,520)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4,403,583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4,274,222</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129,361</w:t>
            </w:r>
          </w:p>
        </w:tc>
      </w:tr>
      <w:tr>
        <w:trPr>
          <w:trHeight w:val="215"/>
        </w:trPr>
        <w:tc>
          <w:tcPr>
            <w:tcW w:w="21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70.9 %</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70.5 %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70.6 %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70.6 %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3.0 %</w:t>
            </w:r>
          </w:p>
        </w:tc>
      </w:tr>
    </w:tbl>
    <w:p>
      <w:pPr>
        <w:spacing w:after="0" w:line="3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Direct costs for the three months ended September 30, 2024 decreased by $10.5 million, or 0.7%, to $1,438.6 million compared to $1,449.1 million for the three months ended September 30, 2023. Direct costs consist primarily of investigator and other reimbursable costs, compensation, associated fringe benefits and share based compensation expense for project-related employees and other direct project driven costs. The decrease in direct costs arose due to a decrease in personnel related costs and other direct project driven costs partially offset by increases in third party investigator/other reimbursable costs, laboratories and travel. As a percentage of revenue, direct costs have increased to 70.9% of revenue during the three months ended September 30, 2024 compared to 70.5% for the three months ended September 30, 2023.</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Direct costs for the nine months ended September 30, 2024 increased by $129.4 million, or 3.0%, to $4,403.6 million compared to $4,274.2 million for the nine months ended September 30, 2023. The increase in direct costs arose due to an increase in personnel related costs, third party investigator/other reimbursable costs, laboratories, travel, and other direct project driven costs. As a percentage of revenue, direct costs were 70.6% during the nine months ended September 30, 2024, in line with 70.6% for the nine months ended September 30, 2023.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40" w:type="dxa"/>
            <w:vAlign w:val="bottom"/>
            <w:gridSpan w:val="4"/>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Selling, general and</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205,095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185,187</w:t>
            </w: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19,908</w:t>
            </w:r>
          </w:p>
        </w:tc>
        <w:tc>
          <w:tcPr>
            <w:tcW w:w="4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576,903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572,999</w:t>
            </w: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3,904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4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10.1 %</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9.0 %</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9.2 %</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9.5 %</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Selling, general and administrative expenses for the three months ended September 30, 2024 increased by $19.9 million, or 10.8%, to $205.1 million, compared to $185.2 million for the three months ended September 30, 2023.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increased to 10.1% during the three months ended September 30, 2024, compared to 9.0% of revenue for the three months ended September 30, 2023. The movement in selling, general and administrative expenses primarily relates to an increase in general overhead costs, adverse unrealized foreign exchange movements ($24.0 million), and professional costs, offset by decreases in personnel costs, facilities costs, and marketing costs.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648"/>
        <w:spacing w:after="0" w:line="265" w:lineRule="auto"/>
        <w:rPr>
          <w:sz w:val="20"/>
          <w:szCs w:val="20"/>
          <w:color w:val="auto"/>
        </w:rPr>
      </w:pPr>
      <w:r>
        <w:rPr>
          <w:rFonts w:ascii="Arial" w:cs="Arial" w:eastAsia="Arial" w:hAnsi="Arial"/>
          <w:sz w:val="16"/>
          <w:szCs w:val="16"/>
          <w:color w:val="auto"/>
        </w:rPr>
        <w:t>Selling, general and administrative expenses for the nine months ended September 30, 2024 increased by $3.9 million, or 0.7%, to $576.9 million compared to $573.0 million for the nine months ended September 30, 2023. As a percentage of revenue, selling, general and administrative expenses have decreased to 9.2% compared to 9.5% for the nine months ended September 30, 2023. The movement in selling, general and administrative expenses primarily relates to an increase in facilities costs, adverse unrealized foreign exchange movements ($14.5 million), marketing costs, general overhead costs and professional costs offset by decreases in personnel costs.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960" w:type="dxa"/>
            <w:vAlign w:val="bottom"/>
            <w:gridSpan w:val="4"/>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2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10"/>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35,003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31,459</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3,544</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100,832</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92,349</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8,483</w:t>
            </w:r>
          </w:p>
        </w:tc>
      </w:tr>
      <w:tr>
        <w:trPr>
          <w:trHeight w:val="215"/>
        </w:trPr>
        <w:tc>
          <w:tcPr>
            <w:tcW w:w="22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1.7 %</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9.2 %</w:t>
            </w:r>
          </w:p>
        </w:tc>
      </w:tr>
      <w:tr>
        <w:trPr>
          <w:trHeight w:val="217"/>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58,026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114,573</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(56,547)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291,013</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343,868</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(52,855)</w:t>
            </w:r>
          </w:p>
        </w:tc>
      </w:tr>
      <w:tr>
        <w:trPr>
          <w:trHeight w:val="215"/>
        </w:trPr>
        <w:tc>
          <w:tcPr>
            <w:tcW w:w="22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2.9 %</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(49.4)%</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w:t>
            </w:r>
          </w:p>
        </w:tc>
      </w:tr>
    </w:tbl>
    <w:p>
      <w:pPr>
        <w:spacing w:after="0" w:line="3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depreciation expense for the three months ended September 30, 2024 increased by $3.5 million, or 11.3%, to $35.0 million compared to $31.5 million for the three months ended September 30, 2023. The depreciation charge reflects investments in facilities, information systems and equipment. As a percentage of revenue, the depreciation expense increased to 1.7% of revenues, for the three months ended September 30, 2024 compared to 1.5% for the three months ended September 30, 2023. The depreciation expense for the nine months ended September 30, 2024 increased by $8.5 million, or 9.2%, to $100.8 million compared to $92.3 million for the nine months ended September 30, 2023. As a percentage of revenue the depreciation expense was 1.6%, which increased from 1.5% for the nine months ended September 30, 2023. The depreciation charge has increased mainly due to additional investment in technology assets.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Amortization expense for the three months ended September 30, 2024 decreased by $56.5 million, or 49.4%, to $58.0 million compared to $114.6 million for the three months ended September 30, 2023. The amortization expense represents the amortization of intangible assets acquired in business combinations. As a percentage of revenue, the amortization expense decreased to 2.9% for the three months ended September 30, 2024, compared to 5.6% for the three months ended September 30, 2023. The amortization expense for the nine months ended September 30, 2024 decreased by $52.9 million, or 15.4%, to $291.0 million compared to $343.9 million for the nine months ended September 30, 2023. As a percentage of revenue, the amortization expense was 4.7%, which decreased from 5.7% for the nine months ended September 30, 2023. The decrease in amortization charge reflects the end of the useful life of certain intangible assets (Order Backlog and Trade Name) being reached during the quarter. These assets were acquired on completion of the merger with PRA on July 1, 2021.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 related expenses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940" w:type="dxa"/>
            <w:vAlign w:val="bottom"/>
            <w:gridSpan w:val="4"/>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Nine Months Ended</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Transaction and integration</w:t>
            </w:r>
          </w:p>
        </w:tc>
        <w:tc>
          <w:tcPr>
            <w:tcW w:w="4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7,856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10,433</w:t>
            </w: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(2,577)</w:t>
            </w: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21,667</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34,516</w:t>
            </w: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(12,849)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w:t>
            </w:r>
          </w:p>
        </w:tc>
        <w:tc>
          <w:tcPr>
            <w:tcW w:w="4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0.3 %</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45,789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45,390</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1040" w:type="dxa"/>
            <w:vAlign w:val="bottom"/>
          </w:tcPr>
          <w:p>
            <w:pPr>
              <w:ind w:left="66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0.7 %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three and nine months ended September 30, 2024, the Company incurred $7.9 million and $21.7 million, respectively, for transaction and integration-related expenses. The charge includes costs associated with ongoing integration activities related to our recent acquisitions. Such costs include professional fees, legal costs and related integration costs.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 nine months ended September 30, 2024 the Company has undertaken a restructuring program aimed at realigning its workforce as well as reviewing its global office footprint and optimizing its locations to best fit the requirements of the Company. This program has resulted in a restructuring charge of $45.8 million. The restructuring plan reflected a workforce reduction of $31.7 million and an office consolidation program to optimize the Company's office footprint of $14.1 million.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285,434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264,311</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21,123</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14.1 %</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12.9 %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8.0 %</w:t>
            </w:r>
          </w:p>
        </w:tc>
      </w:tr>
    </w:tbl>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increased by $21.1 million or 8.0% to $285.4 million compared to $264.3 million for the three months ended September 30, 2023. As a percentage of revenue, income from operations increased to 14.1% compared to 12.9% of revenue for the three months ended September 30, 2023.</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increased to $155.3 million compared to $121.3 million for three months ended September 30, 2023.</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Rest of Europe region, income from operations decreased to $54.7 million compared to $56.7 million for the three months ended September 30, 2023. As a percentage of revenues, income from operations in the Rest of Europe region decreased to 13.0% compared to 14.7% for the period ended September 30, 2023.</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the U.S. region, income from operations decreased to $58.2 million compared to $70.0 million for the period ended September 30, 2023. As a percentage of revenues in the U.S. region, income from operations in the U.S. region decreased to 7.7% compared to 8.4% for the period ended September 30, 2023.</w:t>
      </w:r>
    </w:p>
    <w:p>
      <w:pPr>
        <w:spacing w:after="0" w:line="191"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In other regions, income from operations increased to $17.2 million compared to $16.3 million for the period ended September 30, 2023. As percentage of revenue, income from operations in the other regions increased to 7.2% compared to 6.7% for the period ended September 30,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6"/>
        </w:trPr>
        <w:tc>
          <w:tcPr>
            <w:tcW w:w="65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Income from operations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800,788</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690,584</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110,204</w:t>
            </w: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12.8 %</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11.4 %</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16.0 %</w:t>
            </w:r>
          </w:p>
        </w:tc>
      </w:tr>
    </w:tbl>
    <w:p>
      <w:pPr>
        <w:spacing w:after="0" w:line="3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for the nine months ended September 30, 2024 increased by $110.2 million or 16.0% to $800.8 million compared to $690.6 million for the nine months ended September 30, 2023. As a percentage of revenue, income from operations increased to 12.8% compared to 11.4% of revenue for the nine months ended September 30, 2023.</w:t>
      </w:r>
    </w:p>
    <w:p>
      <w:pPr>
        <w:spacing w:after="0" w:line="19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Income from operations in Ireland increased to $400.4 million compared to $298.6 million for the nine months ended September 30, 2023. Income from operations in Ireland and other geographic regions are reflective of the Company’s global transfer pricing model.</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 the Rest of Europe region, income from operations increased to $147.9 million compared to $139.0 million for the nine months ended September 30, 2023. As a percentage of revenues in the Rest of Europe region, income from operations in the Rest of Europe region increased to 12.4% compared to 11.8% for the nine months ended September 30, 2023.</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U.S. region, income from operations decreased to $197.8 million compared to $213.8 million, for the nine months ended September 30, 2023. As a percentage of revenues in the US region, income from operations in the U.S. region decreased to 8.4% compared to 8.5% for the nine months ended September 30, 2023.</w:t>
      </w:r>
    </w:p>
    <w:p>
      <w:pPr>
        <w:spacing w:after="0" w:line="13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other regions, income from operations increased to $54.7 million compared to $39.2 million for the nine months ended September 30, 2023. As percentage of revenues in other regions, income from operations in other regions increased to 7.6% compared to 6.0%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1,161</w:t>
            </w: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91.2 %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2,307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(53,303)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(83,908)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30,605</w:t>
            </w:r>
          </w:p>
        </w:tc>
        <w:tc>
          <w:tcPr>
            <w:tcW w:w="720" w:type="dxa"/>
            <w:vAlign w:val="bottom"/>
          </w:tcPr>
          <w:p>
            <w:pPr>
              <w:jc w:val="right"/>
              <w:spacing w:after="0"/>
              <w:rPr>
                <w:sz w:val="20"/>
                <w:szCs w:val="20"/>
                <w:color w:val="auto"/>
              </w:rPr>
            </w:pPr>
            <w:r>
              <w:rPr>
                <w:rFonts w:ascii="Arial" w:cs="Arial" w:eastAsia="Arial" w:hAnsi="Arial"/>
                <w:sz w:val="16"/>
                <w:szCs w:val="16"/>
                <w:color w:val="auto"/>
              </w:rPr>
              <w:t>(36.5)%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(185,808)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(255,665)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69,857</w:t>
            </w:r>
          </w:p>
        </w:tc>
        <w:tc>
          <w:tcPr>
            <w:tcW w:w="72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Interest expense for the three months ended September 30, 2024 decreased to $53.3 million, compared to $83.9 million for the three months ended September 30, 2023. The decrease in the period reflects significant repayments of the Company's loan facilities in 2023 and 2024, the repricing of the senior secured term loan facility and senior secured revolving credit facility in March 2024, the impact of reduced interest rates on the New Notes issued in May 2024 and the closure of the 2022 Swap and 2022 Caps. Interest income for the three months ended September 30, 2024 increased to $2.4 million compared to $1.3 million for the three months ended September 30, 2023.</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Interest expense for the nine months ended September 30, 2024 decreased to $185.8 million, compared to $255.7 million for the nine months ended September 30, 2023. The decrease in the period reflects significant repayments of the Company's loan facilities in 2023 and in the nine months to September 30, 2024, the repricing of the senior secured term loan facility and senior secured revolving credit facility in March 2024, the impact of reduced interest rates on the New Notes issued in May 2024 and the closure of the 2022 Swap and 2022 Caps. Interest income for the nine months ended September 30, 2024 increased to $5.6 million, compared to $3.3 million for the nine months ended September 30, 2023.</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left="1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4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37,437</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3"/>
              </w:rPr>
              <w:t>18,011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19,426</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89,105</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41,913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47,192</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9.9 %</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107.9 %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14.4 %</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9.6 %</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112.6 %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tax expense increased to a $37.4 million charge compared to a $18.0 million charge for the three months ended September 30, 2023. The Company’s effective tax rate for the three months ended September 30, 2024 was 16.0% compared with 9.9% for the three months ended September 30, 2023 primarily due to changes in various tax laws.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tax expense increased to a $89.1 million charge compared to a $41.9 million charge for the nine months ended September 30, 2023. The Company’s effective tax rate for the nine months ended September 30, 2024 was 14.4% compared with 9.6% for the nine months ended September 30, 2023 primarily due to changes in various tax laws.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 the exception of the foregoing, the Company’s effective tax rate remains principally a function of the distribution of pre-tax profits amongst the territories in which it operates.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reflects the servicing of the Company's external debt and transactions pertaining to its ordinary shares.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2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(Drawn</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Net cash</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 non-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Effect of</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inflow/</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cash</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exchange</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Down)/repaid</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(outflow)</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rates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317,204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695,507</w:t>
            </w: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Arial" w:cs="Arial" w:eastAsia="Arial" w:hAnsi="Arial"/>
                <w:sz w:val="16"/>
                <w:szCs w:val="16"/>
                <w:color w:val="auto"/>
              </w:rPr>
              <w:t>Senior Secured Credit Facilities, New</w:t>
            </w:r>
          </w:p>
        </w:tc>
        <w:tc>
          <w:tcPr>
            <w:tcW w:w="4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(3,775,589)</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352,843</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12,678</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(22,062)</w:t>
            </w:r>
          </w:p>
        </w:tc>
        <w:tc>
          <w:tcPr>
            <w:tcW w:w="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(3,432,130)</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Notes &amp; 2026 Notes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Net cash and cash equivalents and</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(3,397,487)</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352,843</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329,882</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(22,062)</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(2,736,623)</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cash and cash equivalents at September 30, 2024 amounted to $695.5 million compared with $378.1 million at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2023.</w:t>
      </w:r>
    </w:p>
    <w:p>
      <w:pPr>
        <w:spacing w:after="0" w:line="232"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for details on the Company's outstanding debt. Refer to note 9. </w:t>
      </w:r>
      <w:r>
        <w:rPr>
          <w:rFonts w:ascii="Arial" w:cs="Arial" w:eastAsia="Arial" w:hAnsi="Arial"/>
          <w:sz w:val="16"/>
          <w:szCs w:val="16"/>
          <w:i w:val="1"/>
          <w:iCs w:val="1"/>
          <w:color w:val="auto"/>
        </w:rPr>
        <w:t>Operating Leases</w:t>
      </w:r>
      <w:r>
        <w:rPr>
          <w:rFonts w:ascii="Arial" w:cs="Arial" w:eastAsia="Arial" w:hAnsi="Arial"/>
          <w:sz w:val="16"/>
          <w:szCs w:val="16"/>
          <w:color w:val="auto"/>
        </w:rPr>
        <w:t xml:space="preserve"> for further details on the Company's contractual liabilities for lease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Net cash provided by operating activities increased by $227.4 million to $948.3 million for the nine months ended September 30, 2024 as compared to net cash provided by operating activities of $720.9 million for the nine months ended September 30, 2023. The increase in net cash provided by operating activities of $227.4 million is primarily due to an increase in underlying operating activity.</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change in working capital is primarily attributable to a decrease in accounts receivable of $491.9 million, an increase in unbilled revenue of $437.9 million and a decrease in unearned revenue of $231.2 million. These changes result from differences in timing of revenue recognition, cash collection and billing on clinical trials. The number of days’ revenue outstanding at September 30, 2024 was 52 days (June 30, 2024: 51 days, March 31, 2024: 49 days, December 31, 2023: 47 days, September 30, 2023: 49 days, June 30, 2023: 52 days). A decrease in the number of days’ revenue outstanding during a period will result in cash inflows to the Company while an increase in days revenue outstanding will lead to cash outflows.</w:t>
      </w: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also impacts cash inflows and days' revenue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Net cash used in investing activities was $197.9 million for the nine months ended September 30, 2024 compared to net cash used in investing activities of $104.2 million for the nine months ended September 30, 2023. Net cash used in investing activities during the nine months ended September 30, 2024 was primarily related to cash outflows of $106.8 million for capital expenditures made mainly relating to investment in facilities and IT infrastructure, $85.6 million in relation to the acquisitions of HumanFirst and KCR Group and $7.5 million in relation to investments in equity.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Net cash used in financing activities during the nine months ended September 30, 2024 amounted to $433.2 million compared to net cash used in financing activities of $588.5 million for the nine months ended September 30, 2023. During the nine months ended September 30, 2024, the Company made a net repayment of $352.8 million on external financing (See the C</w:t>
      </w:r>
      <w:r>
        <w:rPr>
          <w:rFonts w:ascii="Arial" w:cs="Arial" w:eastAsia="Arial" w:hAnsi="Arial"/>
          <w:sz w:val="16"/>
          <w:szCs w:val="16"/>
          <w:i w:val="1"/>
          <w:iCs w:val="1"/>
          <w:color w:val="auto"/>
        </w:rPr>
        <w:t>ondensed Consolidated Statements of Cash Flows</w:t>
      </w:r>
      <w:r>
        <w:rPr>
          <w:rFonts w:ascii="Arial" w:cs="Arial" w:eastAsia="Arial" w:hAnsi="Arial"/>
          <w:sz w:val="16"/>
          <w:szCs w:val="16"/>
          <w:color w:val="auto"/>
        </w:rPr>
        <w:t xml:space="preserve"> for further details). In addition, see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section within this document for further details on the New Notes issued in May 2024 and the use of proceeds. Further, the Company repurchased 337,070 ordinary shares for a total consideration of $100.0 million. These outflows were offset by $32.4 million received by the Company from the exercise of equity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inflow</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result of these cash flows, cash and cash equivalents increased by $317.4 million for the nine months ended September 30, 2024 compared to an increase of $24.3 million for the nine months ended September 30, 2023.</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Summarized financial information of issuers and guarantors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Any Guarantor will be automatically and unconditionally released from all obligations under its note guarantee, and such note guarantee shall thereupon terminate and be discharged and of no further force and effect:</w:t>
      </w:r>
    </w:p>
    <w:p>
      <w:pPr>
        <w:spacing w:after="0" w:line="197" w:lineRule="exact"/>
        <w:rPr>
          <w:sz w:val="20"/>
          <w:szCs w:val="20"/>
          <w:color w:val="auto"/>
        </w:rPr>
      </w:pPr>
    </w:p>
    <w:p>
      <w:pPr>
        <w:jc w:val="both"/>
        <w:ind w:left="660" w:right="20" w:hanging="328"/>
        <w:spacing w:after="0" w:line="24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to all Guarantors (other than ICON), at the time of any collateral release event;</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legal defeasance, covenant defeasance or satisfaction and discharge of the indenture governing the New Notes;</w:t>
      </w:r>
    </w:p>
    <w:p>
      <w:pPr>
        <w:spacing w:after="0" w:line="5"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merger, amalgamation or consolidation of any Guarantor into ICON, the Issuer or another Guarantor or upon the liquidation, dissolution or winding up of such Guarantor;</w:t>
      </w:r>
    </w:p>
    <w:p>
      <w:pPr>
        <w:spacing w:after="0" w:line="1"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release of such Guarantor from its guarantee under the Senior Secured Credit Facilities (except in the case of a release from the repayment in full of the Senior Secured Credit Facilities); or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such Guarantor becoming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Summarized Combined Financial Information</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Summarized financial information (the "SFI"), as defined under Rule 1-02 (bb) of Regulation S-X, is provided below for the Issuer and Guarantor entities, collectively, the "Obligor Group" as of September 30, 2024 and December 31, 2023, and for the nine months ended September 30, 2024 and the year ended December 31, 2023. The SFI is presented on a combined basis with intercompany transactions and balances among the entities included in the Obligor Group eliminated. The Obligor Group SFI excludes investments in non-guarantor entities.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r>
      <w:tr>
        <w:trPr>
          <w:trHeight w:val="216"/>
        </w:trPr>
        <w:tc>
          <w:tcPr>
            <w:tcW w:w="8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155"/>
        </w:trPr>
        <w:tc>
          <w:tcPr>
            <w:tcW w:w="8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8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5,665,538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7,444,520</w:t>
            </w:r>
          </w:p>
        </w:tc>
      </w:tr>
      <w:tr>
        <w:trPr>
          <w:trHeight w:val="215"/>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costs and expenses (a)</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5,053,448</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6,683,520</w:t>
            </w:r>
          </w:p>
        </w:tc>
      </w:tr>
      <w:tr>
        <w:trPr>
          <w:trHeight w:val="234"/>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 (a)</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612,090</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761,000</w:t>
            </w: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 (b)</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280,702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356,467</w:t>
            </w:r>
          </w:p>
        </w:tc>
      </w:tr>
      <w:tr>
        <w:trPr>
          <w:trHeight w:val="21"/>
        </w:trPr>
        <w:tc>
          <w:tcPr>
            <w:tcW w:w="8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hanging="8"/>
        <w:spacing w:after="0" w:line="256" w:lineRule="auto"/>
        <w:tabs>
          <w:tab w:leader="none" w:pos="59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amortization of intangible assets of $286.4 million for the nine months ended September 30, 2024 and $452.8 million for the year ended December 31, 2023.</w:t>
      </w:r>
    </w:p>
    <w:p>
      <w:pPr>
        <w:spacing w:after="0" w:line="1" w:lineRule="exact"/>
        <w:rPr>
          <w:rFonts w:ascii="Arial" w:cs="Arial" w:eastAsia="Arial" w:hAnsi="Arial"/>
          <w:sz w:val="16"/>
          <w:szCs w:val="16"/>
          <w:color w:val="auto"/>
        </w:rPr>
      </w:pPr>
    </w:p>
    <w:p>
      <w:pPr>
        <w:ind w:left="340" w:hanging="8"/>
        <w:spacing w:after="0" w:line="283" w:lineRule="auto"/>
        <w:tabs>
          <w:tab w:leader="none" w:pos="59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intercompany interest expense of $110.2 million for the nine months ended September 30, 2024 and $130.0 million for the year ended December 31, 2023.</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(Unaudited)</w:t>
            </w:r>
          </w:p>
        </w:tc>
      </w:tr>
      <w:tr>
        <w:trPr>
          <w:trHeight w:val="155"/>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3,404,833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2,941,492</w:t>
            </w: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 (c)</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61,965,877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61,347,045</w:t>
            </w:r>
          </w:p>
        </w:tc>
      </w:tr>
      <w:tr>
        <w:trPr>
          <w:trHeight w:val="215"/>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Intercompany receivables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1,533,797</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1,052,855</w:t>
            </w:r>
          </w:p>
        </w:tc>
      </w:tr>
      <w:tr>
        <w:trPr>
          <w:trHeight w:val="235"/>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66,904,507</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65,341,392</w:t>
            </w: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2,574,633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2,514,633</w:t>
            </w: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4,486,460</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4,799,554</w:t>
            </w:r>
          </w:p>
        </w:tc>
      </w:tr>
      <w:tr>
        <w:trPr>
          <w:trHeight w:val="216"/>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Intercompany payables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5,397,174</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4,618,868</w:t>
            </w:r>
          </w:p>
        </w:tc>
      </w:tr>
      <w:tr>
        <w:trPr>
          <w:trHeight w:val="21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12,458,267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11,933,055</w:t>
            </w: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 Non-current assets include each Guarantor's investment in obligor subsidiaries, on a combined aggregated basis.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 material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February 23, 2024 for risks and uncertainties facing the Company.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Exhibit</w:t>
            </w:r>
          </w:p>
        </w:tc>
        <w:tc>
          <w:tcPr>
            <w:tcW w:w="9680" w:type="dxa"/>
            <w:vAlign w:val="bottom"/>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40" w:type="dxa"/>
            <w:vAlign w:val="bottom"/>
            <w:gridSpan w:val="4"/>
            <w:shd w:val="clear" w:color="auto" w:fill="CCEEFF"/>
          </w:tcPr>
          <w:p>
            <w:pPr>
              <w:ind w:left="20"/>
              <w:spacing w:after="0" w:line="175" w:lineRule="exact"/>
              <w:rPr>
                <w:sz w:val="20"/>
                <w:szCs w:val="20"/>
                <w:color w:val="auto"/>
              </w:rPr>
            </w:pPr>
            <w:r>
              <w:rPr>
                <w:rFonts w:ascii="Arial" w:cs="Arial" w:eastAsia="Arial" w:hAnsi="Arial"/>
                <w:sz w:val="16"/>
                <w:szCs w:val="16"/>
                <w:color w:val="0000FF"/>
              </w:rPr>
              <w:t>22.</w:t>
            </w:r>
            <w:r>
              <w:rPr>
                <w:rFonts w:ascii="Arial" w:cs="Arial" w:eastAsia="Arial" w:hAnsi="Arial"/>
                <w:sz w:val="16"/>
                <w:szCs w:val="16"/>
                <w:u w:val="single" w:color="auto"/>
                <w:color w:val="0000FF"/>
              </w:rPr>
              <w:t>1*</w:t>
            </w:r>
          </w:p>
        </w:tc>
        <w:tc>
          <w:tcPr>
            <w:tcW w:w="9680" w:type="dxa"/>
            <w:vAlign w:val="bottom"/>
            <w:shd w:val="clear" w:color="auto" w:fill="CCEEFF"/>
          </w:tcPr>
          <w:p>
            <w:pPr>
              <w:ind w:left="400"/>
              <w:spacing w:after="0" w:line="175" w:lineRule="exact"/>
              <w:rPr>
                <w:sz w:val="20"/>
                <w:szCs w:val="20"/>
                <w:color w:val="auto"/>
              </w:rPr>
            </w:pPr>
            <w:r>
              <w:rPr>
                <w:rFonts w:ascii="Arial" w:cs="Arial" w:eastAsia="Arial" w:hAnsi="Arial"/>
                <w:sz w:val="16"/>
                <w:szCs w:val="16"/>
                <w:color w:val="auto"/>
              </w:rPr>
              <w:t>List of Subsidiary Guarantors and Issuer of Guaranteed Debt Securities and Affiliates Whose Securities Collateralize Securities</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96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of ICON Investments Six Designated Activity Company.</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49">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1140" w:type="dxa"/>
            <w:vAlign w:val="bottom"/>
            <w:shd w:val="clear" w:color="auto" w:fill="CCEEFF"/>
          </w:tcPr>
          <w:p>
            <w:pPr>
              <w:spacing w:after="0"/>
              <w:rPr>
                <w:sz w:val="15"/>
                <w:szCs w:val="15"/>
                <w:color w:val="auto"/>
              </w:rPr>
            </w:pPr>
          </w:p>
        </w:tc>
        <w:tc>
          <w:tcPr>
            <w:tcW w:w="9680" w:type="dxa"/>
            <w:vAlign w:val="bottom"/>
            <w:shd w:val="clear" w:color="auto" w:fill="CCEEFF"/>
          </w:tcPr>
          <w:p>
            <w:pPr>
              <w:ind w:left="400"/>
              <w:spacing w:after="0" w:line="175" w:lineRule="exact"/>
              <w:rPr>
                <w:sz w:val="20"/>
                <w:szCs w:val="20"/>
                <w:color w:val="auto"/>
              </w:rPr>
            </w:pPr>
            <w:r>
              <w:rPr>
                <w:rFonts w:ascii="Arial" w:cs="Arial" w:eastAsia="Arial" w:hAnsi="Arial"/>
                <w:sz w:val="16"/>
                <w:szCs w:val="16"/>
                <w:color w:val="auto"/>
              </w:rPr>
              <w:t>Third Amendment to Credit Agreement, dated as of March 14, 2024, by and among various subsidiaries of ICON plc, Citibank,</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CCEEFF"/>
            </w:tcBorders>
            <w:shd w:val="clear" w:color="auto" w:fill="CCEEFF"/>
          </w:tcPr>
          <w:p>
            <w:pPr>
              <w:ind w:left="400"/>
              <w:spacing w:after="0" w:line="168" w:lineRule="exact"/>
              <w:rPr>
                <w:sz w:val="20"/>
                <w:szCs w:val="20"/>
                <w:color w:val="auto"/>
              </w:rPr>
            </w:pPr>
            <w:r>
              <w:rPr>
                <w:rFonts w:ascii="Arial" w:cs="Arial" w:eastAsia="Arial" w:hAnsi="Arial"/>
                <w:sz w:val="16"/>
                <w:szCs w:val="16"/>
                <w:color w:val="auto"/>
              </w:rPr>
              <w:t>N.A., as administrative agent and swingline lender, and various revolving lenders (incorporated by reference to exhibit 99.1 to the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6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Form 6-K (File No. 333-08704) filed on April 25, 2024).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6"/>
                <w:szCs w:val="16"/>
                <w:color w:val="auto"/>
              </w:rPr>
              <w:t>* Filed herewith</w:t>
            </w: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314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80"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25, 2024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1138"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 OF GUARANTEED SECURITIES AND AFFILIATES WHOSE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COLLATERALIZE SECURITIES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ICON plc, (the “Company”) are guarantors of ICON Investments Six Designated Activity Company’s (the “Issuer”) 5.809%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 5.849% Senior Secured Notes due 2029 and 6.000% Senior Secured Notes due 2034</w:t>
      </w:r>
      <w:r>
        <w:rPr>
          <w:rFonts w:ascii="Times New Roman" w:cs="Times New Roman" w:eastAsia="Times New Roman" w:hAnsi="Times New Roman"/>
          <w:sz w:val="19"/>
          <w:szCs w:val="19"/>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0" w:type="dxa"/>
            <w:vAlign w:val="bottom"/>
          </w:tcPr>
          <w:p>
            <w:pPr>
              <w:spacing w:after="0"/>
              <w:rPr>
                <w:sz w:val="1"/>
                <w:szCs w:val="1"/>
                <w:color w:val="auto"/>
              </w:rPr>
            </w:pPr>
          </w:p>
        </w:tc>
      </w:tr>
      <w:tr>
        <w:trPr>
          <w:trHeight w:val="175"/>
        </w:trPr>
        <w:tc>
          <w:tcPr>
            <w:tcW w:w="8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INCORPORATION OR</w:t>
            </w:r>
          </w:p>
        </w:tc>
        <w:tc>
          <w:tcPr>
            <w:tcW w:w="0" w:type="dxa"/>
            <w:vAlign w:val="bottom"/>
          </w:tcPr>
          <w:p>
            <w:pPr>
              <w:spacing w:after="0"/>
              <w:rPr>
                <w:sz w:val="1"/>
                <w:szCs w:val="1"/>
                <w:color w:val="auto"/>
              </w:rPr>
            </w:pPr>
          </w:p>
        </w:tc>
      </w:tr>
      <w:tr>
        <w:trPr>
          <w:trHeight w:val="243"/>
        </w:trPr>
        <w:tc>
          <w:tcPr>
            <w:tcW w:w="8260" w:type="dxa"/>
            <w:vAlign w:val="bottom"/>
            <w:gridSpan w:val="2"/>
            <w:vMerge w:val="continue"/>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18"/>
        </w:trPr>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w:t>
            </w:r>
          </w:p>
        </w:tc>
        <w:tc>
          <w:tcPr>
            <w:tcW w:w="132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Investments Four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Beacon Bioscience,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MolecularMD Corp.</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PriceSpective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Global,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US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 Carolina</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Health Sciences,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International,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Global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Parent Holding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Roy RPS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All issued and outstanding equity securities of the following subsidiaries of the Company, subject to the limitations set forth below, collateralize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5.809% Senior Secured Notes due 2027, 5.849% Senior Secured Notes due 2029 and 6.000% Senior Secured Notes due 2034: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(STATE OR OTHER JURISDICTION OF</w:t>
            </w:r>
          </w:p>
        </w:tc>
        <w:tc>
          <w:tcPr>
            <w:tcW w:w="478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80" w:type="dxa"/>
            <w:vAlign w:val="bottom"/>
            <w:gridSpan w:val="2"/>
            <w:vMerge w:val="continue"/>
          </w:tcPr>
          <w:p>
            <w:pPr>
              <w:spacing w:after="0"/>
              <w:rPr>
                <w:sz w:val="21"/>
                <w:szCs w:val="21"/>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0" w:type="dxa"/>
            <w:vAlign w:val="bottom"/>
          </w:tcPr>
          <w:p>
            <w:pPr>
              <w:spacing w:after="0"/>
              <w:rPr>
                <w:sz w:val="1"/>
                <w:szCs w:val="1"/>
                <w:color w:val="auto"/>
              </w:rPr>
            </w:pPr>
          </w:p>
        </w:tc>
      </w:tr>
      <w:tr>
        <w:trPr>
          <w:trHeight w:val="169"/>
        </w:trPr>
        <w:tc>
          <w:tcPr>
            <w:tcW w:w="44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ICON Investments Six Designated Activity Company</w:t>
            </w:r>
          </w:p>
        </w:tc>
        <w:tc>
          <w:tcPr>
            <w:tcW w:w="480" w:type="dxa"/>
            <w:vAlign w:val="bottom"/>
          </w:tcPr>
          <w:p>
            <w:pPr>
              <w:spacing w:after="0"/>
              <w:rPr>
                <w:sz w:val="14"/>
                <w:szCs w:val="14"/>
                <w:color w:val="auto"/>
              </w:rPr>
            </w:pPr>
          </w:p>
        </w:tc>
        <w:tc>
          <w:tcPr>
            <w:tcW w:w="44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ICON plc</w:t>
            </w:r>
          </w:p>
        </w:tc>
        <w:tc>
          <w:tcPr>
            <w:tcW w:w="3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Investments Four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8"/>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2"/>
        </w:trPr>
        <w:tc>
          <w:tcPr>
            <w:tcW w:w="49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47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Investments Five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Clinical Research Property Holdings (Ireland)</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Limited (Ireland)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(LR)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Early Phase Services, LLC (f/k/a Healthcare</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Discoveries, LLC) (Texas)</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Beacon Bioscience,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US Holdings Inc.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Laboratories, Inc.) (Delaware)</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96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MolecularMD Corp. (Delaware)</w:t>
            </w:r>
          </w:p>
        </w:tc>
        <w:tc>
          <w:tcPr>
            <w:tcW w:w="47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Laboratories,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PriceSpective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8"/>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Investments,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Clinical Resource Network, LLC (d/b/a Symphony Clinical</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(Illinois)</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Global, Inc. (New Jersey)</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US Inc. (North Carolina)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Bermuda, Ltd. (Bermuda)</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43" w:name="page44"/>
    <w:bookmarkEnd w:id="4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Services de Recherche Pharmaceutique Srl (Canada)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Colombia Ltda. (Colombia)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Hungary Research and</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Ltd. (Hungary)</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Italy S.r.l. (Italy)</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Mexico S. de R.L. de</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 V. (Mexico)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Mexico S. de R.L. de</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PRA International, LLC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 V. (Mexico)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ReSearch Pharmaceutical Services Netherlands B.V.</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RPS Perú S.A.C. (Peru)</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Research Pharmaceutical Services Puerto Rico, Inc. (Puerto</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Romania S.R.L.</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España, S.A.U. (Spain)</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Sweden AB (Sweden)</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Research (Thailand) Co., Ltd. (Thailand)</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Sterling Synergy Systems Limited (United Kingdom)</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ClinStar LLC (California)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Nextrials, Inc. (California)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Care Innovations,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CRI NewCo,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International Medical Technical Consultants, LLC</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Parallel 6,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PRA Early Development Research, Inc. (f/k/a Pharma Bio-</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USA, Inc.) (Delaware)</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US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Health Sciences,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Receivables,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Roy RPS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Source Healthcare Analytics,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Sunset Hills,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Symphony Health Solutions Corporation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 (Virginia)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International,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RPS Parent Holding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RPS Global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400" w:top="1440" w:right="8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Government and Public Health Solutions, Inc.</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US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Bristol, LLC (Tennessee)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Charleston, LLC (South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Charlotte,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Christie Clinic, LLC (Illinois)</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Hickory,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Raleigh,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Rocky Mount,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Salisbury,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Wilmington,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Winston-Salem,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Averion Europe GmbH (Germany)</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CHC Group,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PubsHub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Global Pharmaceutical Strategies Group,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MMMM Group,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Tennessee,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ADDPLAN, Inc.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Tennessee,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3"/>
        </w:trPr>
        <w:tc>
          <w:tcPr>
            <w:tcW w:w="4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CRN North America, LLC (d/b/a Symphony Clinical</w:t>
            </w:r>
          </w:p>
        </w:tc>
        <w:tc>
          <w:tcPr>
            <w:tcW w:w="452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CRN Holdings, LLC</w:t>
            </w:r>
          </w:p>
        </w:tc>
        <w:tc>
          <w:tcPr>
            <w:tcW w:w="1540" w:type="dxa"/>
            <w:vAlign w:val="bottom"/>
          </w:tcPr>
          <w:p>
            <w:pPr>
              <w:jc w:val="center"/>
              <w:ind w:left="1030"/>
              <w:spacing w:after="0" w:line="202"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Staffing) (Delaware)</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Symphony Clinical Research Sp. Z O O. (Poland)</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CRN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ICON Clinical Research Holdings (U.K.) Limited (United</w:t>
            </w:r>
          </w:p>
        </w:tc>
        <w:tc>
          <w:tcPr>
            <w:tcW w:w="452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Oncacare Limited (Ireland)</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620"/>
      </w:cols>
      <w:pgMar w:left="400" w:top="14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endash "/>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9" Type="http://schemas.openxmlformats.org/officeDocument/2006/relationships/hyperlink" Target="https://www.sec.gov/Archives/edgar/data/1060955/000106095524000028/ex991icon-amendmentno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2024-10-25T08:09:33Z</dcterms:created>
  <dcterms:modified xsi:type="dcterms:W3CDTF">2024-10-25T08:09:33Z</dcterms:modified>
</cp:coreProperties>
</file>