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520"/>
        <w:spacing w:after="0"/>
        <w:rPr>
          <w:sz w:val="20"/>
          <w:szCs w:val="20"/>
          <w:color w:val="auto"/>
        </w:rPr>
      </w:pPr>
      <w:r>
        <w:rPr>
          <w:rFonts w:ascii="Arial" w:cs="Arial" w:eastAsia="Arial" w:hAnsi="Arial"/>
          <w:sz w:val="19"/>
          <w:szCs w:val="19"/>
          <w:color w:val="auto"/>
        </w:rPr>
        <w:t>Date: May 11, 2021</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The following communication was made available by ICON plc to its employees on May 11, 2021.</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Leadership Team: Steve Cutler Employee Update – 11 May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6459855</wp:posOffset>
            </wp:positionH>
            <wp:positionV relativeFrom="paragraph">
              <wp:posOffset>-119380</wp:posOffset>
            </wp:positionV>
            <wp:extent cx="67691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910" cy="6775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Dear Colleagues,</w:t>
      </w:r>
    </w:p>
    <w:p>
      <w:pPr>
        <w:spacing w:after="0" w:line="393" w:lineRule="exact"/>
        <w:rPr>
          <w:sz w:val="24"/>
          <w:szCs w:val="24"/>
          <w:color w:val="auto"/>
        </w:rPr>
      </w:pPr>
    </w:p>
    <w:p>
      <w:pPr>
        <w:ind w:right="600"/>
        <w:spacing w:after="0"/>
        <w:rPr>
          <w:sz w:val="20"/>
          <w:szCs w:val="20"/>
          <w:color w:val="auto"/>
        </w:rPr>
      </w:pPr>
      <w:r>
        <w:rPr>
          <w:rFonts w:ascii="Arial" w:cs="Arial" w:eastAsia="Arial" w:hAnsi="Arial"/>
          <w:sz w:val="22"/>
          <w:szCs w:val="22"/>
          <w:color w:val="auto"/>
        </w:rPr>
        <w:t>ICON’s acquisition of PRA Health Sciences creates a unique combination of capabilities, combining two high-quality, innovative, growing organisations with similar cultures and values to become the world leading healthcare intelligence and clinical CRO.</w:t>
      </w:r>
    </w:p>
    <w:p>
      <w:pPr>
        <w:spacing w:after="0" w:line="213" w:lineRule="exact"/>
        <w:rPr>
          <w:sz w:val="24"/>
          <w:szCs w:val="24"/>
          <w:color w:val="auto"/>
        </w:rPr>
      </w:pPr>
    </w:p>
    <w:p>
      <w:pPr>
        <w:ind w:right="280"/>
        <w:spacing w:after="0" w:line="238" w:lineRule="auto"/>
        <w:rPr>
          <w:sz w:val="20"/>
          <w:szCs w:val="20"/>
          <w:color w:val="auto"/>
        </w:rPr>
      </w:pPr>
      <w:r>
        <w:rPr>
          <w:rFonts w:ascii="Arial" w:cs="Arial" w:eastAsia="Arial" w:hAnsi="Arial"/>
          <w:sz w:val="22"/>
          <w:szCs w:val="22"/>
          <w:color w:val="auto"/>
        </w:rPr>
        <w:t>Our goal is to create an organisation where customers will benefit from our broader service offerings and geographic footprint, deeper therapeutic expertise, innovative healthcare technology, functional talent and capabilities. Furthermore, as a combined company we will offer employees significant career development opportunities within and across the key service areas and geographies in the company.</w:t>
      </w:r>
    </w:p>
    <w:p>
      <w:pPr>
        <w:spacing w:after="0" w:line="212" w:lineRule="exact"/>
        <w:rPr>
          <w:sz w:val="24"/>
          <w:szCs w:val="24"/>
          <w:color w:val="auto"/>
        </w:rPr>
      </w:pPr>
    </w:p>
    <w:p>
      <w:pPr>
        <w:ind w:right="600"/>
        <w:spacing w:after="0" w:line="250" w:lineRule="auto"/>
        <w:rPr>
          <w:sz w:val="20"/>
          <w:szCs w:val="20"/>
          <w:color w:val="auto"/>
        </w:rPr>
      </w:pPr>
      <w:r>
        <w:rPr>
          <w:rFonts w:ascii="Arial" w:cs="Arial" w:eastAsia="Arial" w:hAnsi="Arial"/>
          <w:sz w:val="22"/>
          <w:szCs w:val="22"/>
          <w:color w:val="auto"/>
        </w:rPr>
        <w:t>Today I am pleased to announce the new leadership team who will report directly to me, with effect from the closing of the acquisition, which is likely to be in July.</w:t>
      </w:r>
    </w:p>
    <w:p>
      <w:pPr>
        <w:spacing w:after="0" w:line="205" w:lineRule="exact"/>
        <w:rPr>
          <w:sz w:val="24"/>
          <w:szCs w:val="24"/>
          <w:color w:val="auto"/>
        </w:rPr>
      </w:pPr>
    </w:p>
    <w:p>
      <w:pPr>
        <w:ind w:left="660" w:right="46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Tami Klerr – President Global Operations (Biotech / Small, Mid-Size Pharma) </w:t>
      </w:r>
      <w:r>
        <w:rPr>
          <w:rFonts w:ascii="Arial" w:cs="Arial" w:eastAsia="Arial" w:hAnsi="Arial"/>
          <w:sz w:val="18"/>
          <w:szCs w:val="18"/>
          <w:color w:val="auto"/>
        </w:rPr>
        <w:t>– Tami will lead the existing PRA Product Registration /</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Delivery team.</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Barry Balfe – President Global Operations (Large Pharma) </w:t>
      </w:r>
      <w:r>
        <w:rPr>
          <w:rFonts w:ascii="Arial" w:cs="Arial" w:eastAsia="Arial" w:hAnsi="Arial"/>
          <w:sz w:val="17"/>
          <w:szCs w:val="17"/>
          <w:color w:val="auto"/>
        </w:rPr>
        <w:t>– Barry will lead the existing ICON Clinical Research Services (CRS) team.</w:t>
      </w:r>
    </w:p>
    <w:p>
      <w:pPr>
        <w:spacing w:after="0" w:line="260" w:lineRule="exact"/>
        <w:rPr>
          <w:sz w:val="24"/>
          <w:szCs w:val="24"/>
          <w:color w:val="auto"/>
        </w:rPr>
      </w:pPr>
    </w:p>
    <w:p>
      <w:pPr>
        <w:ind w:right="60"/>
        <w:spacing w:after="0" w:line="275" w:lineRule="auto"/>
        <w:rPr>
          <w:sz w:val="20"/>
          <w:szCs w:val="20"/>
          <w:color w:val="auto"/>
        </w:rPr>
      </w:pPr>
      <w:r>
        <w:rPr>
          <w:rFonts w:ascii="Arial" w:cs="Arial" w:eastAsia="Arial" w:hAnsi="Arial"/>
          <w:sz w:val="19"/>
          <w:szCs w:val="19"/>
          <w:color w:val="auto"/>
        </w:rPr>
        <w:t>Business continuity and continued delivery and execution is critical to our customers and in the short term Tami and Barry will generally maintain their organisations in their current state, ensuring that existing customers remain with their current delivery teams. Over time, and particularly for new business wins, we will evolve and Tami’s organisation will focus on biotech and small and mid-size (SMID) pharma customers with Barry’s organisation focused on large pharma customers. The large pharma group will focus predominantly on the Top 40 companies by R&amp;D expenditure, with the Biotech/ SMID team focused on all other customers. Having a dedicated focus on these segments is an important strategic shift for the combined company moving forward, to reflect specific customer characteristics and the drug development funding environment. Both leaders will also work to determine where resources and services can be shared and more optimally utilised across both groups over time.</w:t>
      </w:r>
    </w:p>
    <w:p>
      <w:pPr>
        <w:spacing w:after="0" w:line="187" w:lineRule="exact"/>
        <w:rPr>
          <w:sz w:val="24"/>
          <w:szCs w:val="24"/>
          <w:color w:val="auto"/>
        </w:rPr>
      </w:pPr>
    </w:p>
    <w:p>
      <w:pPr>
        <w:ind w:left="660" w:right="60" w:hanging="328"/>
        <w:spacing w:after="0" w:line="28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Samir Shah – President Global Strategic Solutions </w:t>
      </w:r>
      <w:r>
        <w:rPr>
          <w:rFonts w:ascii="Arial" w:cs="Arial" w:eastAsia="Arial" w:hAnsi="Arial"/>
          <w:sz w:val="17"/>
          <w:szCs w:val="17"/>
          <w:color w:val="auto"/>
        </w:rPr>
        <w:t>– Samir will lead the PRA Strategic Solutions team along with the ICON Functional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(IFS) and Government &amp; Public Health Solutions (GPHS) teams. This combined group will become the largest functional and embedded solutions® services provider in the industry. We anticipate continued growth in this part of our business on a standalone basis and also as we continue to see more demand for large-scale, blended solutions, combining full service and functional delivery models.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left="660" w:right="24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Nuala Murphy – President Global Specialty Solutions </w:t>
      </w:r>
      <w:r>
        <w:rPr>
          <w:rFonts w:ascii="Arial" w:cs="Arial" w:eastAsia="Arial" w:hAnsi="Arial"/>
          <w:sz w:val="18"/>
          <w:szCs w:val="18"/>
          <w:color w:val="auto"/>
        </w:rPr>
        <w:t>– Nuala will lead our services in the following areas: Early Phase and Bioanalytical,</w:t>
      </w:r>
      <w:r>
        <w:rPr>
          <w:rFonts w:ascii="Arial" w:cs="Arial" w:eastAsia="Arial" w:hAnsi="Arial"/>
          <w:sz w:val="18"/>
          <w:szCs w:val="18"/>
          <w:b w:val="1"/>
          <w:bCs w:val="1"/>
          <w:color w:val="auto"/>
        </w:rPr>
        <w:t xml:space="preserve"> </w:t>
      </w:r>
      <w:r>
        <w:rPr>
          <w:rFonts w:ascii="Arial" w:cs="Arial" w:eastAsia="Arial" w:hAnsi="Arial"/>
          <w:sz w:val="18"/>
          <w:szCs w:val="18"/>
          <w:color w:val="auto"/>
        </w:rPr>
        <w:t>Central and Specialty Laboratory, Commercialisation and Outcomes, Decentralised Trials, Site and Patient Recruitment Services and the Symphony Data Asset.</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Due to the accelerated adoption of digital technology and the growing use of decentralised trials, Nuala and her team will integrate capabilities, including PRA’s mobile and connected health platforms, real world data and information solutions, with ICON’s Accellacare site network, home health services and wearables expertise to enable us to deliver truly differentiated decentralised and hybrid trial solutions to meet growing customer needs. As we integrate these key components into our patient, site and data strategy, we will be able to provide a compelling set of solutions to customers that will accelerate patient recruitment and retention, increase participant diversity and ultimately shorten clinical trial timelines.</w:t>
      </w:r>
    </w:p>
    <w:p>
      <w:pPr>
        <w:spacing w:after="0" w:line="180" w:lineRule="exact"/>
        <w:rPr>
          <w:sz w:val="20"/>
          <w:szCs w:val="20"/>
          <w:color w:val="auto"/>
        </w:rPr>
      </w:pPr>
    </w:p>
    <w:p>
      <w:pPr>
        <w:ind w:left="660" w:right="8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George McMillan – Chief Commercial Officer </w:t>
      </w:r>
      <w:r>
        <w:rPr>
          <w:rFonts w:ascii="Arial" w:cs="Arial" w:eastAsia="Arial" w:hAnsi="Arial"/>
          <w:sz w:val="18"/>
          <w:szCs w:val="18"/>
          <w:color w:val="auto"/>
        </w:rPr>
        <w:t>– George will lead the combined ICON and PRA business development &amp;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organisations.</w:t>
      </w:r>
    </w:p>
    <w:p>
      <w:pPr>
        <w:spacing w:after="0" w:line="188" w:lineRule="exact"/>
        <w:rPr>
          <w:rFonts w:ascii="Arial" w:cs="Arial" w:eastAsia="Arial" w:hAnsi="Arial"/>
          <w:sz w:val="18"/>
          <w:szCs w:val="18"/>
          <w:color w:val="auto"/>
        </w:rPr>
      </w:pPr>
    </w:p>
    <w:p>
      <w:pPr>
        <w:ind w:left="660" w:right="8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Kent Thoelke – Chief Innovation Officer </w:t>
      </w:r>
      <w:r>
        <w:rPr>
          <w:rFonts w:ascii="Arial" w:cs="Arial" w:eastAsia="Arial" w:hAnsi="Arial"/>
          <w:sz w:val="18"/>
          <w:szCs w:val="18"/>
          <w:color w:val="auto"/>
        </w:rPr>
        <w:t>– Kent will take on a new role leading our Innovation strategy. Kent will provide leadership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 in a number of areas including DCT innovation, accelerating data to insight, commercial technology partnerships, improving patient and site recruitment outcomes and remote patient monitoring.</w:t>
      </w:r>
    </w:p>
    <w:p>
      <w:pPr>
        <w:spacing w:after="0" w:line="200" w:lineRule="exact"/>
        <w:rPr>
          <w:sz w:val="20"/>
          <w:szCs w:val="20"/>
          <w:color w:val="auto"/>
        </w:rPr>
      </w:pPr>
    </w:p>
    <w:p>
      <w:pPr>
        <w:jc w:val="both"/>
        <w:ind w:right="260"/>
        <w:spacing w:after="0" w:line="328" w:lineRule="auto"/>
        <w:rPr>
          <w:sz w:val="20"/>
          <w:szCs w:val="20"/>
          <w:color w:val="auto"/>
        </w:rPr>
      </w:pPr>
      <w:r>
        <w:rPr>
          <w:rFonts w:ascii="Arial" w:cs="Arial" w:eastAsia="Arial" w:hAnsi="Arial"/>
          <w:sz w:val="19"/>
          <w:szCs w:val="19"/>
          <w:color w:val="auto"/>
        </w:rPr>
        <w:t>Both ICON and PRA have a strong track record and reputation for industry leading Global Business Service (GBS) leadership and delivery, and the following GBS leadership appointments will ensure that we continue to leverage our strength in this area:</w:t>
      </w:r>
    </w:p>
    <w:p>
      <w:pPr>
        <w:spacing w:after="0" w:line="135" w:lineRule="exact"/>
        <w:rPr>
          <w:sz w:val="20"/>
          <w:szCs w:val="20"/>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Brendan Brennan – Chief Financial Officer </w:t>
      </w:r>
      <w:r>
        <w:rPr>
          <w:rFonts w:ascii="Arial" w:cs="Arial" w:eastAsia="Arial" w:hAnsi="Arial"/>
          <w:sz w:val="18"/>
          <w:szCs w:val="18"/>
          <w:color w:val="auto"/>
        </w:rPr>
        <w:t>(as previously announced)</w:t>
      </w:r>
    </w:p>
    <w:p>
      <w:pPr>
        <w:spacing w:after="0" w:line="252" w:lineRule="exact"/>
        <w:rPr>
          <w:rFonts w:ascii="Arial" w:cs="Arial" w:eastAsia="Arial" w:hAnsi="Arial"/>
          <w:sz w:val="18"/>
          <w:szCs w:val="18"/>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Diarmaid Cunningham – Chief Administrative Officer &amp; General Counsel </w:t>
      </w:r>
      <w:r>
        <w:rPr>
          <w:rFonts w:ascii="Arial" w:cs="Arial" w:eastAsia="Arial" w:hAnsi="Arial"/>
          <w:sz w:val="18"/>
          <w:szCs w:val="18"/>
          <w:color w:val="auto"/>
        </w:rPr>
        <w:t>(Legal, QA, Client Contracts, Procurement, Facilities)</w:t>
      </w:r>
    </w:p>
    <w:p>
      <w:pPr>
        <w:spacing w:after="0" w:line="252" w:lineRule="exact"/>
        <w:rPr>
          <w:rFonts w:ascii="Arial" w:cs="Arial" w:eastAsia="Arial" w:hAnsi="Arial"/>
          <w:sz w:val="18"/>
          <w:szCs w:val="18"/>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Tom O’Leary </w:t>
      </w:r>
      <w:r>
        <w:rPr>
          <w:rFonts w:ascii="Arial" w:cs="Arial" w:eastAsia="Arial" w:hAnsi="Arial"/>
          <w:sz w:val="18"/>
          <w:szCs w:val="18"/>
          <w:color w:val="auto"/>
        </w:rPr>
        <w:t>–</w:t>
      </w:r>
      <w:r>
        <w:rPr>
          <w:rFonts w:ascii="Arial" w:cs="Arial" w:eastAsia="Arial" w:hAnsi="Arial"/>
          <w:sz w:val="18"/>
          <w:szCs w:val="18"/>
          <w:b w:val="1"/>
          <w:bCs w:val="1"/>
          <w:color w:val="auto"/>
        </w:rPr>
        <w:t xml:space="preserve"> Chief Information Officer</w:t>
      </w:r>
    </w:p>
    <w:p>
      <w:pPr>
        <w:spacing w:after="0" w:line="252" w:lineRule="exact"/>
        <w:rPr>
          <w:rFonts w:ascii="Arial" w:cs="Arial" w:eastAsia="Arial" w:hAnsi="Arial"/>
          <w:sz w:val="18"/>
          <w:szCs w:val="18"/>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Joe Cronin </w:t>
      </w:r>
      <w:r>
        <w:rPr>
          <w:rFonts w:ascii="Arial" w:cs="Arial" w:eastAsia="Arial" w:hAnsi="Arial"/>
          <w:sz w:val="18"/>
          <w:szCs w:val="18"/>
          <w:color w:val="auto"/>
        </w:rPr>
        <w:t>–</w:t>
      </w:r>
      <w:r>
        <w:rPr>
          <w:rFonts w:ascii="Arial" w:cs="Arial" w:eastAsia="Arial" w:hAnsi="Arial"/>
          <w:sz w:val="18"/>
          <w:szCs w:val="18"/>
          <w:b w:val="1"/>
          <w:bCs w:val="1"/>
          <w:color w:val="auto"/>
        </w:rPr>
        <w:t xml:space="preserve"> Chief Human Resources Officer</w:t>
      </w:r>
    </w:p>
    <w:p>
      <w:pPr>
        <w:spacing w:after="0" w:line="252" w:lineRule="exact"/>
        <w:rPr>
          <w:rFonts w:ascii="Arial" w:cs="Arial" w:eastAsia="Arial" w:hAnsi="Arial"/>
          <w:sz w:val="18"/>
          <w:szCs w:val="18"/>
          <w:color w:val="auto"/>
        </w:rPr>
      </w:pPr>
    </w:p>
    <w:p>
      <w:pPr>
        <w:ind w:left="640" w:right="540" w:hanging="311"/>
        <w:spacing w:after="0" w:line="28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Simon Holmes </w:t>
      </w:r>
      <w:r>
        <w:rPr>
          <w:rFonts w:ascii="Arial" w:cs="Arial" w:eastAsia="Arial" w:hAnsi="Arial"/>
          <w:sz w:val="18"/>
          <w:szCs w:val="18"/>
          <w:color w:val="auto"/>
        </w:rPr>
        <w:t>–</w:t>
      </w:r>
      <w:r>
        <w:rPr>
          <w:rFonts w:ascii="Arial" w:cs="Arial" w:eastAsia="Arial" w:hAnsi="Arial"/>
          <w:sz w:val="18"/>
          <w:szCs w:val="18"/>
          <w:b w:val="1"/>
          <w:bCs w:val="1"/>
          <w:color w:val="auto"/>
        </w:rPr>
        <w:t xml:space="preserve"> Head of Corporate Development and Integration Management Office Lead </w:t>
      </w:r>
      <w:r>
        <w:rPr>
          <w:rFonts w:ascii="Arial" w:cs="Arial" w:eastAsia="Arial" w:hAnsi="Arial"/>
          <w:sz w:val="18"/>
          <w:szCs w:val="18"/>
          <w:color w:val="auto"/>
        </w:rPr>
        <w:t>(Simon will continue to report directly to</w:t>
      </w:r>
      <w:r>
        <w:rPr>
          <w:rFonts w:ascii="Arial" w:cs="Arial" w:eastAsia="Arial" w:hAnsi="Arial"/>
          <w:sz w:val="18"/>
          <w:szCs w:val="18"/>
          <w:b w:val="1"/>
          <w:bCs w:val="1"/>
          <w:color w:val="auto"/>
        </w:rPr>
        <w:t xml:space="preserve"> </w:t>
      </w:r>
      <w:r>
        <w:rPr>
          <w:rFonts w:ascii="Arial" w:cs="Arial" w:eastAsia="Arial" w:hAnsi="Arial"/>
          <w:sz w:val="18"/>
          <w:szCs w:val="18"/>
          <w:color w:val="auto"/>
        </w:rPr>
        <w:t>Brendan Brennan with a dotted line to myself, relating to integration activities)</w:t>
      </w:r>
    </w:p>
    <w:p>
      <w:pPr>
        <w:spacing w:after="0" w:line="185"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In addition to the new leadership team announcements above, I would also like to confirm the following direct reports of Nuala Murphy, President Global Specialty Solutions.</w:t>
      </w:r>
    </w:p>
    <w:p>
      <w:pPr>
        <w:spacing w:after="0" w:line="205" w:lineRule="exact"/>
        <w:rPr>
          <w:sz w:val="20"/>
          <w:szCs w:val="20"/>
          <w:color w:val="auto"/>
        </w:rPr>
      </w:pPr>
    </w:p>
    <w:p>
      <w:pPr>
        <w:ind w:left="640" w:right="40" w:hanging="311"/>
        <w:spacing w:after="0" w:line="282"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Kim Boericke – President Commercialisation &amp; Outcomes Services</w:t>
      </w:r>
      <w:r>
        <w:rPr>
          <w:rFonts w:ascii="Arial" w:cs="Arial" w:eastAsia="Arial" w:hAnsi="Arial"/>
          <w:sz w:val="18"/>
          <w:szCs w:val="18"/>
          <w:color w:val="auto"/>
        </w:rPr>
        <w:t>. Kim will lead the ICON Commercialisation &amp; Outcomes team along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PRA Real World Solutions team. Kim will also assume responsibility for DCT operations.</w:t>
      </w:r>
    </w:p>
    <w:p>
      <w:pPr>
        <w:spacing w:after="0" w:line="188"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Jim Miskel – President, Central &amp; Specialty Laboratory Services</w:t>
      </w:r>
    </w:p>
    <w:p>
      <w:pPr>
        <w:spacing w:after="0" w:line="252" w:lineRule="exact"/>
        <w:rPr>
          <w:rFonts w:ascii="Arial" w:cs="Arial" w:eastAsia="Arial" w:hAnsi="Arial"/>
          <w:sz w:val="18"/>
          <w:szCs w:val="18"/>
          <w:color w:val="auto"/>
        </w:rPr>
      </w:pPr>
    </w:p>
    <w:p>
      <w:pPr>
        <w:ind w:left="640" w:right="720" w:hanging="311"/>
        <w:spacing w:after="0" w:line="282"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Ted Broering – President, Early Development Services. </w:t>
      </w:r>
      <w:r>
        <w:rPr>
          <w:rFonts w:ascii="Arial" w:cs="Arial" w:eastAsia="Arial" w:hAnsi="Arial"/>
          <w:sz w:val="18"/>
          <w:szCs w:val="18"/>
          <w:color w:val="auto"/>
        </w:rPr>
        <w:t>Ted will lead the combined ICON and PRA Early Phase organisations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Bioanalytical Laboratory organisations.</w:t>
      </w:r>
    </w:p>
    <w:p>
      <w:pPr>
        <w:spacing w:after="0" w:line="188"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Doug Fulling – President, Symphony Health </w:t>
      </w:r>
      <w:r>
        <w:rPr>
          <w:rFonts w:ascii="Arial" w:cs="Arial" w:eastAsia="Arial" w:hAnsi="Arial"/>
          <w:sz w:val="18"/>
          <w:szCs w:val="18"/>
          <w:color w:val="auto"/>
        </w:rPr>
        <w:t>(PRA’s data solutions group)</w:t>
      </w:r>
    </w:p>
    <w:p>
      <w:pPr>
        <w:spacing w:after="0" w:line="252"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Alison Liddy </w:t>
      </w:r>
      <w:r>
        <w:rPr>
          <w:rFonts w:ascii="Arial" w:cs="Arial" w:eastAsia="Arial" w:hAnsi="Arial"/>
          <w:sz w:val="18"/>
          <w:szCs w:val="18"/>
          <w:color w:val="auto"/>
        </w:rPr>
        <w:t>–</w:t>
      </w:r>
      <w:r>
        <w:rPr>
          <w:rFonts w:ascii="Arial" w:cs="Arial" w:eastAsia="Arial" w:hAnsi="Arial"/>
          <w:sz w:val="18"/>
          <w:szCs w:val="18"/>
          <w:b w:val="1"/>
          <w:bCs w:val="1"/>
          <w:color w:val="auto"/>
        </w:rPr>
        <w:t xml:space="preserve"> SVP, Site &amp; Patient Recruitment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180"/>
        <w:spacing w:after="0" w:line="251" w:lineRule="auto"/>
        <w:rPr>
          <w:sz w:val="20"/>
          <w:szCs w:val="20"/>
          <w:color w:val="auto"/>
        </w:rPr>
      </w:pPr>
      <w:r>
        <w:rPr>
          <w:rFonts w:ascii="Arial" w:cs="Arial" w:eastAsia="Arial" w:hAnsi="Arial"/>
          <w:sz w:val="22"/>
          <w:szCs w:val="22"/>
          <w:color w:val="auto"/>
        </w:rPr>
        <w:t>To provide medical oversight, expertise and leadership to ensure the safe and effective delivery of clinical trials I am pleased to announce the following changes in reporting line:</w:t>
      </w:r>
    </w:p>
    <w:p>
      <w:pPr>
        <w:spacing w:after="0" w:line="204" w:lineRule="exact"/>
        <w:rPr>
          <w:sz w:val="20"/>
          <w:szCs w:val="20"/>
          <w:color w:val="auto"/>
        </w:rPr>
      </w:pPr>
    </w:p>
    <w:p>
      <w:pPr>
        <w:ind w:left="660" w:right="30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Kristen Buck, Chief Medical Officer </w:t>
      </w:r>
      <w:r>
        <w:rPr>
          <w:rFonts w:ascii="Arial" w:cs="Arial" w:eastAsia="Arial" w:hAnsi="Arial"/>
          <w:sz w:val="18"/>
          <w:szCs w:val="18"/>
          <w:color w:val="auto"/>
        </w:rPr>
        <w:t>will report to Barry Balfe and directly support the CRS team and future focused large pharma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unit.</w:t>
      </w:r>
    </w:p>
    <w:p>
      <w:pPr>
        <w:spacing w:after="0" w:line="188"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Greg Licholai, Chief Medical and Information Officer </w:t>
      </w:r>
      <w:r>
        <w:rPr>
          <w:rFonts w:ascii="Arial" w:cs="Arial" w:eastAsia="Arial" w:hAnsi="Arial"/>
          <w:sz w:val="18"/>
          <w:szCs w:val="18"/>
          <w:color w:val="auto"/>
        </w:rPr>
        <w:t>will report to Tami Klerr and directly support the Product Registration team and future</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biotech and SMID pharma business unit.</w:t>
      </w:r>
    </w:p>
    <w:p>
      <w:pPr>
        <w:spacing w:after="0" w:line="179"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color w:val="auto"/>
        </w:rPr>
        <w:t xml:space="preserve">I would also like to confirm that </w:t>
      </w:r>
      <w:r>
        <w:rPr>
          <w:rFonts w:ascii="Arial" w:cs="Arial" w:eastAsia="Arial" w:hAnsi="Arial"/>
          <w:sz w:val="22"/>
          <w:szCs w:val="22"/>
          <w:b w:val="1"/>
          <w:bCs w:val="1"/>
          <w:color w:val="auto"/>
        </w:rPr>
        <w:t>Harris Koffer,</w:t>
      </w:r>
      <w:r>
        <w:rPr>
          <w:rFonts w:ascii="Arial" w:cs="Arial" w:eastAsia="Arial" w:hAnsi="Arial"/>
          <w:sz w:val="22"/>
          <w:szCs w:val="22"/>
          <w:color w:val="auto"/>
        </w:rPr>
        <w:t xml:space="preserve"> as previously announced, will be the Integration Management Office Lead for PRA and will report to Brendan Brennan.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As previously announced, </w:t>
      </w:r>
      <w:r>
        <w:rPr>
          <w:rFonts w:ascii="Arial" w:cs="Arial" w:eastAsia="Arial" w:hAnsi="Arial"/>
          <w:sz w:val="22"/>
          <w:szCs w:val="22"/>
          <w:b w:val="1"/>
          <w:bCs w:val="1"/>
          <w:color w:val="auto"/>
        </w:rPr>
        <w:t>Colin Shannon, CEO PRA,</w:t>
      </w:r>
      <w:r>
        <w:rPr>
          <w:rFonts w:ascii="Arial" w:cs="Arial" w:eastAsia="Arial" w:hAnsi="Arial"/>
          <w:sz w:val="22"/>
          <w:szCs w:val="22"/>
          <w:color w:val="auto"/>
        </w:rPr>
        <w:t xml:space="preserve"> will join the Board of Directors of the new Company.</w:t>
      </w:r>
    </w:p>
    <w:p>
      <w:pPr>
        <w:spacing w:after="0" w:line="239"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I would also like to thank the following PRA executives for their dedicated service and contribution who, following a transition period, will be leaving the organisation. I wish Margaret Keegan, Chief Operating Officer; Mike Bonello, CFO; Chris Gaenzle, CAO; and James Allocco, CTO every success for the future.</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Following this announcement, I will be asking each of the appointed leaders to review their new organisations and the future leadership teams reporting to them. We will continue to keep you informed as we make further organisational decisions and we expect to make further leadership announcements in the coming weeks.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An organisation chart is attached for your information which includes names, titles and photos of the new leadership team.</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 am delighted to see our new, combined and highly experienced leadership team take up their new roles and continue to leverage the best of both from our two great companies. Please join me in congratulating the leadership team on their appointments and in wishing them all the very best in their roles going forward.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Many thanks,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Steve</w:t>
      </w:r>
    </w:p>
    <w:p>
      <w:pPr>
        <w:spacing w:after="0" w:line="238" w:lineRule="auto"/>
        <w:rPr>
          <w:sz w:val="20"/>
          <w:szCs w:val="20"/>
          <w:color w:val="auto"/>
        </w:rPr>
      </w:pPr>
      <w:r>
        <w:rPr>
          <w:rFonts w:ascii="Arial" w:cs="Arial" w:eastAsia="Arial" w:hAnsi="Arial"/>
          <w:sz w:val="22"/>
          <w:szCs w:val="22"/>
          <w:color w:val="auto"/>
        </w:rPr>
        <w:t>Steve Cutler</w:t>
      </w:r>
    </w:p>
    <w:p>
      <w:pPr>
        <w:spacing w:after="0" w:line="230" w:lineRule="auto"/>
        <w:rPr>
          <w:sz w:val="20"/>
          <w:szCs w:val="20"/>
          <w:color w:val="auto"/>
        </w:rPr>
      </w:pPr>
      <w:r>
        <w:rPr>
          <w:rFonts w:ascii="Arial" w:cs="Arial" w:eastAsia="Arial" w:hAnsi="Arial"/>
          <w:sz w:val="22"/>
          <w:szCs w:val="22"/>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w:t>
      </w:r>
      <w:r>
        <w:rPr>
          <w:rFonts w:ascii="Arial" w:cs="Arial" w:eastAsia="Arial" w:hAnsi="Arial"/>
          <w:sz w:val="19"/>
          <w:szCs w:val="19"/>
          <w:u w:val="single" w:color="auto"/>
          <w:color w:val="auto"/>
        </w:rPr>
        <w:t>ICON</w:t>
      </w:r>
      <w:r>
        <w:rPr>
          <w:rFonts w:ascii="Arial" w:cs="Arial" w:eastAsia="Arial" w:hAnsi="Arial"/>
          <w:sz w:val="19"/>
          <w:szCs w:val="19"/>
          <w:color w:val="auto"/>
        </w:rPr>
        <w:t>”) and PRA Health Sciences, Inc., a Delaware corporation (“</w:t>
      </w:r>
      <w:r>
        <w:rPr>
          <w:rFonts w:ascii="Arial" w:cs="Arial" w:eastAsia="Arial" w:hAnsi="Arial"/>
          <w:sz w:val="19"/>
          <w:szCs w:val="19"/>
          <w:u w:val="single" w:color="auto"/>
          <w:color w:val="auto"/>
        </w:rPr>
        <w:t>PRA</w:t>
      </w:r>
      <w:r>
        <w:rPr>
          <w:rFonts w:ascii="Arial" w:cs="Arial" w:eastAsia="Arial" w:hAnsi="Arial"/>
          <w:sz w:val="19"/>
          <w:szCs w:val="19"/>
          <w:color w:val="auto"/>
        </w:rPr>
        <w:t>”),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term “PRA” and such terms as “the company,” “the corporation,” “our,” “we,” “us” and “its”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2021-05-11T16:37:16Z</dcterms:created>
  <dcterms:modified xsi:type="dcterms:W3CDTF">2021-05-11T16:37:16Z</dcterms:modified>
</cp:coreProperties>
</file>