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14" w:lineRule="exact"/>
        <w:rPr>
          <w:sz w:val="24"/>
          <w:szCs w:val="24"/>
          <w:color w:val="auto"/>
        </w:rPr>
      </w:pPr>
    </w:p>
    <w:p>
      <w:pPr>
        <w:jc w:val="center"/>
        <w:ind w:right="-959"/>
        <w:spacing w:after="0"/>
        <w:rPr>
          <w:sz w:val="20"/>
          <w:szCs w:val="20"/>
          <w:color w:val="auto"/>
        </w:rPr>
      </w:pPr>
      <w:r>
        <w:rPr>
          <w:rFonts w:ascii="Arial" w:cs="Arial" w:eastAsia="Arial" w:hAnsi="Arial"/>
          <w:sz w:val="18"/>
          <w:szCs w:val="18"/>
          <w:b w:val="1"/>
          <w:bCs w:val="1"/>
          <w:color w:val="auto"/>
        </w:rPr>
        <w:t>SECURITIES AND EXCHANGE COMMISSION</w:t>
      </w:r>
    </w:p>
    <w:p>
      <w:pPr>
        <w:spacing w:after="0" w:line="180" w:lineRule="exact"/>
        <w:rPr>
          <w:sz w:val="24"/>
          <w:szCs w:val="24"/>
          <w:color w:val="auto"/>
        </w:rPr>
      </w:pPr>
    </w:p>
    <w:p>
      <w:pPr>
        <w:jc w:val="center"/>
        <w:ind w:right="-959"/>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Report of Foreign Private Issuer</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Pursuant to Rule 13a-16 under</w:t>
      </w:r>
    </w:p>
    <w:p>
      <w:pPr>
        <w:ind w:left="40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0"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For</w:t>
      </w:r>
    </w:p>
    <w:p>
      <w:pPr>
        <w:spacing w:after="0" w:line="14"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the month of May, 2024</w:t>
      </w:r>
    </w:p>
    <w:p>
      <w:pPr>
        <w:spacing w:after="0" w:line="180"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ICON plc</w:t>
      </w:r>
    </w:p>
    <w:p>
      <w:pPr>
        <w:spacing w:after="0" w:line="14"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(Translation of registrant’s name into English)</w:t>
      </w:r>
    </w:p>
    <w:p>
      <w:pPr>
        <w:spacing w:after="0" w:line="180"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333-08704</w:t>
      </w:r>
    </w:p>
    <w:p>
      <w:pPr>
        <w:spacing w:after="0" w:line="14"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(Commission file number)</w:t>
      </w:r>
    </w:p>
    <w:p>
      <w:pPr>
        <w:spacing w:after="0" w:line="180"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South County Business Park, Leopardstown, Dublin 18, D18 X5R3, Ireland</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90" w:lineRule="exact"/>
        <w:rPr>
          <w:sz w:val="24"/>
          <w:szCs w:val="24"/>
          <w:color w:val="auto"/>
        </w:rPr>
      </w:pPr>
    </w:p>
    <w:p>
      <w:pPr>
        <w:ind w:left="4400"/>
        <w:spacing w:after="0"/>
        <w:tabs>
          <w:tab w:leader="none" w:pos="6500" w:val="left"/>
        </w:tabs>
        <w:rPr>
          <w:sz w:val="20"/>
          <w:szCs w:val="20"/>
          <w:color w:val="auto"/>
        </w:rPr>
      </w:pPr>
      <w:r>
        <w:rPr>
          <w:rFonts w:ascii="Arial" w:cs="Arial" w:eastAsia="Arial" w:hAnsi="Arial"/>
          <w:sz w:val="18"/>
          <w:szCs w:val="18"/>
          <w:color w:val="auto"/>
        </w:rPr>
        <w:t>Form 20-F___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7"/>
          <w:szCs w:val="17"/>
          <w:color w:val="auto"/>
        </w:rPr>
        <w:t>Form 40-F______</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90" w:lineRule="exact"/>
        <w:rPr>
          <w:sz w:val="24"/>
          <w:szCs w:val="24"/>
          <w:color w:val="auto"/>
        </w:rPr>
      </w:pPr>
    </w:p>
    <w:p>
      <w:pPr>
        <w:ind w:left="44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8"/>
          <w:szCs w:val="18"/>
          <w:color w:val="auto"/>
        </w:rPr>
        <w:t>No___</w:t>
      </w:r>
      <w:r>
        <w:rPr>
          <w:rFonts w:ascii="Arial" w:cs="Arial" w:eastAsia="Arial" w:hAnsi="Arial"/>
          <w:sz w:val="18"/>
          <w:szCs w:val="18"/>
          <w:b w:val="1"/>
          <w:bCs w:val="1"/>
          <w:color w:val="auto"/>
        </w:rPr>
        <w:t>X</w:t>
      </w:r>
      <w:r>
        <w:rPr>
          <w:rFonts w:ascii="Arial" w:cs="Arial" w:eastAsia="Arial" w:hAnsi="Arial"/>
          <w:sz w:val="18"/>
          <w:szCs w:val="18"/>
          <w:color w:val="auto"/>
        </w:rPr>
        <w:t>___</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90" w:lineRule="exact"/>
        <w:rPr>
          <w:sz w:val="24"/>
          <w:szCs w:val="24"/>
          <w:color w:val="auto"/>
        </w:rPr>
      </w:pPr>
    </w:p>
    <w:p>
      <w:pPr>
        <w:ind w:left="44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8"/>
          <w:szCs w:val="18"/>
          <w:color w:val="auto"/>
        </w:rPr>
        <w:t>No___</w:t>
      </w:r>
      <w:r>
        <w:rPr>
          <w:rFonts w:ascii="Arial" w:cs="Arial" w:eastAsia="Arial" w:hAnsi="Arial"/>
          <w:sz w:val="18"/>
          <w:szCs w:val="18"/>
          <w:b w:val="1"/>
          <w:bCs w:val="1"/>
          <w:color w:val="auto"/>
        </w:rPr>
        <w:t>X</w:t>
      </w:r>
      <w:r>
        <w:rPr>
          <w:rFonts w:ascii="Arial" w:cs="Arial" w:eastAsia="Arial" w:hAnsi="Arial"/>
          <w:sz w:val="18"/>
          <w:szCs w:val="18"/>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526" w:right="1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333-278943) of ICON plc and this report on Form 6-K shall be deemed a part of each such registration statement from the date on which this report is furnished, to the extent not superseded by documents or reports subsequently filed or furnished by ICON plc under the Securities Act of 1933 or the Securities Exchange Act of 1934.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1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wp:posOffset>
            </wp:positionV>
            <wp:extent cx="656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74" w:lineRule="exact"/>
        <w:rPr>
          <w:sz w:val="20"/>
          <w:szCs w:val="20"/>
          <w:color w:val="auto"/>
        </w:rPr>
      </w:pPr>
    </w:p>
    <w:p>
      <w:pPr>
        <w:ind w:left="900" w:right="200" w:hanging="890"/>
        <w:spacing w:after="0" w:line="271" w:lineRule="auto"/>
        <w:tabs>
          <w:tab w:leader="none" w:pos="880" w:val="left"/>
        </w:tabs>
        <w:rPr>
          <w:sz w:val="20"/>
          <w:szCs w:val="20"/>
          <w:color w:val="auto"/>
        </w:rPr>
      </w:pPr>
      <w:r>
        <w:rPr>
          <w:rFonts w:ascii="Arial" w:cs="Arial" w:eastAsia="Arial" w:hAnsi="Arial"/>
          <w:sz w:val="18"/>
          <w:szCs w:val="18"/>
          <w:u w:val="single" w:color="auto"/>
          <w:color w:val="0000EE"/>
        </w:rPr>
        <w:t>1.1</w:t>
      </w:r>
      <w:r>
        <w:rPr>
          <w:sz w:val="20"/>
          <w:szCs w:val="20"/>
          <w:color w:val="auto"/>
        </w:rPr>
        <w:tab/>
      </w:r>
      <w:r>
        <w:rPr>
          <w:rFonts w:ascii="Arial" w:cs="Arial" w:eastAsia="Arial" w:hAnsi="Arial"/>
          <w:sz w:val="18"/>
          <w:szCs w:val="18"/>
          <w:color w:val="auto"/>
        </w:rPr>
        <w:t>Underwriting Agreement, dated April 30, 2024, among ICON Investments Six Designated Activity Company, ICON public limited company, the other guarantors party thereto and the several underwriters named in Schedule 1 thereto</w:t>
      </w:r>
    </w:p>
    <w:p>
      <w:pPr>
        <w:spacing w:after="0" w:line="140" w:lineRule="exact"/>
        <w:rPr>
          <w:sz w:val="20"/>
          <w:szCs w:val="20"/>
          <w:color w:val="auto"/>
        </w:rPr>
      </w:pPr>
    </w:p>
    <w:p>
      <w:pPr>
        <w:ind w:left="900" w:right="360" w:hanging="890"/>
        <w:spacing w:after="0" w:line="271" w:lineRule="auto"/>
        <w:tabs>
          <w:tab w:leader="none" w:pos="880" w:val="left"/>
        </w:tabs>
        <w:rPr>
          <w:sz w:val="20"/>
          <w:szCs w:val="20"/>
          <w:color w:val="auto"/>
        </w:rPr>
      </w:pPr>
      <w:r>
        <w:rPr>
          <w:rFonts w:ascii="Arial" w:cs="Arial" w:eastAsia="Arial" w:hAnsi="Arial"/>
          <w:sz w:val="18"/>
          <w:szCs w:val="18"/>
          <w:u w:val="single" w:color="auto"/>
          <w:color w:val="0000EE"/>
        </w:rPr>
        <w:t>4.1</w:t>
      </w:r>
      <w:r>
        <w:rPr>
          <w:sz w:val="20"/>
          <w:szCs w:val="20"/>
          <w:color w:val="auto"/>
        </w:rPr>
        <w:tab/>
      </w:r>
      <w:r>
        <w:rPr>
          <w:rFonts w:ascii="Arial" w:cs="Arial" w:eastAsia="Arial" w:hAnsi="Arial"/>
          <w:sz w:val="18"/>
          <w:szCs w:val="18"/>
          <w:color w:val="auto"/>
        </w:rPr>
        <w:t>Indenture, dated May 8, 2024, among ICON Investments Six Designated Activity Company, ICON public limited company and Citibank, N.A., as trustee</w:t>
      </w:r>
    </w:p>
    <w:p>
      <w:pPr>
        <w:spacing w:after="0" w:line="140" w:lineRule="exact"/>
        <w:rPr>
          <w:sz w:val="20"/>
          <w:szCs w:val="20"/>
          <w:color w:val="auto"/>
        </w:rPr>
      </w:pPr>
    </w:p>
    <w:p>
      <w:pPr>
        <w:ind w:left="900" w:right="480" w:hanging="890"/>
        <w:spacing w:after="0" w:line="247" w:lineRule="auto"/>
        <w:tabs>
          <w:tab w:leader="none" w:pos="880" w:val="left"/>
        </w:tabs>
        <w:rPr>
          <w:sz w:val="20"/>
          <w:szCs w:val="20"/>
          <w:color w:val="auto"/>
        </w:rPr>
      </w:pPr>
      <w:r>
        <w:rPr>
          <w:rFonts w:ascii="Arial" w:cs="Arial" w:eastAsia="Arial" w:hAnsi="Arial"/>
          <w:sz w:val="18"/>
          <w:szCs w:val="18"/>
          <w:u w:val="single" w:color="auto"/>
          <w:color w:val="0000EE"/>
        </w:rPr>
        <w:t>4.2</w:t>
      </w:r>
      <w:r>
        <w:rPr>
          <w:sz w:val="20"/>
          <w:szCs w:val="20"/>
          <w:color w:val="auto"/>
        </w:rPr>
        <w:tab/>
      </w:r>
      <w:r>
        <w:rPr>
          <w:rFonts w:ascii="Arial" w:cs="Arial" w:eastAsia="Arial" w:hAnsi="Arial"/>
          <w:sz w:val="18"/>
          <w:szCs w:val="18"/>
          <w:color w:val="auto"/>
        </w:rPr>
        <w:t>First Supplemental Indenture, dated May 8, 2024, among ICON Investments Six Designated Activity Company, ICON public limited company, the other guarantors party thereto, Citibank N.A., as trustee and Citibank, N.A., London Branch, as notes collateral agent, including the Forms of 5.809% Senior Secured Note due 2027, 5.849% Senior Secured Note due 2029 and 6.000% Senior Secured Note due 2034</w:t>
      </w:r>
    </w:p>
    <w:p>
      <w:pPr>
        <w:spacing w:after="0" w:line="1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7"/>
          <w:szCs w:val="17"/>
          <w:color w:val="auto"/>
        </w:rPr>
        <w:t>Opinion of Cahill Gordon &amp; Reindel LLP</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5.2</w:t>
      </w:r>
      <w:r>
        <w:rPr>
          <w:sz w:val="20"/>
          <w:szCs w:val="20"/>
          <w:color w:val="auto"/>
        </w:rPr>
        <w:tab/>
      </w:r>
      <w:r>
        <w:rPr>
          <w:rFonts w:ascii="Arial" w:cs="Arial" w:eastAsia="Arial" w:hAnsi="Arial"/>
          <w:sz w:val="17"/>
          <w:szCs w:val="17"/>
          <w:color w:val="auto"/>
        </w:rPr>
        <w:t>Opinion of A&amp;L Goodbody</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5.3</w:t>
      </w:r>
      <w:r>
        <w:rPr>
          <w:sz w:val="20"/>
          <w:szCs w:val="20"/>
          <w:color w:val="auto"/>
        </w:rPr>
        <w:tab/>
      </w:r>
      <w:r>
        <w:rPr>
          <w:rFonts w:ascii="Arial" w:cs="Arial" w:eastAsia="Arial" w:hAnsi="Arial"/>
          <w:sz w:val="17"/>
          <w:szCs w:val="17"/>
          <w:color w:val="auto"/>
        </w:rPr>
        <w:t>Opinion of Loyens &amp; Loeff Luxembourg SARL</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5.4</w:t>
      </w:r>
      <w:r>
        <w:rPr>
          <w:sz w:val="20"/>
          <w:szCs w:val="20"/>
          <w:color w:val="auto"/>
        </w:rPr>
        <w:tab/>
      </w:r>
      <w:r>
        <w:rPr>
          <w:rFonts w:ascii="Arial" w:cs="Arial" w:eastAsia="Arial" w:hAnsi="Arial"/>
          <w:sz w:val="17"/>
          <w:szCs w:val="17"/>
          <w:color w:val="auto"/>
        </w:rPr>
        <w:t>Opinion of McGuireWoods LLP</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5.5</w:t>
      </w:r>
      <w:r>
        <w:rPr>
          <w:sz w:val="20"/>
          <w:szCs w:val="20"/>
          <w:color w:val="auto"/>
        </w:rPr>
        <w:tab/>
      </w:r>
      <w:r>
        <w:rPr>
          <w:rFonts w:ascii="Arial" w:cs="Arial" w:eastAsia="Arial" w:hAnsi="Arial"/>
          <w:sz w:val="17"/>
          <w:szCs w:val="17"/>
          <w:color w:val="auto"/>
        </w:rPr>
        <w:t>Opinion of Locke Lord LLP</w:t>
      </w:r>
    </w:p>
    <w:p>
      <w:pPr>
        <w:spacing w:after="0" w:line="198" w:lineRule="exact"/>
        <w:rPr>
          <w:sz w:val="20"/>
          <w:szCs w:val="20"/>
          <w:color w:val="auto"/>
        </w:rPr>
      </w:pPr>
    </w:p>
    <w:p>
      <w:pPr>
        <w:ind w:left="900" w:right="60" w:hanging="890"/>
        <w:spacing w:after="0" w:line="271" w:lineRule="auto"/>
        <w:tabs>
          <w:tab w:leader="none" w:pos="880" w:val="left"/>
        </w:tabs>
        <w:rPr>
          <w:sz w:val="20"/>
          <w:szCs w:val="20"/>
          <w:color w:val="auto"/>
        </w:rPr>
      </w:pPr>
      <w:r>
        <w:rPr>
          <w:rFonts w:ascii="Arial" w:cs="Arial" w:eastAsia="Arial" w:hAnsi="Arial"/>
          <w:sz w:val="18"/>
          <w:szCs w:val="18"/>
          <w:u w:val="single" w:color="auto"/>
          <w:color w:val="0000EE"/>
        </w:rPr>
        <w:t>22.1</w:t>
      </w:r>
      <w:r>
        <w:rPr>
          <w:sz w:val="20"/>
          <w:szCs w:val="20"/>
          <w:color w:val="auto"/>
        </w:rPr>
        <w:tab/>
      </w:r>
      <w:r>
        <w:rPr>
          <w:rFonts w:ascii="Arial" w:cs="Arial" w:eastAsia="Arial" w:hAnsi="Arial"/>
          <w:sz w:val="18"/>
          <w:szCs w:val="18"/>
          <w:color w:val="auto"/>
        </w:rPr>
        <w:t>List of Subsidiary Guarantors and Issuer of Guaranteed Debt Securities and Affiliates Whose Securities Collateralize Securities of ICON Investments Six Designated Activity Company</w:t>
      </w:r>
    </w:p>
    <w:p>
      <w:pPr>
        <w:spacing w:after="0" w:line="14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7"/>
          <w:szCs w:val="17"/>
          <w:color w:val="auto"/>
        </w:rPr>
        <w:t>Consent of Cahill Gordon &amp; Reindel LLP (included in Exhibit 5.1 above)</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7"/>
          <w:szCs w:val="17"/>
          <w:color w:val="auto"/>
        </w:rPr>
        <w:t>Consent of A&amp;L Goodbody (included in Exhibit 5.2 above)</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23.3</w:t>
      </w:r>
      <w:r>
        <w:rPr>
          <w:sz w:val="20"/>
          <w:szCs w:val="20"/>
          <w:color w:val="auto"/>
        </w:rPr>
        <w:tab/>
      </w:r>
      <w:r>
        <w:rPr>
          <w:rFonts w:ascii="Arial" w:cs="Arial" w:eastAsia="Arial" w:hAnsi="Arial"/>
          <w:sz w:val="17"/>
          <w:szCs w:val="17"/>
          <w:color w:val="auto"/>
        </w:rPr>
        <w:t>Consent of Loyens &amp; Loeff Luxembourg SARL (included in Exhibit 5.3 above)</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23.4</w:t>
      </w:r>
      <w:r>
        <w:rPr>
          <w:sz w:val="20"/>
          <w:szCs w:val="20"/>
          <w:color w:val="auto"/>
        </w:rPr>
        <w:tab/>
      </w:r>
      <w:r>
        <w:rPr>
          <w:rFonts w:ascii="Arial" w:cs="Arial" w:eastAsia="Arial" w:hAnsi="Arial"/>
          <w:sz w:val="17"/>
          <w:szCs w:val="17"/>
          <w:color w:val="auto"/>
        </w:rPr>
        <w:t>Consent of McGuireWoods LLP (included in Exhibit 5.4 above)</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0000EE"/>
        </w:rPr>
        <w:t>23.5</w:t>
      </w:r>
      <w:r>
        <w:rPr>
          <w:sz w:val="20"/>
          <w:szCs w:val="20"/>
          <w:color w:val="auto"/>
        </w:rPr>
        <w:tab/>
      </w:r>
      <w:r>
        <w:rPr>
          <w:rFonts w:ascii="Arial" w:cs="Arial" w:eastAsia="Arial" w:hAnsi="Arial"/>
          <w:sz w:val="17"/>
          <w:szCs w:val="17"/>
          <w:color w:val="auto"/>
        </w:rPr>
        <w:t>Consent of Locke Lord LLP (included in Exhibit 5.5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ICON plc</w:t>
      </w:r>
    </w:p>
    <w:p>
      <w:pPr>
        <w:spacing w:after="0" w:line="29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8890</wp:posOffset>
            </wp:positionV>
            <wp:extent cx="2065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257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20" w:right="1480" w:hanging="7977"/>
        <w:spacing w:after="0" w:line="295" w:lineRule="auto"/>
        <w:tabs>
          <w:tab w:leader="none" w:pos="600" w:val="left"/>
        </w:tabs>
        <w:rPr>
          <w:sz w:val="20"/>
          <w:szCs w:val="20"/>
          <w:color w:val="auto"/>
        </w:rPr>
      </w:pPr>
      <w:r>
        <w:rPr>
          <w:rFonts w:ascii="Arial" w:cs="Arial" w:eastAsia="Arial" w:hAnsi="Arial"/>
          <w:sz w:val="18"/>
          <w:szCs w:val="18"/>
          <w:color w:val="auto"/>
        </w:rPr>
        <w:t>Date:</w:t>
        <w:tab/>
        <w:t>May 8, 2024 Brendan Brennan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25" w:lineRule="exact"/>
        <w:rPr>
          <w:sz w:val="20"/>
          <w:szCs w:val="20"/>
          <w:color w:val="auto"/>
        </w:rPr>
      </w:pPr>
    </w:p>
    <w:p>
      <w:pPr>
        <w:ind w:left="3780" w:hanging="130"/>
        <w:spacing w:after="0"/>
        <w:tabs>
          <w:tab w:leader="none" w:pos="3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5.809% Senior Secured Notes due 2027</w:t>
      </w:r>
    </w:p>
    <w:p>
      <w:pPr>
        <w:spacing w:after="0" w:line="225" w:lineRule="exact"/>
        <w:rPr>
          <w:rFonts w:ascii="Times New Roman" w:cs="Times New Roman" w:eastAsia="Times New Roman" w:hAnsi="Times New Roman"/>
          <w:sz w:val="18"/>
          <w:szCs w:val="18"/>
          <w:color w:val="auto"/>
        </w:rPr>
      </w:pPr>
    </w:p>
    <w:p>
      <w:pPr>
        <w:ind w:left="3780" w:hanging="130"/>
        <w:spacing w:after="0"/>
        <w:tabs>
          <w:tab w:leader="none" w:pos="3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5.849% Senior Secured Notes due 2029</w:t>
      </w:r>
    </w:p>
    <w:p>
      <w:pPr>
        <w:spacing w:after="0" w:line="225" w:lineRule="exact"/>
        <w:rPr>
          <w:rFonts w:ascii="Times New Roman" w:cs="Times New Roman" w:eastAsia="Times New Roman" w:hAnsi="Times New Roman"/>
          <w:sz w:val="18"/>
          <w:szCs w:val="18"/>
          <w:color w:val="auto"/>
        </w:rPr>
      </w:pPr>
    </w:p>
    <w:p>
      <w:pPr>
        <w:ind w:left="4720" w:right="3640" w:hanging="1070"/>
        <w:spacing w:after="0" w:line="500" w:lineRule="auto"/>
        <w:tabs>
          <w:tab w:leader="none" w:pos="37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500,000,000 6.000% Senior Secured Notes due 2034 </w:t>
      </w:r>
      <w:r>
        <w:rPr>
          <w:rFonts w:ascii="Times New Roman" w:cs="Times New Roman" w:eastAsia="Times New Roman" w:hAnsi="Times New Roman"/>
          <w:sz w:val="18"/>
          <w:szCs w:val="18"/>
          <w:u w:val="single" w:color="auto"/>
          <w:color w:val="auto"/>
        </w:rPr>
        <w:t>Underwriting Agreement</w:t>
      </w:r>
    </w:p>
    <w:p>
      <w:pPr>
        <w:spacing w:after="0" w:line="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HSBC Securities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Santander US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ICON Investments Six Designated Activity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designated activity company limited by shares in Ireland with company registration number 761517 and wholly-owned subsidiary of ICON plc, a public limited company in Ireland with company registration number 145835 (“</w:t>
      </w:r>
      <w:r>
        <w:rPr>
          <w:rFonts w:ascii="Times New Roman" w:cs="Times New Roman" w:eastAsia="Times New Roman" w:hAnsi="Times New Roman"/>
          <w:sz w:val="18"/>
          <w:szCs w:val="18"/>
          <w:u w:val="single" w:color="auto"/>
          <w:color w:val="auto"/>
        </w:rPr>
        <w:t>ICON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proposes to issue and sell to the several Underwriters listed in Schedule 1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are acting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$750,000,000 principal amount of its 5.809% Senior Secured Notes due 2027 (the “</w:t>
      </w:r>
      <w:r>
        <w:rPr>
          <w:rFonts w:ascii="Times New Roman" w:cs="Times New Roman" w:eastAsia="Times New Roman" w:hAnsi="Times New Roman"/>
          <w:sz w:val="18"/>
          <w:szCs w:val="18"/>
          <w:u w:val="single" w:color="auto"/>
          <w:color w:val="auto"/>
        </w:rPr>
        <w:t>2027 Notes</w:t>
      </w:r>
      <w:r>
        <w:rPr>
          <w:rFonts w:ascii="Times New Roman" w:cs="Times New Roman" w:eastAsia="Times New Roman" w:hAnsi="Times New Roman"/>
          <w:sz w:val="18"/>
          <w:szCs w:val="18"/>
          <w:color w:val="auto"/>
        </w:rPr>
        <w:t>”), $750,000,000 principal amount of its 5.849% Senior Secured Notes due 2029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$500,000,000 principal amount of its 6.000% Senior Secured Notes due 2034 (the “</w:t>
      </w:r>
      <w:r>
        <w:rPr>
          <w:rFonts w:ascii="Times New Roman" w:cs="Times New Roman" w:eastAsia="Times New Roman" w:hAnsi="Times New Roman"/>
          <w:sz w:val="18"/>
          <w:szCs w:val="18"/>
          <w:u w:val="single" w:color="auto"/>
          <w:color w:val="auto"/>
        </w:rPr>
        <w:t>2034 Notes</w:t>
      </w:r>
      <w:r>
        <w:rPr>
          <w:rFonts w:ascii="Times New Roman" w:cs="Times New Roman" w:eastAsia="Times New Roman" w:hAnsi="Times New Roman"/>
          <w:sz w:val="18"/>
          <w:szCs w:val="18"/>
          <w:color w:val="auto"/>
        </w:rPr>
        <w:t>” and, together with the 2027 Notes and the 2029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will be issued pursuant to an Indenture, to be dated as of May 8,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among the Company, the Parent, and Citibank, N.A., London Branch,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one or more Supplemental Indentures, to be dated as of May 8, 2024 (the “</w:t>
      </w:r>
      <w:r>
        <w:rPr>
          <w:rFonts w:ascii="Times New Roman" w:cs="Times New Roman" w:eastAsia="Times New Roman" w:hAnsi="Times New Roman"/>
          <w:sz w:val="18"/>
          <w:szCs w:val="18"/>
          <w:u w:val="single" w:color="auto"/>
          <w:color w:val="auto"/>
        </w:rPr>
        <w:t>Supplemental Indentures</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each by and among the Company, the Parent, the subsidiary guarantors listed in Schedule 2 hereto (together with the Parent,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the Trustee, as trustee and collateral agent (the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 and will be guaranteed on a senior secured basis by each of the Guarantors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The Company and the Guarantors hereby confirm their agreement with the several Underwriters concerning the purchase and sale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follows:</w:t>
      </w:r>
    </w:p>
    <w:p>
      <w:pPr>
        <w:spacing w:after="0" w:line="207" w:lineRule="exact"/>
        <w:rPr>
          <w:sz w:val="20"/>
          <w:szCs w:val="20"/>
          <w:color w:val="auto"/>
        </w:rPr>
      </w:pPr>
    </w:p>
    <w:p>
      <w:pPr>
        <w:jc w:val="both"/>
        <w:ind w:firstLine="656"/>
        <w:spacing w:after="0" w:line="252"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Parent on behalf of the Company has prepared and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 registration statement on Form F-3 (File No. 333-278943), including a base prospectus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relating to the Securities.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as used herein, the term “Preliminary Prospectus” means each prospectus included in such registration statement (and any amendments thereto) before effectiveness, any prospectus filed with the Commission pursuant to Rule 424(a) under the Securities Act,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w:t>
      </w:r>
      <w:r>
        <w:rPr>
          <w:rFonts w:ascii="Times New Roman" w:cs="Times New Roman" w:eastAsia="Times New Roman" w:hAnsi="Times New Roman"/>
          <w:sz w:val="18"/>
          <w:szCs w:val="18"/>
          <w:u w:val="single" w:color="auto"/>
          <w:color w:val="auto"/>
        </w:rPr>
        <w:t>Rule 462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be deemed to include such Rule 462 Registration Statement. Any reference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the Registration Statement, any Preliminary Prospectus or the Prospectus shall be deemed to refer to and include the documents incorporated by reference therein pursuant to Item 6 of Form F-3 under the Securities Act, as of the effective date of the Registration Statement or the date of such Preliminary Prospectus or the Prospectus, as the case may be and any reference to “</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April 30, 2024, the time when sales of the Securities were first made (the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the Company had prepared the following information (collectively,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a Preliminary Prospectus dated April 30, 2024, and each “</w:t>
      </w:r>
      <w:r>
        <w:rPr>
          <w:rFonts w:ascii="Times New Roman" w:cs="Times New Roman" w:eastAsia="Times New Roman" w:hAnsi="Times New Roman"/>
          <w:sz w:val="18"/>
          <w:szCs w:val="18"/>
          <w:u w:val="single" w:color="auto"/>
          <w:color w:val="auto"/>
        </w:rPr>
        <w:t>free-writing prospectus</w:t>
      </w:r>
      <w:r>
        <w:rPr>
          <w:rFonts w:ascii="Times New Roman" w:cs="Times New Roman" w:eastAsia="Times New Roman" w:hAnsi="Times New Roman"/>
          <w:sz w:val="18"/>
          <w:szCs w:val="18"/>
          <w:color w:val="auto"/>
        </w:rPr>
        <w:t>” (as defined pursuant to Rule 405 under the Securities Act) listed on Annex A hereto.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Securities will be secured by a perfected first-priority security interest in certain assets of the Company and the Guarantors, as described in the Time of Sale Information and the Prospectus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in each case subject to the Agreed Security Principles (as set out in an annex to the Indenture) and certain exceptions and permitted liens (the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The liens and security interests in favor of the Notes Collateral Agent will be granted pursuant to (i) one or more pledge agreements and security agreements, each to be dated as of the Closing Date (as defined below) (or, as contemplated by the Indenture or the Collateral Documents, after the Closing Date) (collectively, the “</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to be entered into among the Parent, the Company and/or the Guarantors, as applicable, and the Notes Collateral Agent and (ii) all other instruments, agreements or other documents executed and delivered by the Parent, the Company or any other Guarantor granting (or purporting to grant) to the Notes Collateral Agent, a lien on or security interest in the Collateral (together with the Security Agreements, the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On the Closing Date, the Notes Collateral Agent will enter into a joinder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to the Intercreditor Agreement, dated as of July 1, 2021, by and among CITIBANK, N.A., as administrative agent under the Credit Agreement (as defined below), CITIBANK, N.A., London Branch, as collateral agent under the Credit Agreement, and Citibank, N.A., London Branch, as collateral agent under the indenture governing the Company’s existing notes, and acknowledged by the Parent and the other grantors party thereto.</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intends to use the proceeds of the offering of the Securities to prepay a portion of the term loans under its Credit Agreement, dated as of July 1, 2021 (together with all exhibits and schedules attached thereto, and as amended by that certain First Amendment to Credit Agreement, dated as of November 29, 2022, that certain Second Amendment to Credit Agreement, dated as of May 2, 2023, and that certain Third Amendment, dated as of March 14, 2024,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Borrowers (as defined therein), the guarantors party thereto, Citibank, N.A., as administrative agent and the lenders from time to time party thereto.</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the “Transaction Documents” shall collectively mean this Agreement, the Securities, the Guarantees, the Indenture (including each Guarantee set forth therein) and the Collateral Documents.</w:t>
      </w:r>
    </w:p>
    <w:p>
      <w:pPr>
        <w:spacing w:after="0" w:line="162"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(i) in the case of the 2027 Notes, 99.750% of the principal amount thereof plus accrued interest, if any, from May 8, 2024 to the Closing Date, (ii) in the case of the 2029 Notes, 99.650% of the principal amount thereof plus accrued interest, if any, from May 8, 2024 to the Closing Date, and (iii) in the case of the 2034 Notes, 99.446% of the principal amount thereof plus accrued interest, if any, from May 8, 2024 to the Closing Date. The Company will not be obligated to deliver any of the Securities except upon payment for all the Securities to be purchased as provided herein.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the offices of Latham &amp; Watkins LLP at 10:00 A.M., New York City time, on May 8, 2024,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56"/>
        <w:spacing w:after="0" w:line="258" w:lineRule="auto"/>
        <w:tabs>
          <w:tab w:leader="none" w:pos="9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the Underwriters, of one or more global notes representing the Securities (collectively, the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with any transfer or similar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acknowledge and agree that each Underwriter is acting solely in the capacity of an arm’s length contractual counterparty to the Company and the Guarantors with respect to the offering of Securities contemplated hereby (including in connection with determining the terms of the offering) and not as a financial advisor or a fiduciary to, or an agent of, the Company, the Guarantors or any other person. Additionally, none of the Representatives or any other Underwriter is advising the Company, the Guarantors or any other person as to any legal, tax, investment, accounting or regulatory matters in any jurisdiction. The Company and the Guarantors shall consult with their own advisors concerning such matters and shall be responsible for making their own independent investigation and appraisal of the transactions contemplated hereby, and the Underwriters shall have no responsibility or liability to the Company or the Guarantors with respect thereto. Any review by the Representatives or any Underwriter of the Company, the Guarantors, the transactions contemplated hereby or other matters relating to such transactions will be performed solely for the benefit of the Representatives or such Underwriter, as the case may be, and shall not be on behalf of the Company or the Guarantors, as the case may be, or any other person.</w:t>
      </w:r>
    </w:p>
    <w:p>
      <w:pPr>
        <w:spacing w:after="0" w:line="194" w:lineRule="exact"/>
        <w:rPr>
          <w:sz w:val="20"/>
          <w:szCs w:val="20"/>
          <w:color w:val="auto"/>
        </w:rPr>
      </w:pPr>
    </w:p>
    <w:p>
      <w:pPr>
        <w:ind w:right="20" w:firstLine="656"/>
        <w:spacing w:after="0" w:line="282" w:lineRule="auto"/>
        <w:tabs>
          <w:tab w:leader="none" w:pos="8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and the Guarantors</w:t>
      </w:r>
      <w:r>
        <w:rPr>
          <w:rFonts w:ascii="Times New Roman" w:cs="Times New Roman" w:eastAsia="Times New Roman" w:hAnsi="Times New Roman"/>
          <w:sz w:val="18"/>
          <w:szCs w:val="18"/>
          <w:color w:val="auto"/>
        </w:rPr>
        <w:t>. Each of the Company, the Parent and the other Guarantors, jointly and severally, represents and warrants to each of the Underwriters, as follows:</w:t>
      </w:r>
    </w:p>
    <w:p>
      <w:pPr>
        <w:spacing w:after="0" w:line="160" w:lineRule="exact"/>
        <w:rPr>
          <w:sz w:val="20"/>
          <w:szCs w:val="20"/>
          <w:color w:val="auto"/>
        </w:rPr>
      </w:pPr>
    </w:p>
    <w:p>
      <w:pPr>
        <w:jc w:val="both"/>
        <w:ind w:firstLine="656"/>
        <w:spacing w:after="0" w:line="257" w:lineRule="auto"/>
        <w:tabs>
          <w:tab w:leader="none" w:pos="95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Preliminary Prospectus</w:t>
      </w:r>
      <w:r>
        <w:rPr>
          <w:rFonts w:ascii="Times New Roman" w:cs="Times New Roman" w:eastAsia="Times New Roman" w:hAnsi="Times New Roman"/>
          <w:sz w:val="18"/>
          <w:szCs w:val="18"/>
          <w:color w:val="auto"/>
        </w:rPr>
        <w:t>. 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provided that the Company and the Guarantors make no representation or warranty with respect to any statements or omissions made in reliance upon and in conformity with information relating to any Underwriter furnished to the Company and the Guarantors in writing by such Underwriter through the Representatives expressly for use in any Preliminary Prospectus.</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9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Guarantors make no representation or warranty with respect to any statements or omissions made in reliance upon and in conformity with information relating to any Underwriter furnished to the Company and the Guarantors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r>
        <w:rPr>
          <w:rFonts w:ascii="Times New Roman" w:cs="Times New Roman" w:eastAsia="Times New Roman" w:hAnsi="Times New Roman"/>
          <w:sz w:val="18"/>
          <w:szCs w:val="18"/>
          <w:b w:val="1"/>
          <w:bCs w:val="1"/>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5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and the Guarantors (including their agents and representatives, other than the Underwriters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capacity as such) have not prepared, made, used, authorized, approved or referred to and will not prepare, make, use, authorize, approve or refer to any “</w:t>
      </w:r>
      <w:r>
        <w:rPr>
          <w:rFonts w:ascii="Times New Roman" w:cs="Times New Roman" w:eastAsia="Times New Roman" w:hAnsi="Times New Roman"/>
          <w:sz w:val="18"/>
          <w:szCs w:val="18"/>
          <w:u w:val="single" w:color="auto"/>
          <w:color w:val="auto"/>
        </w:rPr>
        <w:t>written 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Securities (each such communication by the Company and the Guarantors or their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other than (i) any document not constituting a prospectus pursuant to Section 2(a)(10)</w:t>
      </w:r>
    </w:p>
    <w:p>
      <w:pPr>
        <w:jc w:val="both"/>
        <w:ind w:firstLine="8"/>
        <w:spacing w:after="0" w:line="251" w:lineRule="auto"/>
        <w:tabs>
          <w:tab w:leader="none" w:pos="2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Guarantors make no representation or warranty with respect to any statements or omissions made in each such Issuer Free Writing Prospectus in reliance upon and in conformity with information relating to any Underwriter furnished to the Company and the Guarantors in writing by such Underwriter through the Representatives expressly for use in any Issuer Free Writing Prospectus</w:t>
      </w:r>
      <w:r>
        <w:rPr>
          <w:rFonts w:ascii="Times New Roman" w:cs="Times New Roman" w:eastAsia="Times New Roman" w:hAnsi="Times New Roman"/>
          <w:sz w:val="18"/>
          <w:szCs w:val="18"/>
          <w:b w:val="1"/>
          <w:bCs w:val="1"/>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56"/>
        <w:spacing w:after="0" w:line="252" w:lineRule="auto"/>
        <w:tabs>
          <w:tab w:leader="none" w:pos="9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The Registration Statement is an “automatic shelf registration statement” as defined under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each of the Registration Statement, the Prospectus and the Time of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when they became effective or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both"/>
        <w:ind w:firstLine="656"/>
        <w:spacing w:after="0" w:line="261" w:lineRule="auto"/>
        <w:tabs>
          <w:tab w:leader="none" w:pos="9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of the Parent and its consolidated subsidiaries included or incorporated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Sale Information and the Prospectus present fairly the financial condition, results of operations and cash flows of the Parent as of the dates and for the periods indicated, comply as to form with the applicable accounting requirements of Regulation S-X (as defined below) and have been prepared in conformity with generally accepted accounting principles applied on a consistent basis throughout the periods involved (except as otherwise noted therein).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Registration Statement, the Time of Sale Information and the Prospectus, (i) there has not been any change in the capital stock or long-term debt of the Company, the Parent or any of their respective subsidiaries, or any dividend or distribution of any kind declared, set aside for payment, paid or made by the Company, the Parent on any class of capital stock, or any material adverse change, or any development involving a prospective material adverse change, in or affecting the business, properties, financial position or results of operations of the Company, the Parent and their respective subsidiaries taken as a whole; and (ii) neither the Company, the Parent nor any of their respective subsidiaries has entered into any transaction or agreement that is material to the Company, the Parent and their respective subsidiaries taken as a whole or incurred any liability or obligation, direct or contingent, that is material to the Company, the Parent and their respective subsidiaries taken as a whole, except in each case as otherwise disclosed in each of the Registration Statement, the Time of Sale Information and the Prospectus.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Each of the Company, the Parent and its Significant Subsidiaries (as defined in Rule 1-02 of Regulation S-X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Securities Act (“Regulation S-X”)) has been duly organized or incorporated, as the case may be, and is validly existing and (to the extent the concept is applicable in such jurisdiction) in good standing under the laws of the jurisdiction in which it is chartered or organized with full corporate power and authority to own or lease, as the case may be, and to operate its properties and conduct its business as described in the Time of Sale Information and the Prospectus, and is duly qualified to do business as a foreign corporation and is in good standing (to the extent the concept is applicable in such jurisdiction) under the laws of each jurisdiction that requires such qualification except where the failure to do so, individually or in the aggregate, could not reasonably be expected to result in a Material Adverse Effect (as defined below).</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All the outstanding shares of capital stock or other equity interests of the Parent and each subsidiary of the Parent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authorized and validly issued and are fully paid and nonassessable, and, except as otherwise set forth in the Time of Sale Information and the Prospectus, all outstanding shares of capital stock of the subsidiaries are owned by the Parent either directly or through wholly owned subsidiaries free and clear of any security interest, claim, lien or encumbrance (other than Permitted Liens).</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58" w:lineRule="auto"/>
        <w:tabs>
          <w:tab w:leader="none" w:pos="9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and each of the Guarantors have full right, power and authority to execute and deliver this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 Guarantees, the Indenture (including each Guarantee set forth therein) and the Collateral Documents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including granting the Liens and security interests to be granted by it pursuant to the Indenture and the Collateral Documents and to perform their respective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jc w:val="both"/>
        <w:ind w:firstLine="656"/>
        <w:spacing w:after="0" w:line="252" w:lineRule="auto"/>
        <w:tabs>
          <w:tab w:leader="none" w:pos="9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Base Indenture has been duly authorized by the Company and the Parent and, assuming due authorization,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thereof by the Trustee, when executed and delivered by the Company and the Parent, will, subject to the Legal Reservations (as defined below), constitute a legal, valid, binding instrument enforceable against the Company and the Parent in accordance with its terms, except that the enforcement thereof may be subject as to the enforcement of remedies, to (i) 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 (other than with respect to those pledges and security interests made under the laws of the jurisdiction of formation of the applicable Foreign Subsidiary) (the “Enforceability Exceptions”). Each Supplemental Indenture has been duly authorized by the Company and the Guarantors and, assuming due authorization, execution and delivery thereof by the Trustee, when executed and delivered by the Company and the Guarantors, will, subject to the Legal Reservations, constitute a legal, valid, binding instrument enforceable against the Company and the Guarantors in accordance with its terms, except that the enforcement thereof may be subject to the Enforceability Exceptions. “Legal Reservations” means (a) the principle that equitable remedies are remedies which may be granted or refused at the discretion of the court, the limitation of enforcement by laws relating to bankruptcy, insolvency, court protection, liquidation, reorganization, court schemes, moratoria, examinership, rescue process, administration and other laws generally affecting the rights of creditors, the time barring of claims, the possibility that an undertaking to assume liability for or to indemnify a person against non-payment of stamp duty may be void, defenses of set-off or counterclaim, (b) any payment made in compensation for a breach of the Transaction Documents may be a penalty and may not be enforceable in whole or in part and (c) similar principles, rights and defenses under the laws of any relevant jurisdiction.</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9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 and the Guarantees</w:t>
      </w:r>
      <w:r>
        <w:rPr>
          <w:rFonts w:ascii="Times New Roman" w:cs="Times New Roman" w:eastAsia="Times New Roman" w:hAnsi="Times New Roman"/>
          <w:sz w:val="18"/>
          <w:szCs w:val="18"/>
          <w:color w:val="auto"/>
        </w:rPr>
        <w:t>. The Company has all requisite power and authority to execute, deliver and perform its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The Securities, when issued, will be in the form contemplated by the Indenture. The Securities have been duly and validly authorized by the Company and, when executed by the Company and authenticated by the Trustee in accordance with the provisions of the Indenture and, in the case of the Securities, when delivered to and paid for by the Underwriters in accordance with the terms of this Agreement, will constitute valid and legally binding obligations of the Company, enforceable against the Company in accordance with their terms, subject to the Enforceability Exceptions, and will be entitled to the benefits of the Indenture; and the Guarantees have been duly authorized by each of the Guarantors and, when the Securities have been duly executed, authenticated, issued and delivered as provided in the Indenture and paid for as provided herein, will be valid and legally binding obligations of each of the Guarantors, and enforceable against each of the Guarantors in accordance with their terms, subject to the Enforceability Exceptions.</w:t>
      </w:r>
    </w:p>
    <w:p>
      <w:pPr>
        <w:spacing w:after="0" w:line="18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 and the Guarantors.</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Collateral Documents. </w:t>
      </w:r>
      <w:r>
        <w:rPr>
          <w:rFonts w:ascii="Times New Roman" w:cs="Times New Roman" w:eastAsia="Times New Roman" w:hAnsi="Times New Roman"/>
          <w:sz w:val="18"/>
          <w:szCs w:val="18"/>
          <w:color w:val="auto"/>
        </w:rPr>
        <w:t>On the Closing Date, each of the Company, the Parent and the other Guarantors will have all requisite power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execute, deliver and perform its obligations under the Collateral Documents to which it is a party. On the Closing Date (or, as contemplated by the Indenture or the Collateral Documents, after the Closing Date), each Collateral Document will have been duly and validly authorized by the Company, the Parent and each Guarantor party thereto and, when executed and delivered by the Company, the Parent and the other Guarantors party thereto (assuming the due authorization, execution and delivery by the Notes Collateral Agent), will, subject to the Legal Reservations, constitute a legal and binding agreement of the Company, the Parent and each other Guarantor party thereto in accordance with its terms, except that the enforcement thereof may be subject to the Enforceability Exceptions. Upon the execution and delivery of the Collateral Documents by the Company, the Parent or the applicable other Guarantor and each other party thereto, each Collateral Document, will (subject to notification or similar requirements that will, as contemplated in the relevant Collateral Document, be fulfilled after the Closing Date) create in favor of the Notes Collateral Agent for the benefit of itself, the Trustee and the holders of the Securities, valid and enforceable security interests in and liens on the Collateral and, subject to limitations under the Agreed Guarantee and Security Principles (as defined in the Indenture) and to the extent set forth in the Indenture and the Collateral Documents, upon (i) the Underwriters’ payment for the Securities in accordance with the terms hereof and (ii) the filing of appropriate Uniform Commercial Code financing statements or such similar statements in the jurisdiction of the applicable Guarantor and the taking of the other actions, in each case as further described herein, in the Collateral Documents and in the Indenture, the security interests in and liens on the rights of the Company, the Parent or the applicable other Guarantor in such Collateral will be perfected security interests and the liens will have the priority described in the Time of Sale Information and Prospectus (subject to liens permitted under the Indenture or the Collateral Documents), in each case subject to the Enforceability Exceptions.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jc w:val="both"/>
        <w:ind w:firstLine="656"/>
        <w:spacing w:after="0" w:line="258" w:lineRule="auto"/>
        <w:tabs>
          <w:tab w:leader="none" w:pos="9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None of the Company, the Parent or the other Guarantors is in violation or default of (i) any provision of its charter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or comparable constituting documents; (ii) the terms of any indenture, contract, lease, mortgage, deed of trust, note agreement, loan agreement or other agreement or instrument to which it is a party or bound or to which its property is subject; or (iii) any law or regulation applicable to the Parent or any of its Significant Subsidiaries, except, in the case of clauses (ii) and (iii), where such violation or default would not reasonably be expected to result, individually or in the aggregate, in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None of the execution and delivery of this Agreement, the Supplemental Indentures, the Base Indenture or any of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the issuance and sale of the Securities, or the consummation of any other of the transactions herein or therein contemplated, or the fulfillment of the terms hereof or thereof will conflict with, result in a material breach or violation or imposition of any lien, charge or encumbrance upon any property or assets of the Company, the Parent, the other Guarantors or any of their respective subsidiaries pursuant to, (i) the charter or by-laws or comparable constituting documents of the Company, the Parent, or the other Guarantors; (ii) the terms of any indenture, contract, lease, mortgage, deed of trust, note agreement, loan agreement or other material agreement, obligation, condition, covenant or material instrument (except such non-compliance that, individually or in the aggregate, could not reasonably be expected to result in a Material Adverse Effect) to which the Company, the Parent or the other Guarantors is a party or bound or to which its or their property is subject; or (iii) any, law or regulation applicable to the Company, the Parent or the other Guarantors or any of its or their properties (except such non-compliance that, individually or in the aggregate, could not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9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filing with or order of any governmental agency or body is required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transactions contemplated herein or in the Indenture, except such as (x) have been obtained or made and are in full force and effect, (y) for filings, notifications or registrations necessary to perfect Liens created pursuant to the Security Documents, and (z) may be required under the blue sky laws of any jurisdiction in which the Securities are offered and sold.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No action, suit or proceeding by or before any court or governmental agency, authority or body or any arbitrator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the Parent, the other Guarantors or any of their respective subsidiaries or its or their property is pending or, to the knowledge of the Company or the Parent, threatened that (i) could reasonably be expected to have a material adverse effect on the performance of this Agreement, the Indenture or the consummation of any of the transactions contemplated hereby or thereby or (ii) could reasonably be expected, individually or in the aggregate, to have a material adverse effect on the assets, property or financial condition of the Parent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except, in each case, as set forth in or contemplated in the Time of Sale Information and the Prospectus (exclusive of any amendment or supplement thereto).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jc w:val="both"/>
        <w:ind w:firstLine="656"/>
        <w:spacing w:after="0" w:line="261"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w:t>
      </w:r>
      <w:r>
        <w:rPr>
          <w:rFonts w:ascii="Times New Roman" w:cs="Times New Roman" w:eastAsia="Times New Roman" w:hAnsi="Times New Roman"/>
          <w:sz w:val="18"/>
          <w:szCs w:val="18"/>
          <w:u w:val="single" w:color="auto"/>
          <w:color w:val="auto"/>
        </w:rPr>
        <w:t>KPMG</w:t>
      </w:r>
      <w:r>
        <w:rPr>
          <w:rFonts w:ascii="Times New Roman" w:cs="Times New Roman" w:eastAsia="Times New Roman" w:hAnsi="Times New Roman"/>
          <w:sz w:val="18"/>
          <w:szCs w:val="18"/>
          <w:color w:val="auto"/>
        </w:rPr>
        <w:t>”), who have certified certain financial statements of the Parent and its consolidated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their report with respect to the audited consolidated financial statements included or incorporated by reference in the Time of Sale Information and the Prospectus, are independent registered public accounting firm with respect to the Parent in accordance with local accounting rules and within the meaning of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the Parent and the other Guarantors and each of their respective Significant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good and marketable title in fee simple to all real property and good title to all personal property (other than intellectual property, which is considered in clause (u)) owned by them, in each case free and clear of all liens, encumbrances and defects, except Permitted Liens and such liens, encumbrances and defects (i) as secured by the Credit Agreement, (ii) as are described in the Time of Sale Information or the Prospectus, and such as do not materially affect the value of such property, (iii) that do not materially interfere with the use made and proposed to be made of such property by the Company, the Parent, the other Guarantors or any of their respective Significant Subsidiaries or (iv) as would not reasonably be expected, individually or in the aggregate, to have a Material Adverse Effect. Except as would not reasonably be expected, individually or in the aggregate, to have a Material Adverse Effect, all real property held under lease by the Company, the Parent, the other Guarantors or any of their respective Significant Subsidiaries is held by them under valid, subsisting and enforceable leases, with such exceptions as do not materially interfere with the use made and proposed to be made of such assets by the Company, the Parent, the other Guarantors or any of their respective subsidiaries.</w:t>
      </w:r>
    </w:p>
    <w:p>
      <w:pPr>
        <w:spacing w:after="0" w:line="185" w:lineRule="exact"/>
        <w:rPr>
          <w:rFonts w:ascii="Times New Roman" w:cs="Times New Roman" w:eastAsia="Times New Roman" w:hAnsi="Times New Roman"/>
          <w:sz w:val="18"/>
          <w:szCs w:val="18"/>
          <w:color w:val="auto"/>
        </w:rPr>
      </w:pPr>
    </w:p>
    <w:p>
      <w:pPr>
        <w:jc w:val="both"/>
        <w:ind w:firstLine="656"/>
        <w:spacing w:after="0" w:line="251" w:lineRule="auto"/>
        <w:tabs>
          <w:tab w:leader="none" w:pos="9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The Company, the Parent, the Guarantors and their respective Significant Subsidiaries own, possess or can acquire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terms sufficient trademarks, trade names, patent rights, copyrights, domain names, licenses, approvals, trade secrets and other similar rights (collectively,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reasonably necessary to conduct their businesses as now conducted; except to the extent failure to own, possess or acquire such Intellectual Property Rights would not result in a Material Adverse Effect. Neither the Company, the Parent, the Guarantors nor any of their respective Significant Subsidiaries has received, or has any reason to believe that it will receive, any notice of infringement or conflict with asserted Intellectual Property Rights of others. Except as would not be reasonably likely to result, individually or in the aggregate, in a Material Adverse Effect or except as disclosed in the Time of Sale Information: (i) to the Company’s, the Parent’s and the Guarantors’ knowledge, there is no infringement, misappropriation or violation by third parties of any of the Intellectual Property Rights owned by the Company, the Parent or the Guarantors; (ii) there is no pending or, to the Company’s, the Parent’s and the Guarantors’ knowledge, threatened action, suit, proceeding or claim by others challenging the rights of the Company, the Parent, the Guarantors and their respective Significant Subsidiaries in or to any such Intellectual Property Rights, and the Company is unaware of any facts which would form a reasonable basis for any such claim, that would, individually or in the aggregate, together with any other claims in this paragraph (u) result in a Material Adverse Effect; (iii) the Intellectual Property Rights owned by the Company, the Parent, the Guarantors and their respective Significant Subsidiaries and, to the Company’s, the Parent’s and the Guarantors’ knowledge, the Intellectual Property Rights licensed to the Company, the Parent, the Guarantors and their respective Significant Subsidiaries have not been adjudged by a court of competent jurisdiction invalid or unenforceable, in whole or in part, and there is no pending or, to the Company’s, the Parent’s and the Guarantors’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paragraph (u) result in a Material Adverse Effect; (iv) there is no pending or, to the Company’s, the Parent’s and the Guarantors’ knowledge, threatened action, suit, proceeding or claim by others that the Company, the Parent, the Guarantors or their respective Significant Subsidiaries infringe, misappropriate or otherwise violate any Intellectual Property Rights or other proprietary rights of others, the Company, the Parent, the Guarantors and their respective Significant Subsidiaries have not received any written notice of such claim and the Company is unaware of any other facts which would form a reasonable basis for any such claim that would reasonably be expected, individually or in the aggregate, together with any other claims in this paragraph (tt) to result in a Material Adverse Effect; and (v) to the Company’s, the Parent’s and the Guarantors’ knowledge, no employee of the Company or a Significant Subsidiary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Parent, the Guarantors or a Significant Subsidiary of the Company, the Parent or the Guarantors, or actions undertaken by the employee while employed with the Company, the Parent, the Guarantors or a Significant Subsidiary of the Company, the Parent or the Guarantors and would reasonably be expected to result, individually or in the aggregate, in a Material Adverse Effect. To the Company’s, the Parent’s and the Guarantors’ knowledge, all material technical information developed by and belonging to the Company, the Parent, the Guarantors and their respective Significant Subsidiaries for which they have not sought, and do not intend to seek, to patent or otherwise protect pursuant to applicable intellectual property laws has been kept confidential or disclosed only under obligations of confidentiality. The Company, the Parent, the Guarantors and their respective Significant Subsidiaries are not parties to or bound by any options, licenses or agreements with respect to the Intellectual Property Rights of any other person or entity that are required to be set forth in the Time of Sale Information and the Prospectus and are not described therein. None of the technology employed by the Company, the Parent, the Guarantors or any of their respective Significant Subsidiaries has been obtained or is being used by the Company the Parent, the Guarantors or any of their respective Significant Subsidiaries in violation of any contractual obligation binding on the Company, the Parent, the Guarantors or any of their respective Significant Subsidiaries or, to the Company’s, the Parent’s and the Guarantors’ knowledge, any of its Significant Subsidiaries’ officers, directors or employees or otherwise in violation of the rights of any persons, except in each case for such violations that would not reasonably be expected to result in a Material Adverse Effect.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p>
      <w:pPr>
        <w:jc w:val="both"/>
        <w:ind w:firstLine="656"/>
        <w:spacing w:after="0" w:line="261" w:lineRule="auto"/>
        <w:tabs>
          <w:tab w:leader="none" w:pos="9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None of the Parent, the Company, or any of the other Guarantors is, and after giving effect to the offering and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Securities and the application of the proceeds thereof as described in the Time of Sale Information and the Prospectus will be, an “investment company” as defined in the Investment Company Act of 1940, as amended, and the rules and regulations promulgated thereunder (the “Investment Company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Each of the Company, the Parent, and the other Guarantors has filed all applicable tax returns that are required to have been filed by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has requested extensions thereof (except in any case in which the failure so to file would not be reasonably expected to have a Material Adverse Effect and except as set forth in or contemplated in the Time of Sale Information and the Prospectus (exclusive of any amendment or supplement thereto)), and has paid all taxes required to have been paid by it and any other assessment, fine or penalty levied against it, to the extent that any of the foregoing is due and payable, except for any such assessment, fine or penalty that is currently being contested in good faith and for which appropriate reserves have been established in accordance with generally accepted accounting principles or as would not be reasonably expected to have a Material Adverse Effect and except as set forth in or contemplated in the Time of Sale Information and the Prospectus (exclusive of any amendment or supplement thereto).</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The Company, Parent, the other Guarantors and each of their respective Significant Subsidiaries possess all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permits and other authorizations issued by all applicable authorities necessary to conduct their respective businesses other than those the failure to possess or own would not result in a Material Adverse Effect, and neither the Company, Parent, the other Guarantors nor any of their respective Significant Subsidiaries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Time of Sale Information and the Prospectus (exclusive of any amendment or supplement thereto).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 w:name="page14"/>
    <w:bookmarkEnd w:id="13"/>
    <w:p>
      <w:pPr>
        <w:jc w:val="both"/>
        <w:ind w:firstLine="656"/>
        <w:spacing w:after="0" w:line="261" w:lineRule="auto"/>
        <w:tabs>
          <w:tab w:leader="none" w:pos="10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No labor dispute with the employees of the Company, the Parent, the other Guarantors or any of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Subsidiaries exists or, to the knowledge of the Company or the Parent, is threatened or imminent, except as would not reasonably be expected individually or in the aggregate, to have a Material Adverse Effect and except as set forth in or contemplated in the Time of Sale Information and the Prospectus (exclusive of any amendment or supplement thereto).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The Company, the Parent, other Guarantors and each of their respective Significant Subsidiaries (i)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any and all applicable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written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and except as set forth in the Time of Sale Information and the Prospectus (exclusive of any amendment or supplement thereto). Except as would not have a Material Adverse Effect, and except as set forth in the Time of Sale Information and the Prospectus, neither the Parent nor any of its Significant Subsidiaries has been named as a “potentially responsible party” under the Comprehensive Environmental Response, Compensation, and Liability Act of 1980, as amended.</w:t>
      </w:r>
    </w:p>
    <w:p>
      <w:pPr>
        <w:spacing w:after="0" w:line="188" w:lineRule="exact"/>
        <w:rPr>
          <w:sz w:val="20"/>
          <w:szCs w:val="20"/>
          <w:color w:val="auto"/>
        </w:rPr>
      </w:pPr>
    </w:p>
    <w:p>
      <w:pPr>
        <w:jc w:val="both"/>
        <w:ind w:firstLine="656"/>
        <w:spacing w:after="0" w:line="255" w:lineRule="auto"/>
        <w:tabs>
          <w:tab w:leader="none" w:pos="10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Except as would not reasonably be expected, individually or in the aggregate, to have a Material Adverse Effect,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minimum funding standard under Section 302 of the Employee Retirement Income Security Act of 1974, as amended, and the regulations and published interpretations thereunder (“ERISA”), if applicable, has been satisfied by each “pension plan” (as defined in Section 3(2) of ERISA) which has been established or maintained by the Parent and/or one or more of its respective subsidiaries, and the trust forming part of each such plan which is intended to be qualified under Section 401 of the Internal Revenue Code of 1986, as amended, and the regulations promulgated thereunder is so qualified;</w:t>
      </w:r>
    </w:p>
    <w:p>
      <w:pPr>
        <w:jc w:val="both"/>
        <w:ind w:firstLine="8"/>
        <w:spacing w:after="0" w:line="250" w:lineRule="auto"/>
        <w:tabs>
          <w:tab w:leader="none" w:pos="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and its respective subsidiaries has fulfilled its obligations, if any, under Section 515 of ERISA; (iii) each pension plan and welfare plan established or maintained by the Parent and/or one or more of its respective subsidiaries is in compliance in all material respects with the currently applicable provisions of ERISA; and (iv) neither the Parent nor any of its respective subsidiaries has incurred or could reasonably be expected to incur any withdrawal liability under Section 4201 of ERISA, any liability under Section 4062, 4063, or 4064 of ERISA, or any other liability under Title IV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0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Parent employs disclosure controls and procedures that are designed to ensure that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by the Parent in the reports that it files or submits under the 1934 Act is recorded, processed, summarized and reported, within the time periods specified in the Commission’s rules and forms, and is accumulated and communicated to the Parent’s management, including its principal executive officer or officers and principal financial officer or officers, as appropriate, to allow timely decisions regarding disclosure.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Parent maintains a system of internal accounting controls sufficient to provide reasonable assurance that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Information and the Prospectus, since the end of the Parent’s most recent audited fiscal year, there has been (1) no material weakness in the Parent’s internal control over financial reporting (whether or not remediated) and (2) no change in the Parent’s internal control over financial reporting that has materially affected, or is reasonably likely to materially affect, the Parent’s internal control over financial reporting.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 w:name="page15"/>
    <w:bookmarkEnd w:id="14"/>
    <w:p>
      <w:pPr>
        <w:jc w:val="both"/>
        <w:ind w:firstLine="656"/>
        <w:spacing w:after="0" w:line="257" w:lineRule="auto"/>
        <w:tabs>
          <w:tab w:leader="none" w:pos="10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the Parent, the other Guarantors and each of their respective subsidiaries are insured by recognized, financially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sound and reputable institutions with policies in such amounts and with such deductibles and covering such risks as are generally deemed adequate and customary for the business for which it is engaged. The Company, the Parent and the other Guarantors have no reason to believe that they or any of their respective subsidiaries will not be able (i) to renew their existing insurance coverage as and when such policies expire or (ii) to obtain comparable coverage from similar institutions as may be necessary or appropriate to conduct their respective businesses as now conducted and at a cost that would not result in a Material Adverse Change.</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10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Neither the Company, the Parent or any of their respective subsidiaries nor, to the knowledge of the Company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any director, officer, agent, employee, affiliate or other person acting on behalf of the Company, the Parent or any of their respective subsidiaries is aware of or has taken any action, directly or indirectly, that could result in a material violation or a sanction for violation by such persons of the Foreign Corrupt Practices Act of 1977 or the U.K. Bribery Act 2010, each as may be amended, or similar law of any other relevant jurisdiction, or the rules or regulations thereunder; and the Company, the Parent and its subsidiaries have instituted and maintain policies and procedures designed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0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the Parent and their respective subsidiaries are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the Parent or any of their respective subsidiaries with respect to the Money Laundering Laws is pending or, to the best knowledge of the Company or the Parent, threatened.</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0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Neither the Company, the Parent or any of their respective subsidiaries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the Parent, any director, officer, agent, employee or affiliate of the Company, the Parent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or by His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(at the time of this Agreement, the Crimea Region of Ukraine, the so-called Donetsk People’s Republic, the so-called Luhansk People’s Republic, the non-government controlled areas of the Zaporizhzhia and Kherson Regions of Ukraine, Cuba, Iran, North Korea, and Syria)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Company, the Parent or any of their respective subsidiaries has engaged in any dealings or transactions with or for the benefit of a Sanctioned Person, or with or in a Sanctioned Country, in the preceding 3 years, nor does the Company, the Parent or any of their respective subsidiaries have any plans to engage in dealings or transactions with or for the benefit of a Sanctioned Person, or with or in a Sanctioned Country.</w:t>
      </w:r>
    </w:p>
    <w:p>
      <w:pPr>
        <w:spacing w:after="0" w:line="174" w:lineRule="exact"/>
        <w:rPr>
          <w:sz w:val="20"/>
          <w:szCs w:val="20"/>
          <w:color w:val="auto"/>
        </w:rPr>
      </w:pPr>
    </w:p>
    <w:p>
      <w:pPr>
        <w:jc w:val="both"/>
        <w:ind w:firstLine="656"/>
        <w:spacing w:after="0" w:line="261" w:lineRule="auto"/>
        <w:tabs>
          <w:tab w:leader="none" w:pos="10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None of the Parent, the Company or any of the other Guarantors has taken, directly or indirectly (without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activities of the Underwriters), any action designed to or that has constituted or that might reasonably be expected to cause or result, under the Securities Exchange Act of 1934, as amended, and the rules and regulations promulgated thereunder or otherwise, in stabilization or manipulation of the price of any security of the Company or the Parent to facilitate the sale or resale of the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Stabilizing Rules</w:t>
      </w:r>
      <w:r>
        <w:rPr>
          <w:rFonts w:ascii="Times New Roman" w:cs="Times New Roman" w:eastAsia="Times New Roman" w:hAnsi="Times New Roman"/>
          <w:sz w:val="18"/>
          <w:szCs w:val="18"/>
          <w:color w:val="auto"/>
        </w:rPr>
        <w:t>. To the extent that information is required to be publicly disclosed under the U.K. Financial Services Authority’s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Stabilising Rules (the “Stabilizing Rules”) before stabilizing transactions can be undertaken in compliance with the safe harbor provided under such Stabilizing Rules, such information has been adequately publicly disclosed (within the meaning of the Stabilizing Rules).</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9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Parent and its subsidiaries’ information technology assets and equipment, computers, systems,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software, websites, applications, and databases (collectively, “IT Systems”) operate and perform in all respects in conformance with their specifications or contracted requirements as required in connection with the operation of the business of the Parent and its subsidiaries as currently conducted, and to the knowledge of the Company or Parent, the IT Systems are free and clear of all bugs, errors, defects, Trojan horses, time bombs, malware and other corruptants, other than as would not reasonably expected to have a Material Adverse Effect. The Parent and its subsidiaries maintain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including as processed and stored thereon, and there have been no breaches, incidents, violations, outages, compromises or unauthorized uses of or accesses to same, except for those that have been remedied without material cost or liability or the duty to notify any other person or that would not, individually or in the aggregate, reasonably be expected to have a Material Adverse Effect, nor any material incidents under internal review or investigations relating to the same. The Parent and its subsidiaries have during the past three (3) years complied, and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individually or in the aggregate, reasonably be expected to have a Material Adverse Effect.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firstLine="656"/>
        <w:spacing w:after="0" w:line="267" w:lineRule="auto"/>
        <w:tabs>
          <w:tab w:leader="none" w:pos="10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Parent and any of the Parent’s directors or officers, in their capacities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to comply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relating to loans and Sections 302 and 906 relating to certifications.</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The Company is not an ineligible issuer and is a well-known seasoned issuer, in each case as defined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in each case at the times specified in the Securities Act in connection with the offering of the Securities.</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1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for Solicitation</w:t>
      </w:r>
      <w:r>
        <w:rPr>
          <w:rFonts w:ascii="Times New Roman" w:cs="Times New Roman" w:eastAsia="Times New Roman" w:hAnsi="Times New Roman"/>
          <w:sz w:val="18"/>
          <w:szCs w:val="18"/>
          <w:color w:val="auto"/>
        </w:rPr>
        <w:t>. None of the Parent, the Company or any of the other Guarantors has paid or agreed to pay to any person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soliciting another to purchase any securities of the Parent or the Company (except as contemplated in this Agreement).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0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Federal Income Tax and Description of Notes</w:t>
      </w:r>
      <w:r>
        <w:rPr>
          <w:rFonts w:ascii="Times New Roman" w:cs="Times New Roman" w:eastAsia="Times New Roman" w:hAnsi="Times New Roman"/>
          <w:sz w:val="18"/>
          <w:szCs w:val="18"/>
          <w:color w:val="auto"/>
        </w:rPr>
        <w:t>. The statements in the Preliminary Prospectus and the Prospectus under the headings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Income Tax Considerations for U.S. Holders” and “Description of the Notes” fairly summarize the matters therein described in all material respects.</w:t>
      </w:r>
    </w:p>
    <w:p>
      <w:pPr>
        <w:spacing w:after="0" w:line="173" w:lineRule="exact"/>
        <w:rPr>
          <w:rFonts w:ascii="Times New Roman" w:cs="Times New Roman" w:eastAsia="Times New Roman" w:hAnsi="Times New Roman"/>
          <w:sz w:val="18"/>
          <w:szCs w:val="18"/>
          <w:color w:val="auto"/>
        </w:rPr>
      </w:pPr>
    </w:p>
    <w:p>
      <w:pPr>
        <w:jc w:val="both"/>
        <w:ind w:firstLine="656"/>
        <w:spacing w:after="0" w:line="255" w:lineRule="auto"/>
        <w:tabs>
          <w:tab w:leader="none" w:pos="11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Stamp</w:t>
      </w:r>
      <w:r>
        <w:rPr>
          <w:rFonts w:ascii="Times New Roman" w:cs="Times New Roman" w:eastAsia="Times New Roman" w:hAnsi="Times New Roman"/>
          <w:sz w:val="18"/>
          <w:szCs w:val="18"/>
          <w:color w:val="auto"/>
        </w:rPr>
        <w:t>. There are no stamp or other issuance or transfer taxes or duties or other similar fees or charges imposed under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Luxembourg or Ireland (or, in each case, any political subdivision thereof or therein) required to be paid in respect of the execution and delivery of this Agreement or the issuance or sale of the Securities by the Company or the issuance of the Guarantees by the Guarantors except in Luxembourg for any fixed or ad valorem registration duty in Luxembourg (i) upon voluntary registration (</w:t>
      </w:r>
      <w:r>
        <w:rPr>
          <w:rFonts w:ascii="Times New Roman" w:cs="Times New Roman" w:eastAsia="Times New Roman" w:hAnsi="Times New Roman"/>
          <w:sz w:val="18"/>
          <w:szCs w:val="18"/>
          <w:i w:val="1"/>
          <w:iCs w:val="1"/>
          <w:color w:val="auto"/>
        </w:rPr>
        <w:t>présentation à l’enregistrement</w:t>
      </w:r>
      <w:r>
        <w:rPr>
          <w:rFonts w:ascii="Times New Roman" w:cs="Times New Roman" w:eastAsia="Times New Roman" w:hAnsi="Times New Roman"/>
          <w:sz w:val="18"/>
          <w:szCs w:val="18"/>
          <w:color w:val="auto"/>
        </w:rPr>
        <w:t>) of the Agreement and any related documents before the Registration Duties, Estates and VAT Authority (</w:t>
      </w:r>
      <w:r>
        <w:rPr>
          <w:rFonts w:ascii="Times New Roman" w:cs="Times New Roman" w:eastAsia="Times New Roman" w:hAnsi="Times New Roman"/>
          <w:sz w:val="18"/>
          <w:szCs w:val="18"/>
          <w:i w:val="1"/>
          <w:iCs w:val="1"/>
          <w:color w:val="auto"/>
        </w:rPr>
        <w:t>Administration de l’enregistrement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 domains et de la TVA</w:t>
      </w:r>
      <w:r>
        <w:rPr>
          <w:rFonts w:ascii="Times New Roman" w:cs="Times New Roman" w:eastAsia="Times New Roman" w:hAnsi="Times New Roman"/>
          <w:sz w:val="18"/>
          <w:szCs w:val="18"/>
          <w:color w:val="auto"/>
        </w:rPr>
        <w:t>) in Luxembourg, or</w:t>
      </w:r>
    </w:p>
    <w:p>
      <w:pPr>
        <w:ind w:firstLine="8"/>
        <w:spacing w:after="0" w:line="260" w:lineRule="auto"/>
        <w:tabs>
          <w:tab w:leader="none" w:pos="3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Agreement and any related documents are (a) enclosed to a compulsory registrable deed under Luxembourg law (</w:t>
      </w:r>
      <w:r>
        <w:rPr>
          <w:rFonts w:ascii="Times New Roman" w:cs="Times New Roman" w:eastAsia="Times New Roman" w:hAnsi="Times New Roman"/>
          <w:sz w:val="18"/>
          <w:szCs w:val="18"/>
          <w:i w:val="1"/>
          <w:iCs w:val="1"/>
          <w:color w:val="auto"/>
        </w:rPr>
        <w:t>acte obligatoirement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enregistrable</w:t>
      </w:r>
      <w:r>
        <w:rPr>
          <w:rFonts w:ascii="Times New Roman" w:cs="Times New Roman" w:eastAsia="Times New Roman" w:hAnsi="Times New Roman"/>
          <w:sz w:val="18"/>
          <w:szCs w:val="18"/>
          <w:color w:val="auto"/>
        </w:rPr>
        <w:t>) or (b) deposited with the official records of a notary (</w:t>
      </w:r>
      <w:r>
        <w:rPr>
          <w:rFonts w:ascii="Times New Roman" w:cs="Times New Roman" w:eastAsia="Times New Roman" w:hAnsi="Times New Roman"/>
          <w:sz w:val="18"/>
          <w:szCs w:val="18"/>
          <w:i w:val="1"/>
          <w:iCs w:val="1"/>
          <w:color w:val="auto"/>
        </w:rPr>
        <w:t>déposé au rang des minutes d’un notaire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Withholding Tax</w:t>
      </w:r>
      <w:r>
        <w:rPr>
          <w:rFonts w:ascii="Times New Roman" w:cs="Times New Roman" w:eastAsia="Times New Roman" w:hAnsi="Times New Roman"/>
          <w:sz w:val="18"/>
          <w:szCs w:val="18"/>
          <w:color w:val="auto"/>
        </w:rPr>
        <w:t>. Except as disclosed in each of the Preliminary Prospectus and the Prospectus, under current law, no payment to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on behalf of the Company under or with respect to the Notes will be subject to withholding or deduction of any taxes, levies, imposts, duties, assessments, withholdings or similar charges imposed by any governmental authority of (1) any jurisdiction in which the Company is incorporated, organized, engaged in business or resident for tax purposes or any political subdivision thereof or therein or (2) any jurisdiction from or through which payment is made by or on behalf of the Company.</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The subsidiaries listed on Schedule 3 attached hereto are, with respect to the Parent , the only Significant Subsidiaries.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the Parent or any other Guarantor and delivered to the Representatives or counsel for the Underwriters in connection with the offering of the Securities shall be deemed a representation and warranty by the Company, the Parent or such other Guarantor, as to matters covered thereby, to each Underwriter.</w:t>
      </w:r>
    </w:p>
    <w:p>
      <w:pPr>
        <w:spacing w:after="0" w:line="176" w:lineRule="exact"/>
        <w:rPr>
          <w:sz w:val="20"/>
          <w:szCs w:val="20"/>
          <w:color w:val="auto"/>
        </w:rPr>
      </w:pPr>
    </w:p>
    <w:p>
      <w:pPr>
        <w:ind w:firstLine="656"/>
        <w:spacing w:after="0" w:line="28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 and the Guarantors</w:t>
      </w:r>
      <w:r>
        <w:rPr>
          <w:rFonts w:ascii="Times New Roman" w:cs="Times New Roman" w:eastAsia="Times New Roman" w:hAnsi="Times New Roman"/>
          <w:sz w:val="18"/>
          <w:szCs w:val="18"/>
          <w:color w:val="auto"/>
        </w:rPr>
        <w:t>. The Company and the Guarantors jointly and severally covenant and agree with each Underwriter that:</w:t>
      </w:r>
    </w:p>
    <w:p>
      <w:pPr>
        <w:spacing w:after="0" w:line="160" w:lineRule="exact"/>
        <w:rPr>
          <w:sz w:val="20"/>
          <w:szCs w:val="20"/>
          <w:color w:val="auto"/>
        </w:rPr>
      </w:pPr>
    </w:p>
    <w:p>
      <w:pPr>
        <w:jc w:val="both"/>
        <w:ind w:firstLine="656"/>
        <w:spacing w:after="0" w:line="254" w:lineRule="auto"/>
        <w:tabs>
          <w:tab w:leader="none" w:pos="9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and the Guarantors will file the final prospectus with the Commission within the time periods specified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424(b) and Rule 430A, 430B or 430C under the Securities Act, will file any Issuer Free Writing Prospectus (including the Pricing Term Sheet referred to in Annex B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7" w:name="page18"/>
    <w:bookmarkEnd w:id="17"/>
    <w:p>
      <w:pPr>
        <w:jc w:val="both"/>
        <w:ind w:firstLine="656"/>
        <w:spacing w:after="0" w:line="257" w:lineRule="auto"/>
        <w:tabs>
          <w:tab w:leader="none" w:pos="9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to each Underwriter during the Prospectus Delivery Period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Registration Statement has been filed or becomes effective; (ii) when any supplement to the Prospectus or any Issuer Free Writing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 of the occurrence of any event or development within the Prospectus Delivery Period as a result of which the Prospectus, any of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and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obtain as soon as possible the withdrawal thereof.</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jc w:val="both"/>
        <w:ind w:firstLine="656"/>
        <w:spacing w:after="0" w:line="254" w:lineRule="auto"/>
        <w:tabs>
          <w:tab w:leader="none" w:pos="9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If during the Prospectus Delivery Period (i) any event shall occur or condition shall exist as a result of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9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Securities for offer and sale under the securities or Blue Sky laws of such jurisdictions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Representatives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any of the Guarantors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During the period from the date hereof through and including the Closing Date, the Company and each of the Guarantors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without the prior written consent of J.P. Morgan Securities LLC, offer, sell, contract to sell or otherwise dispose of any debt securities issued or guaranteed by the Company or any of the Guarantors and having a tenor of more than one year.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ind w:right="20" w:firstLine="656"/>
        <w:spacing w:after="0" w:line="284" w:lineRule="auto"/>
        <w:tabs>
          <w:tab w:leader="none" w:pos="9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Securities as described in each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assist the Underwriters in arranging for the Securities to be eligible for clearance and settlement through DTC.</w:t>
      </w:r>
    </w:p>
    <w:p>
      <w:pPr>
        <w:spacing w:after="0" w:line="225" w:lineRule="exact"/>
        <w:rPr>
          <w:rFonts w:ascii="Times New Roman" w:cs="Times New Roman" w:eastAsia="Times New Roman" w:hAnsi="Times New Roman"/>
          <w:sz w:val="18"/>
          <w:szCs w:val="18"/>
          <w:color w:val="auto"/>
        </w:rPr>
      </w:pPr>
    </w:p>
    <w:p>
      <w:pPr>
        <w:ind w:firstLine="656"/>
        <w:spacing w:after="0" w:line="284" w:lineRule="auto"/>
        <w:tabs>
          <w:tab w:leader="none" w:pos="9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the Guarantors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Securities.</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0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and each of the Guarantors will use their reasonable best efforts to cause the Securities to be listed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Stock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jc w:val="both"/>
        <w:ind w:firstLine="656"/>
        <w:spacing w:after="0" w:line="253" w:lineRule="auto"/>
        <w:tabs>
          <w:tab w:leader="none" w:pos="9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Gross-Up. </w:t>
      </w:r>
      <w:r>
        <w:rPr>
          <w:rFonts w:ascii="Times New Roman" w:cs="Times New Roman" w:eastAsia="Times New Roman" w:hAnsi="Times New Roman"/>
          <w:sz w:val="18"/>
          <w:szCs w:val="18"/>
          <w:color w:val="auto"/>
        </w:rPr>
        <w:t>The Company and each of the Guarantors agree with each of the Underwriters to make all payments to the Underwriters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without withholding or deduction for or on account of any present or future taxes, levies, imposts, duties, assessments, withholdings or similar charges imposed by any Tax Jurisdiction, unless the Company or any such Guarantor, as the case may be, is required by law to deduct or withhold any such taxes, levies, imposts, duties, assessments, withholdings or similar charges. In that event, the Company or such Guarantor, as the case may be, shall pay such additional amounts as may be necessary in order that the net amounts received by each applicable Underwriter after such withholding or deduction will equal the amounts that would have been received if no withholding or deduction has been made, except to the extent that such taxes, levies, imposts, duties, assessments, withholdings or similar charges (a) were imposed due to any connection of an Underwriter with the applicable Tax Jurisdiction other than the mere entering into of this Agreement or receipt of payments hereunder, (b) would not have been imposed but for the failure of such Underwriter, upon reasonable request from the Company, to comply with any reasonable certification, identification or other reporting requirements concerning the nationality, residence, identity, treaty eligibility, or connection with the Tax Jurisdiction of the Underwriter, or other relevant information regarding the Underwriter, if such compliance is required or imposed by law as a precondition to an exemption from, or reduction in, such taxes, levies, imposts, duties, assessments, withholdings or similar charges, (c) were imposed by the United States (or any political subdivision thereof or therein) or (d) were imposed as a result of the Luxembourg law of 23 December 2005.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sz w:val="20"/>
          <w:szCs w:val="20"/>
          <w:color w:val="auto"/>
        </w:rPr>
      </w:pPr>
    </w:p>
    <w:p>
      <w:pPr>
        <w:jc w:val="both"/>
        <w:ind w:firstLine="656"/>
        <w:spacing w:after="0" w:line="254" w:lineRule="auto"/>
        <w:tabs>
          <w:tab w:leader="none" w:pos="9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the Pricing Term Sheet referred to in Annex B hereto without the consent of the Company.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ind w:firstLine="656"/>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(the “</w:t>
      </w:r>
      <w:r>
        <w:rPr>
          <w:rFonts w:ascii="Times New Roman" w:cs="Times New Roman" w:eastAsia="Times New Roman" w:hAnsi="Times New Roman"/>
          <w:sz w:val="18"/>
          <w:szCs w:val="18"/>
          <w:u w:val="single" w:color="auto"/>
          <w:color w:val="auto"/>
        </w:rPr>
        <w:t>FSMA</w:t>
      </w:r>
      <w:r>
        <w:rPr>
          <w:rFonts w:ascii="Times New Roman" w:cs="Times New Roman" w:eastAsia="Times New Roman" w:hAnsi="Times New Roman"/>
          <w:sz w:val="18"/>
          <w:szCs w:val="18"/>
          <w:color w:val="auto"/>
        </w:rPr>
        <w:t>”)) received by it in connection with the issue or sale of any Securities, in circumstances in which Section 21(1) of the FSMA does not apply to the Company.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Securities in, from or otherwise involving the United Kingdom.</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that additional restrictions on the offer and sale of the Securities are described in the Time of Sale Information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92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sold or otherwise made available and will not offer, sell or otherwise make available any Securities to any retail investor in the European Economic Area. For the purposes of this provision: (a) the expression “</w:t>
      </w:r>
      <w:r>
        <w:rPr>
          <w:rFonts w:ascii="Times New Roman" w:cs="Times New Roman" w:eastAsia="Times New Roman" w:hAnsi="Times New Roman"/>
          <w:sz w:val="18"/>
          <w:szCs w:val="18"/>
          <w:u w:val="single" w:color="auto"/>
          <w:color w:val="auto"/>
        </w:rPr>
        <w:t>retail investor</w:t>
      </w:r>
      <w:r>
        <w:rPr>
          <w:rFonts w:ascii="Times New Roman" w:cs="Times New Roman" w:eastAsia="Times New Roman" w:hAnsi="Times New Roman"/>
          <w:sz w:val="18"/>
          <w:szCs w:val="18"/>
          <w:color w:val="auto"/>
        </w:rPr>
        <w:t>” means a person who is one (or more) of the following:</w:t>
      </w:r>
    </w:p>
    <w:p>
      <w:pPr>
        <w:jc w:val="both"/>
        <w:ind w:right="20" w:firstLine="8"/>
        <w:spacing w:after="0" w:line="253"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w:t>
      </w:r>
      <w:r>
        <w:rPr>
          <w:rFonts w:ascii="Times New Roman" w:cs="Times New Roman" w:eastAsia="Times New Roman" w:hAnsi="Times New Roman"/>
          <w:sz w:val="18"/>
          <w:szCs w:val="18"/>
          <w:u w:val="single" w:color="auto"/>
          <w:color w:val="auto"/>
        </w:rPr>
        <w:t>MiFID II</w:t>
      </w:r>
      <w:r>
        <w:rPr>
          <w:rFonts w:ascii="Times New Roman" w:cs="Times New Roman" w:eastAsia="Times New Roman" w:hAnsi="Times New Roman"/>
          <w:sz w:val="18"/>
          <w:szCs w:val="18"/>
          <w:color w:val="auto"/>
        </w:rPr>
        <w:t>”); or (ii) a customer within the meaning of Directive (EU) 2016/97 (as amended, the “</w:t>
      </w:r>
      <w:r>
        <w:rPr>
          <w:rFonts w:ascii="Times New Roman" w:cs="Times New Roman" w:eastAsia="Times New Roman" w:hAnsi="Times New Roman"/>
          <w:sz w:val="18"/>
          <w:szCs w:val="18"/>
          <w:u w:val="single" w:color="auto"/>
          <w:color w:val="auto"/>
        </w:rPr>
        <w:t>Insurance Distribution Directive</w:t>
      </w:r>
      <w:r>
        <w:rPr>
          <w:rFonts w:ascii="Times New Roman" w:cs="Times New Roman" w:eastAsia="Times New Roman" w:hAnsi="Times New Roman"/>
          <w:sz w:val="18"/>
          <w:szCs w:val="18"/>
          <w:color w:val="auto"/>
        </w:rPr>
        <w:t>”), where that customer would not qualify as a professional client as defined in point (10) of MiFID II: or (iii) not a qualified investor as defined in Regulation (EU) 2017/1129 (as amended, the “</w:t>
      </w:r>
      <w:r>
        <w:rPr>
          <w:rFonts w:ascii="Times New Roman" w:cs="Times New Roman" w:eastAsia="Times New Roman" w:hAnsi="Times New Roman"/>
          <w:sz w:val="18"/>
          <w:szCs w:val="18"/>
          <w:u w:val="single" w:color="auto"/>
          <w:color w:val="auto"/>
        </w:rPr>
        <w:t>Prospectus Regulation</w:t>
      </w:r>
      <w:r>
        <w:rPr>
          <w:rFonts w:ascii="Times New Roman" w:cs="Times New Roman" w:eastAsia="Times New Roman" w:hAnsi="Times New Roman"/>
          <w:sz w:val="18"/>
          <w:szCs w:val="18"/>
          <w:color w:val="auto"/>
        </w:rPr>
        <w:t>”); and (b) the expression “offer” includes the communication in any form and by any means of sufficient information on the terms of the offer and the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sold or otherwise made available and will not offer, sell or otherwise make available any Securities to any retail investor in the United Kingdom. For the purposes of this provision: (a) the expression “</w:t>
      </w:r>
      <w:r>
        <w:rPr>
          <w:rFonts w:ascii="Times New Roman" w:cs="Times New Roman" w:eastAsia="Times New Roman" w:hAnsi="Times New Roman"/>
          <w:sz w:val="18"/>
          <w:szCs w:val="18"/>
          <w:u w:val="single" w:color="auto"/>
          <w:color w:val="auto"/>
        </w:rPr>
        <w:t>retail investor</w:t>
      </w:r>
      <w:r>
        <w:rPr>
          <w:rFonts w:ascii="Times New Roman" w:cs="Times New Roman" w:eastAsia="Times New Roman" w:hAnsi="Times New Roman"/>
          <w:sz w:val="18"/>
          <w:szCs w:val="18"/>
          <w:color w:val="auto"/>
        </w:rPr>
        <w:t>” means a person who is one (or more) of the following: (i) a retail client, as defined in point (8) of Article 2 of Regulation (EU) No 2017/565 as it forms part of domestic law by virtue of the European Union (Withdrawal) Act 2018 (“</w:t>
      </w:r>
      <w:r>
        <w:rPr>
          <w:rFonts w:ascii="Times New Roman" w:cs="Times New Roman" w:eastAsia="Times New Roman" w:hAnsi="Times New Roman"/>
          <w:sz w:val="18"/>
          <w:szCs w:val="18"/>
          <w:u w:val="single" w:color="auto"/>
          <w:color w:val="auto"/>
        </w:rPr>
        <w:t>EUWA</w:t>
      </w:r>
      <w:r>
        <w:rPr>
          <w:rFonts w:ascii="Times New Roman" w:cs="Times New Roman" w:eastAsia="Times New Roman" w:hAnsi="Times New Roman"/>
          <w:sz w:val="18"/>
          <w:szCs w:val="18"/>
          <w:color w:val="auto"/>
        </w:rPr>
        <w:t>”); or (ii) a customer within the meaning of the provisions of the FSMA and any rules or regulations made under the FSMA to implement Directive (EU) 2016/97, where that customer would not qualify as a professional client, as defined in pont (8) of Article 2(1) of Regulation (EU) No 600/2014 as it forms part of domestic law by virtue of the EUWA; or (iii) not a qualified investor as defined in Article 2 of Regulation (EU) 2017/1129 as it forms part of domestic law by virtue of the EUWA; and (b) the expression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includes the communication in any form and by any means of sufficient information on the terms of the offer and the Securities to be offered so as to enable an investor to decide to purchase or subscribe for the Securities.</w:t>
      </w:r>
    </w:p>
    <w:p>
      <w:pPr>
        <w:spacing w:after="0" w:line="188" w:lineRule="exact"/>
        <w:rPr>
          <w:sz w:val="20"/>
          <w:szCs w:val="20"/>
          <w:color w:val="auto"/>
        </w:rPr>
      </w:pPr>
    </w:p>
    <w:p>
      <w:pPr>
        <w:jc w:val="both"/>
        <w:ind w:firstLine="656"/>
        <w:spacing w:after="0" w:line="266"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Securities on the Closing Date as provided herein is subject to the performance by the Company and each of the Guarantors of their respective covenants and other obligations hereunder and to the following additional conditions:</w:t>
      </w:r>
    </w:p>
    <w:p>
      <w:pPr>
        <w:spacing w:after="0" w:line="174" w:lineRule="exact"/>
        <w:rPr>
          <w:sz w:val="20"/>
          <w:szCs w:val="20"/>
          <w:color w:val="auto"/>
        </w:rPr>
      </w:pPr>
    </w:p>
    <w:p>
      <w:pPr>
        <w:jc w:val="both"/>
        <w:ind w:firstLine="656"/>
        <w:spacing w:after="0" w:line="258" w:lineRule="auto"/>
        <w:tabs>
          <w:tab w:leader="none" w:pos="9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56"/>
        <w:spacing w:after="0" w:line="267"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Guarantors contained herein shall be true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 on the date hereof and on and as of the Closing Date; and the statements of the Company, the Guarantors and their respective officers made in any certificates delivered pursuant to this Agreement shall be true and correct on and as of the Closing Date.</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9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a certificate of an executive officer of the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has specific knowledge of the Parent’s financial matters and is satisfactory to the Representatives (i) confirming that such officer has carefully reviewed the Registration Statement, the Time of Sale Information and Prospectus and, to the knowledge of such officer, the representations set forth in Sections 3(b) and 3(e) hereof are true and correct, (ii) confirming that the other representations and warranties of the Company and the Guarantors in this Agreement are true and correct and that the Company and the Guarantors have complied with all agreements and satisfied all conditions on their part to be performed or satisfied hereunder at or prior to the Closing Date and (iii) to the effect set forth in paragraphs (a), (c) and (d) above.</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KPMG shall have furnished to the Representatives, at the request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 delivered on the Closing Date shall use a “cut-off” date no more than three business days prior to the Closing Date.</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9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Cahill Gordon &amp; Reindel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2"/>
          <w:szCs w:val="12"/>
          <w:color w:val="auto"/>
        </w:rPr>
        <w:t>llp</w:t>
      </w:r>
      <w:r>
        <w:rPr>
          <w:rFonts w:ascii="Times New Roman" w:cs="Times New Roman" w:eastAsia="Times New Roman" w:hAnsi="Times New Roman"/>
          <w:sz w:val="18"/>
          <w:szCs w:val="18"/>
          <w:color w:val="auto"/>
        </w:rPr>
        <w:t>,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at the request of the Company, their written opinion and 10b-5 statement, dated the Closing Date, and addressed to the Underwriters, in form and substance reasonably satisfactory to the Representatives. If the Collateral Documents are executed and delivered on the Collateral Closing Date (as defined below) instead of the Closing Date, Cahill Gordon &amp; Reindel </w:t>
      </w:r>
      <w:r>
        <w:rPr>
          <w:rFonts w:ascii="Times New Roman" w:cs="Times New Roman" w:eastAsia="Times New Roman" w:hAnsi="Times New Roman"/>
          <w:sz w:val="12"/>
          <w:szCs w:val="12"/>
          <w:color w:val="auto"/>
        </w:rPr>
        <w:t>llp</w:t>
      </w:r>
      <w:r>
        <w:rPr>
          <w:rFonts w:ascii="Times New Roman" w:cs="Times New Roman" w:eastAsia="Times New Roman" w:hAnsi="Times New Roman"/>
          <w:sz w:val="18"/>
          <w:szCs w:val="18"/>
          <w:color w:val="auto"/>
        </w:rPr>
        <w:t>, counsel for the Company, shall furnish, at the request of the Company, a separate written opinion regarding the Collateral Documents and the Collateral, dated the Collateral Closing Date, and addressed to the Underwriters, in form and substance reasonably satisfactory to the Representatives.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jc w:val="both"/>
        <w:ind w:firstLine="656"/>
        <w:spacing w:after="0" w:line="253" w:lineRule="auto"/>
        <w:tabs>
          <w:tab w:leader="none" w:pos="9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Local Counsel</w:t>
      </w:r>
      <w:r>
        <w:rPr>
          <w:rFonts w:ascii="Times New Roman" w:cs="Times New Roman" w:eastAsia="Times New Roman" w:hAnsi="Times New Roman"/>
          <w:sz w:val="18"/>
          <w:szCs w:val="18"/>
          <w:color w:val="auto"/>
        </w:rPr>
        <w:t>. (x) A&amp;L Goodbody LLP, counsel for the Company in Ireland, shall have furnished to the Representatives,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of the Company, its written opinion, dated the Closing Date, and addressed to the Underwriters, in form and substance reasonably satisfactory to the Representatives, (y) Loyens &amp; Loeff Luxembourg S.À R.L., counsel for the Company in Luxembourg, shall have furnished to the Representatives, at the request of the Company, its written opinion, dated the Closing Date, and addressed to the Underwriters, in form and substance reasonably satisfactory to the Representatives, and (z) McGuireWoods LLP, counsel for the Company in the State of Virginia, USA, shall have furnished to the Representatives, at the request of the Company, its written opinion, dated the Closing Date, and addressed to the Underwriters, in form and substance reasonably satisfactory to the Representatives. If the Collateral Documents are executed and delivered on the Collateral Closing Date instead of the Closing Date, (x) A&amp;L Goodbody LLP, counsel for the Company in Ireland, (y) Loyens &amp; Loeff Luxembourg S.À R.L., counsel for the Company in Luxembourg, and (z) McGuireWoods LLP, counsel for the Company in the State of Virginia, USA, each shall furnish, at the request of the Company, a separate written opinion regarding the Collateral Documents and the Collateral, dated the Collateral Closing Date, and addressed to the Underwriters, in form and substance reasonably satisfactory to the Representatives.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Opinions of Local Counsels for the Underwriters. </w:t>
      </w:r>
      <w:r>
        <w:rPr>
          <w:rFonts w:ascii="Times New Roman" w:cs="Times New Roman" w:eastAsia="Times New Roman" w:hAnsi="Times New Roman"/>
          <w:sz w:val="18"/>
          <w:szCs w:val="18"/>
          <w:color w:val="auto"/>
        </w:rPr>
        <w:t>The Representatives shall have received on and as of the Closing Date opinions, addressed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Underwriters, of (y) Matheson LLP, Ireland counsel for the Underwriters and (z) NautaDutilh Avocats Luxembourg S.à r.l., Luxembourg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or sale of the Securities or the issuance of the Guarantees; and no injunction or order of any federal, state or foreign court shall have been issued that would, as of the Closing Date, prevent the issuance or sale of the Securities or the issuance of the Guarantees.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satisfactory evidence of the good standing, existence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equivalent, as applicable and as available, of the Company and the Guarantors, including the Parent, in their respective jurisdictions of organization or incorporation, as applicable, and their good standing, existence or the equivalent, as applicable and as available, in such other jurisdictions as the Representatives may reasonably request, in each case in writing or any standard form of telecommunication, from the appropriate governmental authorities of such jurisdictions.</w:t>
      </w:r>
    </w:p>
    <w:p>
      <w:pPr>
        <w:spacing w:after="0" w:line="18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Securities shall be eligible for clearance and settlement through DTC.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3" w:name="page24"/>
    <w:bookmarkEnd w:id="23"/>
    <w:p>
      <w:pPr>
        <w:jc w:val="both"/>
        <w:ind w:firstLine="656"/>
        <w:spacing w:after="0" w:line="267" w:lineRule="auto"/>
        <w:tabs>
          <w:tab w:leader="none" w:pos="9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 and Securities</w:t>
      </w:r>
      <w:r>
        <w:rPr>
          <w:rFonts w:ascii="Times New Roman" w:cs="Times New Roman" w:eastAsia="Times New Roman" w:hAnsi="Times New Roman"/>
          <w:sz w:val="18"/>
          <w:szCs w:val="18"/>
          <w:color w:val="auto"/>
        </w:rPr>
        <w:t>. The Indenture shall have been duly executed and delivered by a duly authorized officer of the Company,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the Trustee and the Notes Collateral Agent, and the Securities shall have been duly executed and delivered by a duly authorized officer of the Company and duly authenticated by the Trustee.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 Documents and Joinder</w:t>
      </w:r>
      <w:r>
        <w:rPr>
          <w:rFonts w:ascii="Times New Roman" w:cs="Times New Roman" w:eastAsia="Times New Roman" w:hAnsi="Times New Roman"/>
          <w:sz w:val="18"/>
          <w:szCs w:val="18"/>
          <w:color w:val="auto"/>
        </w:rPr>
        <w:t>. Within 120 days after the Closing Date (the “</w:t>
      </w:r>
      <w:r>
        <w:rPr>
          <w:rFonts w:ascii="Times New Roman" w:cs="Times New Roman" w:eastAsia="Times New Roman" w:hAnsi="Times New Roman"/>
          <w:sz w:val="18"/>
          <w:szCs w:val="18"/>
          <w:u w:val="single" w:color="auto"/>
          <w:color w:val="auto"/>
        </w:rPr>
        <w:t>Collateral Closing Date</w:t>
      </w:r>
      <w:r>
        <w:rPr>
          <w:rFonts w:ascii="Times New Roman" w:cs="Times New Roman" w:eastAsia="Times New Roman" w:hAnsi="Times New Roman"/>
          <w:sz w:val="18"/>
          <w:szCs w:val="18"/>
          <w:color w:val="auto"/>
        </w:rPr>
        <w:t>”), the Representatives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conformed counterparts of each of the Collateral Documents and the Joinder that shall have been executed and delivered by duly authorized officers of each party thereto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jc w:val="both"/>
        <w:ind w:firstLine="656"/>
        <w:spacing w:after="0" w:line="256" w:lineRule="auto"/>
        <w:tabs>
          <w:tab w:leader="none" w:pos="9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Filings, Registrations and Recordings</w:t>
      </w:r>
      <w:r>
        <w:rPr>
          <w:rFonts w:ascii="Times New Roman" w:cs="Times New Roman" w:eastAsia="Times New Roman" w:hAnsi="Times New Roman"/>
          <w:sz w:val="18"/>
          <w:szCs w:val="18"/>
          <w:color w:val="auto"/>
        </w:rPr>
        <w:t>. Except as otherwise contemplated by the applicable Collateral Documents, each document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Uniform Commercial Code financing statement) required by the applicable Collateral Documents, or under law or reasonably requested by the Representatives, in each case, to be filed, registered or recorded, or delivered for filing on or prior to the Closing Date, including filings in the U.S. Patent and Trademark Office and U.S. Copyright Office, as applicable, in order to create in favor of the Notes Collateral Agent, for the benefit of the holders of the Securities a perfected lien and security interest in the manner contemplated by the applicable Collateral Documents, that can be perfected by the making of such filings, registrations or recordations, prior and superior to the right of any other person (other than certain Permitted Liens), shall be executed and in proper form for filing, registration or recordation.</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9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Representatives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Representatives may reasonably request.</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840" w:hanging="184"/>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3" w:lineRule="auto"/>
        <w:tabs>
          <w:tab w:leader="none" w:pos="9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and each of the Guarantors jointly and severally agree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9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Guarantors. </w:t>
      </w:r>
      <w:r>
        <w:rPr>
          <w:rFonts w:ascii="Times New Roman" w:cs="Times New Roman" w:eastAsia="Times New Roman" w:hAnsi="Times New Roman"/>
          <w:sz w:val="18"/>
          <w:szCs w:val="18"/>
          <w:color w:val="auto"/>
        </w:rPr>
        <w:t>Each Underwriter agrees, severally and not jointly,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each of the Guarantors, its directors and officers each of its respective directors and officers who signed the Registration Statement and each person, if any, who controls the Company or the Guarantors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(each set forth under the heading “Underwriting”): (A) the first and third sentence of the fourth paragraph, (B) the fifth sentence of the sixth paragraph and (C) seventh and the eighth paragraphs.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jc w:val="both"/>
        <w:ind w:firstLine="656"/>
        <w:spacing w:after="0" w:line="251" w:lineRule="auto"/>
        <w:tabs>
          <w:tab w:leader="none" w:pos="9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J.P. Morgan Securities LLC and any such separate firm for the Company, the Guarantors, its directors and officers their respective directors and officers who signed the Registration Statement and any control persons of the Company and the Guarantors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5" w:name="page26"/>
    <w:bookmarkEnd w:id="25"/>
    <w:p>
      <w:pPr>
        <w:jc w:val="both"/>
        <w:ind w:firstLine="656"/>
        <w:spacing w:after="0" w:line="252" w:lineRule="auto"/>
        <w:tabs>
          <w:tab w:leader="none" w:pos="9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Guarantors on the one hand and the Underwriters on the other in connection with the statements or omissions that resulted in such losses, claims, damages or liabilities, as well as any other relevant equitable considerations. The relative benefits received by the Company and the Guarantors on the one hand and the Underwriters on the other shall be deemed to be in the same respective proportions as the net proceeds (before deducting expenses) received by the Company and the Guarantors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any Guarantor or by the Underwriters and the parties’ relative intent, knowledge, access to information and opportunity to correct or prevent such statement or omission.</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9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Guarantors and the Underwriters agree that it would not be just and equitable if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this 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6" w:name="page27"/>
    <w:bookmarkEnd w:id="26"/>
    <w:p>
      <w:pPr>
        <w:ind w:firstLine="656"/>
        <w:spacing w:after="0" w:line="284" w:lineRule="auto"/>
        <w:tabs>
          <w:tab w:leader="none" w:pos="9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8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Nasdaq Global Select Market or the New York Stock Exchange or the over-the-counter market; (ii) trading of any securities issued or guaranteed by the Company or any of the Guarantors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includes, for all purposes of this Agreement unless the context otherwise requires, any person not listed in Schedule 1 hereto that, pursuant to this Section 10, purchases Securities that a defaulting Underwriter agreed but failed to purchase.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or the Guarantors, except that the Company and each of the Guarantors will continue to be liable for the payment of expenses as set forth in Section 11 hereof and except that the provisions of Section 7 hereof shall not terminate and shall remain in effect.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p>
      <w:pPr>
        <w:ind w:firstLine="656"/>
        <w:spacing w:after="0" w:line="282" w:lineRule="auto"/>
        <w:tabs>
          <w:tab w:leader="none" w:pos="9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the Guarantors or any non-defaulting Underwriter for damages caused by its default.</w:t>
      </w:r>
    </w:p>
    <w:p>
      <w:pPr>
        <w:spacing w:after="0" w:line="160" w:lineRule="exact"/>
        <w:rPr>
          <w:sz w:val="20"/>
          <w:szCs w:val="20"/>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56"/>
        <w:spacing w:after="0" w:line="252" w:lineRule="auto"/>
        <w:tabs>
          <w:tab w:leader="none" w:pos="9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and each of the Guarantors jointly and severally agree to pay or cause to be paid all costs and expenses incident to the performance of their respective obligations (in addition to any applicable VAT, to the extent not recoverable) hereunder, including without limitation, (i) the costs incident to the authorization, issuance, sale, preparation and delivery of the Securities and any stamp, issue, transfer or similar taxes payable in respect thereof; (ii) the costs incident to the preparation, printing and filing under the Securities Act of the Registration Statement,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and the Guarantors’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Notes Collateral Agent, the Trustee and any paying agent (including related fees and expenses of any counsel to such parties); (viii) the fees and expenses incurred with respect to creating, documenting and perfecting the security interests in the Collateral as contemplated by the Collateral Documents (including the related fees and expenses of (A) U.S. counsel to the Underwriters for up to $100,000, (B) Irish counsel to the Underwriters for up to €9,000 (in addition to any VAT, to the extent not recoverable, and outlay) and (C) Luxembourg counsel to the Underwriters for up to €6,000 (in addition to any VAT, to the extent not recoverable, and outlay)) for all periods prior to, on and after the Closing Date; (ix) all expenses and application fees incurred in connection with any filing with, and clearance of the offering by, the Financial Industry Regulatory Authority, and the approval of the Securities for book-entry transfer by DTC; (x) all expenses incurred by the Company in connection with any “road show” presentation to potential investors; and (xi) all expenses and application fees related to the listing of the Securities on the Exchange.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Securities for delivery to the Underwriters or (iii) the Underwriters decline to purchase the Securities for any reason permitted under this Agreement, the Company and each of the Guarantors jointly and severally agree to reimburse the Underwriters for all accountable out-of-pocket costs and expenses (including the reasonable and documented fees and expenses of their counsel) actually incurred by the Underwriters in connection with this Agreement and the offering contemplated hereby.</w:t>
      </w:r>
    </w:p>
    <w:p>
      <w:pPr>
        <w:spacing w:after="0" w:line="183" w:lineRule="exact"/>
        <w:rPr>
          <w:sz w:val="20"/>
          <w:szCs w:val="20"/>
          <w:color w:val="auto"/>
        </w:rPr>
      </w:pPr>
    </w:p>
    <w:p>
      <w:pPr>
        <w:jc w:val="both"/>
        <w:ind w:firstLine="656"/>
        <w:spacing w:after="0" w:line="258" w:lineRule="auto"/>
        <w:tabs>
          <w:tab w:leader="none" w:pos="9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56"/>
        <w:spacing w:after="0" w:line="261" w:lineRule="auto"/>
        <w:tabs>
          <w:tab w:leader="none" w:pos="9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Guarantors and the Underwriters contained in this Agreement or made by or on behalf of the Company, the Guarantors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Guarantors or the Underwriters.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405 under the Securities Act; (b)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 and (c)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9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Representatives. </w:t>
      </w:r>
      <w:r>
        <w:rPr>
          <w:rFonts w:ascii="Times New Roman" w:cs="Times New Roman" w:eastAsia="Times New Roman" w:hAnsi="Times New Roman"/>
          <w:sz w:val="18"/>
          <w:szCs w:val="18"/>
          <w:color w:val="auto"/>
        </w:rPr>
        <w:t>Any action by the Underwriters hereunder may be taken by Citigroup Global Markets Inc., HSBC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 Inc., J.P. Morgan Securities LLC, Morgan Stanley &amp; Co. LLC and Santander US Capital Markets LLC on behalf of the Underwriters, and any such action taken by the Representatives shall be binding upon the Underwriters.</w:t>
      </w:r>
    </w:p>
    <w:p>
      <w:pPr>
        <w:spacing w:after="0" w:line="173" w:lineRule="exact"/>
        <w:rPr>
          <w:rFonts w:ascii="Times New Roman" w:cs="Times New Roman" w:eastAsia="Times New Roman" w:hAnsi="Times New Roman"/>
          <w:sz w:val="18"/>
          <w:szCs w:val="18"/>
          <w:color w:val="auto"/>
        </w:rPr>
      </w:pPr>
    </w:p>
    <w:p>
      <w:pPr>
        <w:jc w:val="both"/>
        <w:ind w:right="20" w:firstLine="656"/>
        <w:spacing w:after="0" w:line="284" w:lineRule="auto"/>
        <w:tabs>
          <w:tab w:leader="none" w:pos="9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hereto as follows: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(646) 291-1469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Transaction Management Group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Investment Grade Syndicate Desk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(212) 834-6081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 29th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Investment Banking Division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(212) 507-8999</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437 Madison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Debt Capital Markets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(212) 407-0930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DCMAmericas@santander.us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the Company, the Parent or the other Guarantors shall be given to them 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ICON plc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County Business Park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Leopardstown, Dublin 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Simon Hollywood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Simon.Hollywood@iconplc.com</w:t>
      </w:r>
    </w:p>
    <w:p>
      <w:pPr>
        <w:spacing w:after="0" w:line="205" w:lineRule="exact"/>
        <w:rPr>
          <w:sz w:val="20"/>
          <w:szCs w:val="20"/>
          <w:color w:val="auto"/>
        </w:rPr>
      </w:pPr>
    </w:p>
    <w:p>
      <w:pPr>
        <w:ind w:firstLine="656"/>
        <w:spacing w:after="0" w:line="284" w:lineRule="auto"/>
        <w:tabs>
          <w:tab w:leader="none" w:pos="9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jc w:val="both"/>
        <w:ind w:firstLine="656"/>
        <w:spacing w:after="0" w:line="253" w:lineRule="auto"/>
        <w:tabs>
          <w:tab w:leader="none" w:pos="9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and each of the Guarantors hereby submit to the exclusive jurisdiction of the U.S. federal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state courts in the Borough of Manhattan in The City of New York in any suit or proceeding arising out of or relating to this Agreement or the transactions contemplated hereby. The Company and each of the Guarantors waive any objection which it may now or hereafter have to the laying of venue of any such suit or proceeding in such courts. Each of the Company and each of the Guarantors agree that final judgment in any such suit, action or proceeding brought in such court shall be conclusive and binding upon the Company and each Guarantor, as applicable, and may be enforced in any court to the jurisdiction of which Company and each Guarantor, as applicable, is subject by a suit upon such judgment. The Company and each of the Guarantors that are incorporated or organized outside the United States (the “</w:t>
      </w:r>
      <w:r>
        <w:rPr>
          <w:rFonts w:ascii="Times New Roman" w:cs="Times New Roman" w:eastAsia="Times New Roman" w:hAnsi="Times New Roman"/>
          <w:sz w:val="18"/>
          <w:szCs w:val="18"/>
          <w:u w:val="single" w:color="auto"/>
          <w:color w:val="auto"/>
        </w:rPr>
        <w:t>Foreign Entities</w:t>
      </w:r>
      <w:r>
        <w:rPr>
          <w:rFonts w:ascii="Times New Roman" w:cs="Times New Roman" w:eastAsia="Times New Roman" w:hAnsi="Times New Roman"/>
          <w:sz w:val="18"/>
          <w:szCs w:val="18"/>
          <w:color w:val="auto"/>
        </w:rPr>
        <w:t>”) irrevocably appoint ICON US Holdings Inc. (731 Arbor Way, Suite 100, Blue Bell, PA 19422) upon which process may be served in any such suit or proceeding, and agree that service of process upon such authorized agent, and written notice of such service to the Foreign Entities, as the case may be, by the person serving the same to the address provided in this Section 16, shall be deemed in every respect effective service of process upon the Foreign Entities in any such suit or proceeding. The Foreign Entities hereby represent and warrant that such authorized agent has accepted such appointment and has agreed to act as such authorized agent for service of process. The Foreign Entities further agree to take any and all action as may be necessary to maintain such designation and appointment of such authorized agent in full force and effect for a period of seven years from the date of this Agreement.</w:t>
      </w:r>
    </w:p>
    <w:p>
      <w:pPr>
        <w:spacing w:after="0" w:line="187" w:lineRule="exact"/>
        <w:rPr>
          <w:rFonts w:ascii="Times New Roman" w:cs="Times New Roman" w:eastAsia="Times New Roman" w:hAnsi="Times New Roman"/>
          <w:sz w:val="18"/>
          <w:szCs w:val="18"/>
          <w:color w:val="auto"/>
        </w:rPr>
      </w:pPr>
    </w:p>
    <w:p>
      <w:pPr>
        <w:ind w:firstLine="656"/>
        <w:spacing w:after="0" w:line="284" w:lineRule="auto"/>
        <w:tabs>
          <w:tab w:leader="none" w:pos="9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563"/>
        <w:spacing w:after="0" w:line="261" w:lineRule="auto"/>
        <w:tabs>
          <w:tab w:leader="none" w:pos="144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left="660" w:firstLine="482"/>
        <w:spacing w:after="0" w:line="261" w:lineRule="auto"/>
        <w:tabs>
          <w:tab w:leader="none" w:pos="14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Section 16(f):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1880" w:hanging="252"/>
        <w:spacing w:after="0"/>
        <w:tabs>
          <w:tab w:leader="none" w:pos="1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560" w:hanging="256"/>
        <w:spacing w:after="0"/>
        <w:tabs>
          <w:tab w:leader="none" w:pos="15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right="20" w:firstLine="656"/>
        <w:spacing w:after="0" w:line="284" w:lineRule="auto"/>
        <w:tabs>
          <w:tab w:leader="none" w:pos="104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00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92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96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Judgment Currency. </w:t>
      </w:r>
      <w:r>
        <w:rPr>
          <w:rFonts w:ascii="Times New Roman" w:cs="Times New Roman" w:eastAsia="Times New Roman" w:hAnsi="Times New Roman"/>
          <w:sz w:val="18"/>
          <w:szCs w:val="18"/>
          <w:color w:val="auto"/>
        </w:rPr>
        <w:t>The Company and each of the Guarantors, jointly and severally, agree to indemnify each Underwriter,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affiliates and each 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“judgment currency”) other than U.S. dollars and as a result of any variation as between</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each Guarantor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656"/>
        <w:spacing w:after="0" w:line="257"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Immunity. </w:t>
      </w:r>
      <w:r>
        <w:rPr>
          <w:rFonts w:ascii="Times New Roman" w:cs="Times New Roman" w:eastAsia="Times New Roman" w:hAnsi="Times New Roman"/>
          <w:sz w:val="18"/>
          <w:szCs w:val="18"/>
          <w:color w:val="auto"/>
        </w:rPr>
        <w:t>To the extent that the Company or any Guarantor has or hereafter may acquire any immunity (sovereign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jurisdiction of any court of (i) Ireland, or any political subdivision thereof, (ii) Luxembourg, or any political subdivision thereof, (iii) the United States or the State of New York, (iv)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and each Guarantor hereby irrevocably waive such immunity in respect of its obligations under this Agreement to the fullest extent permitted by applicable law.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000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000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ACCELLACARE LIMITED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DOCS RESOURCING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GLOBAL TREASURY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RESEARCH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HOLDINGS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INTERNATIONAL UNLIMITED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RESEARCH PROPERTY DEVELOPMENT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(IRELAND)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OPERATIONAL HOLDINGS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OPERATIONAL FINANCING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INVESTMENTS FOUR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GLOBAL HOLDINGS UNLIMITED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0003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ind w:left="4500"/>
        <w:spacing w:after="0"/>
        <w:rPr>
          <w:sz w:val="20"/>
          <w:szCs w:val="20"/>
          <w:color w:val="auto"/>
        </w:rPr>
      </w:pPr>
      <w:r>
        <w:rPr>
          <w:rFonts w:ascii="Times New Roman" w:cs="Times New Roman" w:eastAsia="Times New Roman" w:hAnsi="Times New Roman"/>
          <w:sz w:val="18"/>
          <w:szCs w:val="18"/>
          <w:b w:val="1"/>
          <w:bCs w:val="1"/>
          <w:color w:val="auto"/>
        </w:rPr>
        <w:t>PRA HEALTH SCIENCES,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US HOLDINGS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BEACON BIOSCIENCE,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CLINICAL RESEARCH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LABORATORY SERVICES,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PRICESPECTIVE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EARLY PHASE SERVICES,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MOLECULARMD CORP.</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DOCS GLOBAL,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ACCELLACARE US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CLINICAL RESOURCE NETWORK,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CRN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RESEARCH PHARMACEUTICAL SERVICES,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SOURCE HEALTHCARE ANALYTICS,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SYMPHONY HEALTH SOLUTIONS CORPORATION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PHARMACEUTICAL RESEARCH ASSOCIATES, INC.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PRA HOLDINGS,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PRA INTERNATIONAL,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RPS GLOBAL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RPS PARENT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ROY RPS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CLINICAL INVESTMENTS, LLC</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000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LUXEMBOURG S.À R.L.</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Emer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000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Emer Lyons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9"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Patrice Altongy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9"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9"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Tammy Serbee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9"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Zobkiw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9"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Schedule 1</w:t>
            </w: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1"/>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Underwriter</w:t>
            </w:r>
          </w:p>
        </w:tc>
        <w:tc>
          <w:tcPr>
            <w:tcW w:w="404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rPr>
              <w:t>Principal Amount</w:t>
            </w: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3"/>
        </w:trPr>
        <w:tc>
          <w:tcPr>
            <w:tcW w:w="880" w:type="dxa"/>
            <w:vAlign w:val="bottom"/>
            <w:tcBorders>
              <w:top w:val="single" w:sz="8" w:color="auto"/>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256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2027 Notes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2029 Notes</w:t>
            </w:r>
          </w:p>
        </w:tc>
        <w:tc>
          <w:tcPr>
            <w:tcW w:w="1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2034 Notes</w:t>
            </w:r>
          </w:p>
        </w:tc>
      </w:tr>
      <w:tr>
        <w:trPr>
          <w:trHeight w:val="210"/>
        </w:trPr>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560" w:type="dxa"/>
            <w:vAlign w:val="bottom"/>
            <w:shd w:val="clear" w:color="auto" w:fill="CCEEFF"/>
          </w:tcPr>
          <w:p>
            <w:pPr>
              <w:spacing w:after="0"/>
              <w:rPr>
                <w:sz w:val="18"/>
                <w:szCs w:val="18"/>
                <w:color w:val="auto"/>
              </w:rPr>
            </w:pPr>
          </w:p>
        </w:tc>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$ 150,000,000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$ 150,000,000</w:t>
            </w:r>
          </w:p>
        </w:tc>
        <w:tc>
          <w:tcPr>
            <w:tcW w:w="1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$ 100,000,000</w:t>
            </w:r>
          </w:p>
        </w:tc>
      </w:tr>
      <w:tr>
        <w:trPr>
          <w:trHeight w:val="216"/>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HSBC Securities (USA) Inc.</w:t>
            </w:r>
          </w:p>
        </w:tc>
        <w:tc>
          <w:tcPr>
            <w:tcW w:w="386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$ 150,000,000</w:t>
            </w:r>
          </w:p>
        </w:tc>
        <w:tc>
          <w:tcPr>
            <w:tcW w:w="18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$ 150,000,000</w:t>
            </w:r>
          </w:p>
        </w:tc>
        <w:tc>
          <w:tcPr>
            <w:tcW w:w="1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$ 100,000,000</w:t>
            </w:r>
          </w:p>
        </w:tc>
      </w:tr>
      <w:tr>
        <w:trPr>
          <w:trHeight w:val="216"/>
        </w:trPr>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J.P. Morgan Securities LLC</w:t>
            </w:r>
          </w:p>
        </w:tc>
        <w:tc>
          <w:tcPr>
            <w:tcW w:w="386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$ 150,000,000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$ 150,000,000</w:t>
            </w:r>
          </w:p>
        </w:tc>
        <w:tc>
          <w:tcPr>
            <w:tcW w:w="1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$ 100,000,000</w:t>
            </w:r>
          </w:p>
        </w:tc>
      </w:tr>
      <w:tr>
        <w:trPr>
          <w:trHeight w:val="216"/>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86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$ 150,000,000</w:t>
            </w:r>
          </w:p>
        </w:tc>
        <w:tc>
          <w:tcPr>
            <w:tcW w:w="18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$ 150,000,000</w:t>
            </w:r>
          </w:p>
        </w:tc>
        <w:tc>
          <w:tcPr>
            <w:tcW w:w="1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$ 100,000,000</w:t>
            </w:r>
          </w:p>
        </w:tc>
      </w:tr>
      <w:tr>
        <w:trPr>
          <w:trHeight w:val="216"/>
        </w:trPr>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86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$ 150,000,000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$ 150,000,000</w:t>
            </w:r>
          </w:p>
        </w:tc>
        <w:tc>
          <w:tcPr>
            <w:tcW w:w="1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$ 100,000,000</w:t>
            </w:r>
          </w:p>
        </w:tc>
      </w:tr>
      <w:tr>
        <w:trPr>
          <w:trHeight w:val="228"/>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Pr>
          <w:p>
            <w:pPr>
              <w:spacing w:after="0"/>
              <w:rPr>
                <w:sz w:val="19"/>
                <w:szCs w:val="19"/>
                <w:color w:val="auto"/>
              </w:rPr>
            </w:pPr>
          </w:p>
        </w:tc>
        <w:tc>
          <w:tcPr>
            <w:tcW w:w="1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$ 750,000,000</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$ 750,000,000</w:t>
            </w:r>
          </w:p>
        </w:tc>
        <w:tc>
          <w:tcPr>
            <w:tcW w:w="17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$ 500,000,000</w:t>
            </w:r>
          </w:p>
        </w:tc>
      </w:tr>
      <w:tr>
        <w:trPr>
          <w:trHeight w:val="164"/>
        </w:trPr>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780" w:type="dxa"/>
            <w:vAlign w:val="bottom"/>
          </w:tcPr>
          <w:p>
            <w:pPr>
              <w:ind w:left="5220"/>
              <w:spacing w:after="0"/>
              <w:rPr>
                <w:sz w:val="20"/>
                <w:szCs w:val="20"/>
                <w:color w:val="auto"/>
              </w:rPr>
            </w:pPr>
            <w:r>
              <w:rPr>
                <w:rFonts w:ascii="Times New Roman" w:cs="Times New Roman" w:eastAsia="Times New Roman" w:hAnsi="Times New Roman"/>
                <w:sz w:val="18"/>
                <w:szCs w:val="18"/>
                <w:color w:val="auto"/>
              </w:rPr>
              <w:t>Schedule 2</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80" w:type="dxa"/>
            <w:vAlign w:val="bottom"/>
          </w:tcPr>
          <w:p>
            <w:pPr>
              <w:ind w:left="4800"/>
              <w:spacing w:after="0"/>
              <w:rPr>
                <w:sz w:val="20"/>
                <w:szCs w:val="20"/>
                <w:color w:val="auto"/>
              </w:rPr>
            </w:pPr>
            <w:r>
              <w:rPr>
                <w:rFonts w:ascii="Times New Roman" w:cs="Times New Roman" w:eastAsia="Times New Roman" w:hAnsi="Times New Roman"/>
                <w:sz w:val="18"/>
                <w:szCs w:val="18"/>
                <w:i w:val="1"/>
                <w:iCs w:val="1"/>
                <w:color w:val="auto"/>
              </w:rPr>
              <w:t>Subsidiary Guarantors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4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78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46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780" w:type="dxa"/>
            <w:vAlign w:val="bottom"/>
            <w:tcBorders>
              <w:left w:val="single" w:sz="8" w:color="auto"/>
              <w:right w:val="single" w:sz="8" w:color="auto"/>
            </w:tcBorders>
            <w:shd w:val="clear" w:color="auto" w:fill="D9D9D9"/>
          </w:tcPr>
          <w:p>
            <w:pPr>
              <w:spacing w:after="0"/>
              <w:rPr>
                <w:sz w:val="9"/>
                <w:szCs w:val="9"/>
                <w:color w:val="auto"/>
              </w:rPr>
            </w:pPr>
          </w:p>
        </w:tc>
        <w:tc>
          <w:tcPr>
            <w:tcW w:w="246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780" w:type="dxa"/>
            <w:vAlign w:val="bottom"/>
            <w:tcBorders>
              <w:left w:val="single" w:sz="8" w:color="auto"/>
              <w:right w:val="single" w:sz="8" w:color="auto"/>
            </w:tcBorders>
            <w:shd w:val="clear" w:color="auto" w:fill="D9D9D9"/>
          </w:tcPr>
          <w:p>
            <w:pPr>
              <w:spacing w:after="0"/>
              <w:rPr>
                <w:sz w:val="11"/>
                <w:szCs w:val="11"/>
                <w:color w:val="auto"/>
              </w:rPr>
            </w:pPr>
          </w:p>
        </w:tc>
        <w:tc>
          <w:tcPr>
            <w:tcW w:w="246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Global Treasury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Resourcing Limited</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Limited</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Investments Four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Luxembourg S.à r.l.</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 Texas</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Beacon Bioscience, Inc.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MolecularMD Corp.</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US Holdings Inc.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PriceSpective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Global, Inc.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New Jersey</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US Inc.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North Carolina</w:t>
            </w:r>
          </w:p>
        </w:tc>
        <w:tc>
          <w:tcPr>
            <w:tcW w:w="0" w:type="dxa"/>
            <w:vAlign w:val="bottom"/>
          </w:tcPr>
          <w:p>
            <w:pPr>
              <w:spacing w:after="0"/>
              <w:rPr>
                <w:sz w:val="1"/>
                <w:szCs w:val="1"/>
                <w:color w:val="auto"/>
              </w:rPr>
            </w:pPr>
          </w:p>
        </w:tc>
      </w:tr>
      <w:tr>
        <w:trPr>
          <w:trHeight w:val="228"/>
        </w:trPr>
        <w:tc>
          <w:tcPr>
            <w:tcW w:w="8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Illinois</w:t>
            </w:r>
          </w:p>
        </w:tc>
        <w:tc>
          <w:tcPr>
            <w:tcW w:w="0" w:type="dxa"/>
            <w:vAlign w:val="bottom"/>
          </w:tcPr>
          <w:p>
            <w:pPr>
              <w:spacing w:after="0"/>
              <w:rPr>
                <w:sz w:val="1"/>
                <w:szCs w:val="1"/>
                <w:color w:val="auto"/>
              </w:rPr>
            </w:pPr>
          </w:p>
        </w:tc>
      </w:tr>
      <w:tr>
        <w:trPr>
          <w:trHeight w:val="117"/>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78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46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78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46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780" w:type="dxa"/>
            <w:vAlign w:val="bottom"/>
            <w:tcBorders>
              <w:left w:val="single" w:sz="8" w:color="auto"/>
              <w:right w:val="single" w:sz="8" w:color="auto"/>
            </w:tcBorders>
            <w:shd w:val="clear" w:color="auto" w:fill="D9D9D9"/>
          </w:tcPr>
          <w:p>
            <w:pPr>
              <w:spacing w:after="0"/>
              <w:rPr>
                <w:sz w:val="9"/>
                <w:szCs w:val="9"/>
                <w:color w:val="auto"/>
              </w:rPr>
            </w:pPr>
          </w:p>
        </w:tc>
        <w:tc>
          <w:tcPr>
            <w:tcW w:w="246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780" w:type="dxa"/>
            <w:vAlign w:val="bottom"/>
            <w:tcBorders>
              <w:left w:val="single" w:sz="8" w:color="auto"/>
              <w:right w:val="single" w:sz="8" w:color="auto"/>
            </w:tcBorders>
            <w:shd w:val="clear" w:color="auto" w:fill="D9D9D9"/>
          </w:tcPr>
          <w:p>
            <w:pPr>
              <w:spacing w:after="0"/>
              <w:rPr>
                <w:sz w:val="11"/>
                <w:szCs w:val="11"/>
                <w:color w:val="auto"/>
              </w:rPr>
            </w:pPr>
          </w:p>
        </w:tc>
        <w:tc>
          <w:tcPr>
            <w:tcW w:w="246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7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CRN Holdings, LLC</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54"/>
        </w:trPr>
        <w:tc>
          <w:tcPr>
            <w:tcW w:w="8780" w:type="dxa"/>
            <w:vAlign w:val="bottom"/>
            <w:tcBorders>
              <w:left w:val="single" w:sz="8" w:color="auto"/>
              <w:right w:val="single" w:sz="8" w:color="auto"/>
            </w:tcBorders>
            <w:vMerge w:val="continue"/>
          </w:tcPr>
          <w:p>
            <w:pPr>
              <w:spacing w:after="0"/>
              <w:rPr>
                <w:sz w:val="4"/>
                <w:szCs w:val="4"/>
                <w:color w:val="auto"/>
              </w:rPr>
            </w:pPr>
          </w:p>
        </w:tc>
        <w:tc>
          <w:tcPr>
            <w:tcW w:w="24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878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Inc.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Virginia</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Holdings, Inc.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International,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10"/>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Roy RPS Holdings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Global Holdings,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209"/>
        </w:trPr>
        <w:tc>
          <w:tcPr>
            <w:tcW w:w="8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Parent Holding LLC</w:t>
            </w:r>
          </w:p>
        </w:tc>
        <w:tc>
          <w:tcPr>
            <w:tcW w:w="2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 Delaware</w:t>
            </w:r>
          </w:p>
        </w:tc>
        <w:tc>
          <w:tcPr>
            <w:tcW w:w="0" w:type="dxa"/>
            <w:vAlign w:val="bottom"/>
          </w:tcPr>
          <w:p>
            <w:pPr>
              <w:spacing w:after="0"/>
              <w:rPr>
                <w:sz w:val="1"/>
                <w:szCs w:val="1"/>
                <w:color w:val="auto"/>
              </w:rPr>
            </w:pPr>
          </w:p>
        </w:tc>
      </w:tr>
      <w:tr>
        <w:trPr>
          <w:trHeight w:val="176"/>
        </w:trPr>
        <w:tc>
          <w:tcPr>
            <w:tcW w:w="87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Schedule 3</w:t>
            </w: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4"/>
                <w:szCs w:val="24"/>
                <w:color w:val="auto"/>
              </w:rPr>
            </w:pPr>
          </w:p>
        </w:tc>
        <w:tc>
          <w:tcPr>
            <w:tcW w:w="7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Significant Subsidiaries of Parent</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20" w:type="dxa"/>
            <w:vAlign w:val="bottom"/>
            <w:tcBorders>
              <w:top w:val="single" w:sz="8" w:color="auto"/>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4000" w:type="dxa"/>
            <w:vAlign w:val="bottom"/>
            <w:tcBorders>
              <w:lef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0" w:type="dxa"/>
            <w:vAlign w:val="bottom"/>
            <w:shd w:val="clear" w:color="auto" w:fill="D9D9D9"/>
          </w:tcPr>
          <w:p>
            <w:pPr>
              <w:spacing w:after="0"/>
              <w:rPr>
                <w:sz w:val="24"/>
                <w:szCs w:val="24"/>
                <w:color w:val="auto"/>
              </w:rPr>
            </w:pPr>
          </w:p>
        </w:tc>
        <w:tc>
          <w:tcPr>
            <w:tcW w:w="2420" w:type="dxa"/>
            <w:vAlign w:val="bottom"/>
            <w:shd w:val="clear" w:color="auto" w:fill="D9D9D9"/>
          </w:tcPr>
          <w:p>
            <w:pPr>
              <w:spacing w:after="0"/>
              <w:rPr>
                <w:sz w:val="24"/>
                <w:szCs w:val="24"/>
                <w:color w:val="auto"/>
              </w:rPr>
            </w:pPr>
          </w:p>
        </w:tc>
        <w:tc>
          <w:tcPr>
            <w:tcW w:w="1900" w:type="dxa"/>
            <w:vAlign w:val="bottom"/>
            <w:tcBorders>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4000" w:type="dxa"/>
            <w:vAlign w:val="bottom"/>
            <w:tcBorders>
              <w:left w:val="single" w:sz="8" w:color="auto"/>
            </w:tcBorders>
            <w:vMerge w:val="continue"/>
            <w:shd w:val="clear" w:color="auto" w:fill="D9D9D9"/>
          </w:tcPr>
          <w:p>
            <w:pPr>
              <w:spacing w:after="0"/>
              <w:rPr>
                <w:sz w:val="11"/>
                <w:szCs w:val="11"/>
                <w:color w:val="auto"/>
              </w:rPr>
            </w:pPr>
          </w:p>
        </w:tc>
        <w:tc>
          <w:tcPr>
            <w:tcW w:w="20" w:type="dxa"/>
            <w:vAlign w:val="bottom"/>
            <w:shd w:val="clear" w:color="auto" w:fill="D9D9D9"/>
          </w:tcPr>
          <w:p>
            <w:pPr>
              <w:spacing w:after="0"/>
              <w:rPr>
                <w:sz w:val="11"/>
                <w:szCs w:val="11"/>
                <w:color w:val="auto"/>
              </w:rPr>
            </w:pPr>
          </w:p>
        </w:tc>
        <w:tc>
          <w:tcPr>
            <w:tcW w:w="2420" w:type="dxa"/>
            <w:vAlign w:val="bottom"/>
            <w:shd w:val="clear" w:color="auto" w:fill="D9D9D9"/>
          </w:tcPr>
          <w:p>
            <w:pPr>
              <w:spacing w:after="0"/>
              <w:rPr>
                <w:sz w:val="11"/>
                <w:szCs w:val="11"/>
                <w:color w:val="auto"/>
              </w:rPr>
            </w:pPr>
          </w:p>
        </w:tc>
        <w:tc>
          <w:tcPr>
            <w:tcW w:w="1900" w:type="dxa"/>
            <w:vAlign w:val="bottom"/>
            <w:tcBorders>
              <w:right w:val="single" w:sz="8" w:color="auto"/>
            </w:tcBorders>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4000" w:type="dxa"/>
            <w:vAlign w:val="bottom"/>
            <w:tcBorders>
              <w:left w:val="single" w:sz="8" w:color="auto"/>
            </w:tcBorders>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2420" w:type="dxa"/>
            <w:vAlign w:val="bottom"/>
            <w:shd w:val="clear" w:color="auto" w:fill="D9D9D9"/>
          </w:tcPr>
          <w:p>
            <w:pPr>
              <w:spacing w:after="0"/>
              <w:rPr>
                <w:sz w:val="9"/>
                <w:szCs w:val="9"/>
                <w:color w:val="auto"/>
              </w:rPr>
            </w:pPr>
          </w:p>
        </w:tc>
        <w:tc>
          <w:tcPr>
            <w:tcW w:w="1900" w:type="dxa"/>
            <w:vAlign w:val="bottom"/>
            <w:tcBorders>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00" w:type="dxa"/>
            <w:vAlign w:val="bottom"/>
            <w:tcBorders>
              <w:left w:val="single" w:sz="8" w:color="auto"/>
              <w:bottom w:val="single" w:sz="8" w:color="auto"/>
            </w:tcBorders>
            <w:shd w:val="clear" w:color="auto" w:fill="D9D9D9"/>
          </w:tcPr>
          <w:p>
            <w:pPr>
              <w:spacing w:after="0"/>
              <w:rPr>
                <w:sz w:val="11"/>
                <w:szCs w:val="11"/>
                <w:color w:val="auto"/>
              </w:rPr>
            </w:pPr>
          </w:p>
        </w:tc>
        <w:tc>
          <w:tcPr>
            <w:tcW w:w="20" w:type="dxa"/>
            <w:vAlign w:val="bottom"/>
            <w:tcBorders>
              <w:bottom w:val="single" w:sz="8" w:color="auto"/>
            </w:tcBorders>
            <w:shd w:val="clear" w:color="auto" w:fill="D9D9D9"/>
          </w:tcPr>
          <w:p>
            <w:pPr>
              <w:spacing w:after="0"/>
              <w:rPr>
                <w:sz w:val="11"/>
                <w:szCs w:val="11"/>
                <w:color w:val="auto"/>
              </w:rPr>
            </w:pPr>
          </w:p>
        </w:tc>
        <w:tc>
          <w:tcPr>
            <w:tcW w:w="2420" w:type="dxa"/>
            <w:vAlign w:val="bottom"/>
            <w:tcBorders>
              <w:bottom w:val="single" w:sz="8" w:color="auto"/>
            </w:tcBorders>
            <w:shd w:val="clear" w:color="auto" w:fill="D9D9D9"/>
          </w:tcPr>
          <w:p>
            <w:pPr>
              <w:spacing w:after="0"/>
              <w:rPr>
                <w:sz w:val="11"/>
                <w:szCs w:val="11"/>
                <w:color w:val="auto"/>
              </w:rPr>
            </w:pPr>
          </w:p>
        </w:tc>
        <w:tc>
          <w:tcPr>
            <w:tcW w:w="1900" w:type="dxa"/>
            <w:vAlign w:val="bottom"/>
            <w:tcBorders>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S.A.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Pty Limited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PTY Limited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Medpass International Pty Ltd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Austria GmbH</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Austria GmbH</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IMP-Logistics Bel, FLLC</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Belarus</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Belgium B.V.</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Belgium N.V.</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Bermuda, Ltd.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Pesquisas Clínicas LTDA.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Ltda.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do Brasil Serviços de Pesquisas LTDA.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China Inc.</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British Virgin Islands</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Bulgaria EOOD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Bulgaria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EOOD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Bulgaria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Services de Recherche Pharmaceutique Srl</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3065613 Nova Scotia Company</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(Canada) Inc.</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ULC</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Oxford Outcomes LTD.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Life Sciences Canada Inc.</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 Ontario</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Chile Limitada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Chile SpA</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China, Inc.</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(Beijing No.2) Co., Ltd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(Beijing) Co., Ltd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17"/>
        </w:trPr>
        <w:tc>
          <w:tcPr>
            <w:tcW w:w="4000" w:type="dxa"/>
            <w:vAlign w:val="bottom"/>
            <w:tcBorders>
              <w:left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4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Colombia Ltda.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Costa Rica, LTDA.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Costa Rica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Research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Croatia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 Research Associates d.o.o. za klinicka ispitivanja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Croatia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Czech Republic s.r.o.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Czech Republic</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s.r.o.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Czech Republic</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Denmark ApS</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Nordic Countries A/S</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Egypt Limited Liability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Estonia OÜ</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Estonia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Finland Oy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Finland Oy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France S.A.S.</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S.A.R.L.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Mapi Research Trust</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France SAS</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 Logistics Georgia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Georgia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Germany GmbH</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(Germany) GmbH</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Averion Europe GmbH i.L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Greece A.E.</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Greece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Guatemala, S.A.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Guatemala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(Hong Kong)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Hong Kong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Hungary Research and Development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Limited Liability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Iceland ehf.</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Iceland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India Private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India Private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Investments Five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Investments Four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Resourcing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(LR)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Property Holdings (Ireland)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(Outsourcing Ireland)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Holdings (Ireland)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Global Treasury Unlimited Company</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Clinical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Israel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Israel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Italy S.r.l.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Italy S.r.l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GK</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Investments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Jersey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Kenya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Kenya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Latvia SIA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Latvia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UAB RPS Lithuania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Lithuania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Luxembourg S.à r.l.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Malaysia Sdn. Bhd.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CRO Malaysia SDN. BHD.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Mexico, S. de R.L. de C.V.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Servicios, S. de R.L. de C.V.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Mexico, S.A. de C.V.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Mexico S. de R.L. de C. 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B.V.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Netherlands B.V.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Group B.V.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International Operations B.V.</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New Zealand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(New Zealand)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Norway AS</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Panama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Panama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Perú S.A.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Perú S.A.C.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Philippines,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Services Philippines,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Sp. z o.o.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Symphony Clinical Research Sp z.o.o.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Poland Sp z o.o.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International Portugal, Unipessoal, Lda.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Portugal</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Puerto Rico,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Puerto Rico</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Romania S.R.L.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Romania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S.R.L.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Romania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Joint Stock Company IMP Logistics</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(Rus)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d.o.o. Beograd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Serbia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doo Belgrade</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Serbia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Singapore Pte.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(Pte)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Mapi Life Sciences Singapore Pte.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SK s.r.o.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Slovakia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Slovakia, s.r.o.</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Slovakia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Pharmaceutical S A (Proprietary)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South Africa (Proprietary)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South Africa (PTY)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Mapi Korea Yuhan Hoesa/ Mapi Korea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Korea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Korea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Korea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Korea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Korea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Ibérica, S.L.U.</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(Spain), S.L.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Spain S.L.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España, S.L.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España, S.A.U.</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España S.L.</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International Sweden AB</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Sweden AB</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Switzerland GmbH</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(Switzerland) GmbH</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Switzerland AG</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Taiwan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Taiwan,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(Thailand)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Research (Thailand) Co.,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Ankara Klinik Arastirma Dis Ticaret Anonim Sirketi</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Turkey Sağlik Araştirma Ve Geliştirme Limited Şirketi</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Ukraine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IMP-Logistics Ukraine,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Ukraine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Ukraine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Ukraine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Ukraine,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Ukraine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(U.K.) No. 4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(U.K.) No. 5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Holdings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MeDiNova Lakeside Clinical Research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MeDiNova Merc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VSK (Kenilworth)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Improving Treatments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Aptiv Solutions (UK)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International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(LR)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(U.K.) No. 2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(U.K.) No. 3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Development Solutions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Investments (UK) Ltd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 Logistics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Medeval Group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 Research Associates (UK)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Sterling Synergy Systems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(U.K.) No. 6 Limited</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Global S.A.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Latin America S.A</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VirtualScopics,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BioTel Research,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Humanfirst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Texas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Virginia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ClinStar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California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Nextrials,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California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CIS,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California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 Research Associates Eastern Europe,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California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Addplan,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Beacon Bioscience,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C4 MedSolutions,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Care Innovations,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Care Innovations,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CHC Group,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CRI NewCo,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CRI Worldwide,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CRN Holdings,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CRN NORTH AMERICA,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Global Pharmaceutical Strategies Group,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Tennessee,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US Holdings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MMMM Consulting,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MMMM Group,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MolecularMD Corp.</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Parallel 6,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Early Development Research,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Health Sciences,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Holdings,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Receivables,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PriceSpective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PubsHub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Clinical Research, LP</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International Medical Technical Consultants,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Oncacare,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PRA International,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 Pharmaceutical Services,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Roy RPS Holdings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Global Holdings,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RPS Parent Holding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Sunset Hills,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Delaware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8340" w:type="dxa"/>
            <w:vAlign w:val="bottom"/>
            <w:tcBorders>
              <w:top w:val="single" w:sz="8" w:color="auto"/>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9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30"/>
        </w:trPr>
        <w:tc>
          <w:tcPr>
            <w:tcW w:w="8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0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108"/>
        </w:trPr>
        <w:tc>
          <w:tcPr>
            <w:tcW w:w="8340" w:type="dxa"/>
            <w:vAlign w:val="bottom"/>
            <w:tcBorders>
              <w:left w:val="single" w:sz="8" w:color="auto"/>
              <w:right w:val="single" w:sz="8" w:color="auto"/>
            </w:tcBorders>
            <w:shd w:val="clear" w:color="auto" w:fill="D9D9D9"/>
          </w:tcPr>
          <w:p>
            <w:pPr>
              <w:spacing w:after="0"/>
              <w:rPr>
                <w:sz w:val="9"/>
                <w:szCs w:val="9"/>
                <w:color w:val="auto"/>
              </w:rPr>
            </w:pPr>
          </w:p>
        </w:tc>
        <w:tc>
          <w:tcPr>
            <w:tcW w:w="29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3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0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Illinois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Christie Clinic,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Illinois</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CRI International,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New Jersey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DOCS Global,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New Jersey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Managed Care Strategic Solutions,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New Jersey</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US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Charlotte,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Hickory,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Raleigh,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Rocky Mount,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Salisbury,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Wilmington,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Winston-Salem,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North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Complete Healthcare Communications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Pennsylvania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Complete Publication Solutions,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Pennsylvania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Charleston,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South Carolina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Accellacare of Bristol, LLC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Tennessee</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Lifetree Clinical Research, LC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Utah</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83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ICON Government and Public Health Solutions, Inc.</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 Virginia</w:t>
            </w:r>
          </w:p>
        </w:tc>
        <w:tc>
          <w:tcPr>
            <w:tcW w:w="0" w:type="dxa"/>
            <w:vAlign w:val="bottom"/>
          </w:tcPr>
          <w:p>
            <w:pPr>
              <w:spacing w:after="0"/>
              <w:rPr>
                <w:sz w:val="1"/>
                <w:szCs w:val="1"/>
                <w:color w:val="auto"/>
              </w:rPr>
            </w:pPr>
          </w:p>
        </w:tc>
      </w:tr>
      <w:tr>
        <w:trPr>
          <w:trHeight w:val="117"/>
        </w:trPr>
        <w:tc>
          <w:tcPr>
            <w:tcW w:w="8340" w:type="dxa"/>
            <w:vAlign w:val="bottom"/>
            <w:tcBorders>
              <w:left w:val="single" w:sz="8" w:color="auto"/>
              <w:bottom w:val="single" w:sz="8" w:color="auto"/>
              <w:right w:val="single" w:sz="8" w:color="auto"/>
            </w:tcBorders>
          </w:tcPr>
          <w:p>
            <w:pPr>
              <w:spacing w:after="0"/>
              <w:rPr>
                <w:sz w:val="10"/>
                <w:szCs w:val="10"/>
                <w:color w:val="auto"/>
              </w:rPr>
            </w:pPr>
          </w:p>
        </w:tc>
        <w:tc>
          <w:tcPr>
            <w:tcW w:w="2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3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50" w:name="page51"/>
    <w:bookmarkEnd w:id="50"/>
    <w:p>
      <w:pPr>
        <w:jc w:val="center"/>
        <w:ind w:right="-788"/>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229" w:lineRule="exact"/>
        <w:rPr>
          <w:sz w:val="20"/>
          <w:szCs w:val="20"/>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April 30, 2024, substantially in the form of 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121"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Pricing Term Sheet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403225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Issuer Free Writing Prospectus, dated April 30,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Filed Pursuant to Rule 433 under the Securities Act of 1933,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Supplementing the Preliminary Prospectus Supplement, dated April 26,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No. 333-278943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156845</wp:posOffset>
            </wp:positionV>
            <wp:extent cx="1577340" cy="420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8940" w:type="dxa"/>
            <w:vAlign w:val="bottom"/>
            <w:gridSpan w:val="8"/>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2300" w:type="dxa"/>
            <w:vAlign w:val="bottom"/>
          </w:tcPr>
          <w:p>
            <w:pPr>
              <w:spacing w:after="0"/>
              <w:rPr>
                <w:sz w:val="24"/>
                <w:szCs w:val="24"/>
                <w:color w:val="auto"/>
              </w:rPr>
            </w:pPr>
          </w:p>
        </w:tc>
        <w:tc>
          <w:tcPr>
            <w:tcW w:w="51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$2,000,000,000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2300" w:type="dxa"/>
            <w:vAlign w:val="bottom"/>
          </w:tcPr>
          <w:p>
            <w:pPr>
              <w:spacing w:after="0"/>
              <w:rPr>
                <w:sz w:val="17"/>
                <w:szCs w:val="17"/>
                <w:color w:val="auto"/>
              </w:rPr>
            </w:pPr>
          </w:p>
        </w:tc>
        <w:tc>
          <w:tcPr>
            <w:tcW w:w="8940" w:type="dxa"/>
            <w:vAlign w:val="bottom"/>
            <w:gridSpan w:val="8"/>
          </w:tcPr>
          <w:p>
            <w:pPr>
              <w:jc w:val="center"/>
              <w:ind w:right="2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$750,000,000 5.809% Senior Secured Notes due 2027 (the “2027 Notes”)</w:t>
            </w:r>
          </w:p>
        </w:tc>
      </w:tr>
      <w:tr>
        <w:trPr>
          <w:trHeight w:val="20"/>
        </w:trPr>
        <w:tc>
          <w:tcPr>
            <w:tcW w:w="2300" w:type="dxa"/>
            <w:vAlign w:val="bottom"/>
          </w:tcPr>
          <w:p>
            <w:pPr>
              <w:spacing w:after="0" w:line="20" w:lineRule="exact"/>
              <w:rPr>
                <w:sz w:val="1"/>
                <w:szCs w:val="1"/>
                <w:color w:val="auto"/>
              </w:rPr>
            </w:pPr>
          </w:p>
        </w:tc>
        <w:tc>
          <w:tcPr>
            <w:tcW w:w="5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8940" w:type="dxa"/>
            <w:vAlign w:val="bottom"/>
            <w:gridSpan w:val="8"/>
          </w:tcPr>
          <w:p>
            <w:pPr>
              <w:jc w:val="center"/>
              <w:ind w:right="2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$750,000,000 5.849% Senior Secured Notes due 2029 (the “2029 Notes”)</w:t>
            </w:r>
          </w:p>
        </w:tc>
      </w:tr>
      <w:tr>
        <w:trPr>
          <w:trHeight w:val="20"/>
        </w:trPr>
        <w:tc>
          <w:tcPr>
            <w:tcW w:w="2300" w:type="dxa"/>
            <w:vAlign w:val="bottom"/>
          </w:tcPr>
          <w:p>
            <w:pPr>
              <w:spacing w:after="0" w:line="20" w:lineRule="exact"/>
              <w:rPr>
                <w:sz w:val="1"/>
                <w:szCs w:val="1"/>
                <w:color w:val="auto"/>
              </w:rPr>
            </w:pPr>
          </w:p>
        </w:tc>
        <w:tc>
          <w:tcPr>
            <w:tcW w:w="5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8940" w:type="dxa"/>
            <w:vAlign w:val="bottom"/>
            <w:gridSpan w:val="8"/>
          </w:tcPr>
          <w:p>
            <w:pPr>
              <w:jc w:val="center"/>
              <w:ind w:right="2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$500,000,000 6.000% Senior Secured Notes due 2034 (the “2034 Notes”</w:t>
            </w:r>
          </w:p>
        </w:tc>
      </w:tr>
      <w:tr>
        <w:trPr>
          <w:trHeight w:val="20"/>
        </w:trPr>
        <w:tc>
          <w:tcPr>
            <w:tcW w:w="2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300" w:type="dxa"/>
            <w:vAlign w:val="bottom"/>
          </w:tcPr>
          <w:p>
            <w:pPr>
              <w:spacing w:after="0"/>
              <w:rPr>
                <w:sz w:val="17"/>
                <w:szCs w:val="17"/>
                <w:color w:val="auto"/>
              </w:rPr>
            </w:pPr>
          </w:p>
        </w:tc>
        <w:tc>
          <w:tcPr>
            <w:tcW w:w="8940" w:type="dxa"/>
            <w:vAlign w:val="bottom"/>
            <w:gridSpan w:val="8"/>
          </w:tcPr>
          <w:p>
            <w:pPr>
              <w:jc w:val="center"/>
              <w:ind w:right="2300"/>
              <w:spacing w:after="0" w:line="196" w:lineRule="exact"/>
              <w:rPr>
                <w:sz w:val="20"/>
                <w:szCs w:val="20"/>
                <w:color w:val="auto"/>
              </w:rPr>
            </w:pPr>
            <w:r>
              <w:rPr>
                <w:rFonts w:ascii="Times New Roman" w:cs="Times New Roman" w:eastAsia="Times New Roman" w:hAnsi="Times New Roman"/>
                <w:sz w:val="18"/>
                <w:szCs w:val="18"/>
                <w:b w:val="1"/>
                <w:bCs w:val="1"/>
                <w:color w:val="auto"/>
              </w:rPr>
              <w:t>and, together with the 2027 Notes and the 2029 Notes, the “Notes”)</w:t>
            </w:r>
          </w:p>
        </w:tc>
      </w:tr>
      <w:tr>
        <w:trPr>
          <w:trHeight w:val="453"/>
        </w:trPr>
        <w:tc>
          <w:tcPr>
            <w:tcW w:w="2300" w:type="dxa"/>
            <w:vAlign w:val="bottom"/>
          </w:tcPr>
          <w:p>
            <w:pPr>
              <w:spacing w:after="0"/>
              <w:rPr>
                <w:sz w:val="24"/>
                <w:szCs w:val="24"/>
                <w:color w:val="auto"/>
              </w:rPr>
            </w:pPr>
          </w:p>
        </w:tc>
        <w:tc>
          <w:tcPr>
            <w:tcW w:w="530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440" w:type="dxa"/>
            <w:vAlign w:val="bottom"/>
            <w:tcBorders>
              <w:top w:val="single" w:sz="8" w:color="auto"/>
            </w:tcBorders>
          </w:tcPr>
          <w:p>
            <w:pPr>
              <w:spacing w:after="0"/>
              <w:rPr>
                <w:sz w:val="24"/>
                <w:szCs w:val="24"/>
                <w:color w:val="auto"/>
              </w:rPr>
            </w:pPr>
          </w:p>
        </w:tc>
        <w:tc>
          <w:tcPr>
            <w:tcW w:w="3200" w:type="dxa"/>
            <w:vAlign w:val="bottom"/>
            <w:gridSpan w:val="5"/>
          </w:tcPr>
          <w:p>
            <w:pPr>
              <w:spacing w:after="0"/>
              <w:rPr>
                <w:sz w:val="24"/>
                <w:szCs w:val="24"/>
                <w:color w:val="auto"/>
              </w:rPr>
            </w:pPr>
          </w:p>
        </w:tc>
      </w:tr>
      <w:tr>
        <w:trPr>
          <w:trHeight w:val="310"/>
        </w:trPr>
        <w:tc>
          <w:tcPr>
            <w:tcW w:w="23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520"/>
        </w:trPr>
        <w:tc>
          <w:tcPr>
            <w:tcW w:w="2300" w:type="dxa"/>
            <w:vAlign w:val="bottom"/>
          </w:tcPr>
          <w:p>
            <w:pPr>
              <w:spacing w:after="0"/>
              <w:rPr>
                <w:sz w:val="24"/>
                <w:szCs w:val="24"/>
                <w:color w:val="auto"/>
              </w:rPr>
            </w:pPr>
          </w:p>
        </w:tc>
        <w:tc>
          <w:tcPr>
            <w:tcW w:w="8940" w:type="dxa"/>
            <w:vAlign w:val="bottom"/>
            <w:gridSpan w:val="8"/>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Terms Related to all Notes</w:t>
            </w:r>
          </w:p>
        </w:tc>
      </w:tr>
      <w:tr>
        <w:trPr>
          <w:trHeight w:val="3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w w:val="99"/>
              </w:rPr>
              <w:t>ICON Investments Six Designated Activity Company (the “Company”)</w:t>
            </w:r>
          </w:p>
        </w:tc>
      </w:tr>
      <w:tr>
        <w:trPr>
          <w:trHeight w:val="45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080" w:type="dxa"/>
            <w:vAlign w:val="bottom"/>
            <w:gridSpan w:val="6"/>
          </w:tcPr>
          <w:p>
            <w:pPr>
              <w:ind w:left="3760"/>
              <w:spacing w:after="0"/>
              <w:rPr>
                <w:sz w:val="20"/>
                <w:szCs w:val="20"/>
                <w:color w:val="auto"/>
              </w:rPr>
            </w:pPr>
            <w:r>
              <w:rPr>
                <w:rFonts w:ascii="Times New Roman" w:cs="Times New Roman" w:eastAsia="Times New Roman" w:hAnsi="Times New Roman"/>
                <w:sz w:val="18"/>
                <w:szCs w:val="18"/>
                <w:color w:val="auto"/>
              </w:rPr>
              <w:t>April 30, 2024</w:t>
            </w: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May 8, 2024 (T+6)*</w:t>
            </w: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May 8 and November 8 of each year, commencing on November 8,</w:t>
            </w:r>
          </w:p>
        </w:tc>
      </w:tr>
      <w:tr>
        <w:trPr>
          <w:trHeight w:val="234"/>
        </w:trPr>
        <w:tc>
          <w:tcPr>
            <w:tcW w:w="2300" w:type="dxa"/>
            <w:vAlign w:val="bottom"/>
          </w:tcPr>
          <w:p>
            <w:pPr>
              <w:spacing w:after="0"/>
              <w:rPr>
                <w:sz w:val="20"/>
                <w:szCs w:val="20"/>
                <w:color w:val="auto"/>
              </w:rPr>
            </w:pPr>
          </w:p>
        </w:tc>
        <w:tc>
          <w:tcPr>
            <w:tcW w:w="51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We intend to use the net proceeds from the issuance and sale of the</w:t>
            </w:r>
          </w:p>
        </w:tc>
      </w:tr>
      <w:tr>
        <w:trPr>
          <w:trHeight w:val="216"/>
        </w:trPr>
        <w:tc>
          <w:tcPr>
            <w:tcW w:w="2300" w:type="dxa"/>
            <w:vAlign w:val="bottom"/>
          </w:tcPr>
          <w:p>
            <w:pPr>
              <w:spacing w:after="0"/>
              <w:rPr>
                <w:sz w:val="18"/>
                <w:szCs w:val="18"/>
                <w:color w:val="auto"/>
              </w:rPr>
            </w:pP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Notes (i) to provide funds to the U.S. borrower and Luxembourg</w:t>
            </w:r>
          </w:p>
        </w:tc>
      </w:tr>
      <w:tr>
        <w:trPr>
          <w:trHeight w:val="216"/>
        </w:trPr>
        <w:tc>
          <w:tcPr>
            <w:tcW w:w="2300" w:type="dxa"/>
            <w:vAlign w:val="bottom"/>
          </w:tcPr>
          <w:p>
            <w:pPr>
              <w:spacing w:after="0"/>
              <w:rPr>
                <w:sz w:val="18"/>
                <w:szCs w:val="18"/>
                <w:color w:val="auto"/>
              </w:rPr>
            </w:pP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borrower under our Senior Secured Credit Facilities (as defined in the</w:t>
            </w:r>
          </w:p>
        </w:tc>
      </w:tr>
      <w:tr>
        <w:trPr>
          <w:trHeight w:val="216"/>
        </w:trPr>
        <w:tc>
          <w:tcPr>
            <w:tcW w:w="2300" w:type="dxa"/>
            <w:vAlign w:val="bottom"/>
          </w:tcPr>
          <w:p>
            <w:pPr>
              <w:spacing w:after="0"/>
              <w:rPr>
                <w:sz w:val="18"/>
                <w:szCs w:val="18"/>
                <w:color w:val="auto"/>
              </w:rPr>
            </w:pP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Preliminary Prospectus Supplement), through intercompany loans and</w:t>
            </w:r>
          </w:p>
        </w:tc>
      </w:tr>
      <w:tr>
        <w:trPr>
          <w:trHeight w:val="216"/>
        </w:trPr>
        <w:tc>
          <w:tcPr>
            <w:tcW w:w="2300" w:type="dxa"/>
            <w:vAlign w:val="bottom"/>
          </w:tcPr>
          <w:p>
            <w:pPr>
              <w:spacing w:after="0"/>
              <w:rPr>
                <w:sz w:val="18"/>
                <w:szCs w:val="18"/>
                <w:color w:val="auto"/>
              </w:rPr>
            </w:pP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other means, to repay a portion of the senior secured term loans</w:t>
            </w:r>
          </w:p>
        </w:tc>
      </w:tr>
      <w:tr>
        <w:trPr>
          <w:trHeight w:val="216"/>
        </w:trPr>
        <w:tc>
          <w:tcPr>
            <w:tcW w:w="2300" w:type="dxa"/>
            <w:vAlign w:val="bottom"/>
          </w:tcPr>
          <w:p>
            <w:pPr>
              <w:spacing w:after="0"/>
              <w:rPr>
                <w:sz w:val="18"/>
                <w:szCs w:val="18"/>
                <w:color w:val="auto"/>
              </w:rPr>
            </w:pP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outstanding under the Senior Secured Credit Facilities and (ii) to pay</w:t>
            </w:r>
          </w:p>
        </w:tc>
      </w:tr>
      <w:tr>
        <w:trPr>
          <w:trHeight w:val="234"/>
        </w:trPr>
        <w:tc>
          <w:tcPr>
            <w:tcW w:w="2300" w:type="dxa"/>
            <w:vAlign w:val="bottom"/>
          </w:tcPr>
          <w:p>
            <w:pPr>
              <w:spacing w:after="0"/>
              <w:rPr>
                <w:sz w:val="20"/>
                <w:szCs w:val="20"/>
                <w:color w:val="auto"/>
              </w:rPr>
            </w:pPr>
          </w:p>
        </w:tc>
        <w:tc>
          <w:tcPr>
            <w:tcW w:w="8940" w:type="dxa"/>
            <w:vAlign w:val="bottom"/>
            <w:gridSpan w:val="8"/>
          </w:tcPr>
          <w:p>
            <w:pPr>
              <w:ind w:left="3760"/>
              <w:spacing w:after="0"/>
              <w:rPr>
                <w:sz w:val="20"/>
                <w:szCs w:val="20"/>
                <w:color w:val="auto"/>
              </w:rPr>
            </w:pPr>
            <w:r>
              <w:rPr>
                <w:rFonts w:ascii="Times New Roman" w:cs="Times New Roman" w:eastAsia="Times New Roman" w:hAnsi="Times New Roman"/>
                <w:sz w:val="18"/>
                <w:szCs w:val="18"/>
                <w:color w:val="auto"/>
              </w:rPr>
              <w:t>fees, costs and expenses related to this offering.</w:t>
            </w:r>
          </w:p>
        </w:tc>
      </w:tr>
      <w:tr>
        <w:trPr>
          <w:trHeight w:val="398"/>
        </w:trPr>
        <w:tc>
          <w:tcPr>
            <w:tcW w:w="23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40"/>
        <w:spacing w:after="0" w:line="578" w:lineRule="auto"/>
        <w:rPr>
          <w:sz w:val="20"/>
          <w:szCs w:val="20"/>
          <w:color w:val="auto"/>
        </w:rPr>
      </w:pPr>
      <w:r>
        <w:rPr>
          <w:rFonts w:ascii="Times New Roman" w:cs="Times New Roman" w:eastAsia="Times New Roman" w:hAnsi="Times New Roman"/>
          <w:sz w:val="17"/>
          <w:szCs w:val="17"/>
          <w:color w:val="auto"/>
        </w:rPr>
        <w:t>Securities Ratings (Moody’s / S&amp;P):** Joint Book-Running Managers: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 /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0"/>
          <w:szCs w:val="20"/>
          <w:color w:val="auto"/>
        </w:rPr>
      </w:pPr>
      <w:r>
        <w:rPr>
          <w:sz w:val="20"/>
          <w:szCs w:val="20"/>
          <w:color w:val="auto"/>
        </w:rPr>
        <w:br w:type="column"/>
      </w:r>
    </w:p>
    <w:p>
      <w:pPr>
        <w:jc w:val="both"/>
        <w:ind w:left="1680"/>
        <w:spacing w:after="0" w:line="253" w:lineRule="auto"/>
        <w:rPr>
          <w:sz w:val="20"/>
          <w:szCs w:val="20"/>
          <w:color w:val="auto"/>
        </w:rPr>
      </w:pPr>
      <w:r>
        <w:rPr>
          <w:rFonts w:ascii="Times New Roman" w:cs="Times New Roman" w:eastAsia="Times New Roman" w:hAnsi="Times New Roman"/>
          <w:sz w:val="18"/>
          <w:szCs w:val="18"/>
          <w:color w:val="auto"/>
        </w:rPr>
        <w:t>Subject to certain exceptions as set forth in the Preliminary Prospectus Supplement, if a Change of Control Triggering Event (as defined in the Preliminary Prospectus Supplement) occurs, unless the Company has previously or concurrently delivered a redemption notice with respect to all the outstanding Notes as set forth in the Preliminary Prospectus Supplement, within 30 days following such Change of Control Triggering Event, the Company will make an offer to purchase all of the Notes at a purchase price in cash equal to 101% of the aggregate principal amount of Notes repurchased, plus accrued and unpaid interest on the Notes repurchased to, but not including, the date of purchase.</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Baa3 / BBB-</w:t>
      </w:r>
    </w:p>
    <w:p>
      <w:pPr>
        <w:spacing w:after="0" w:line="2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$200,000 and in integral multiples of $1,000 in excess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Related to the 2027 Notes</w:t>
      </w: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5.809% Senior Secured Notes due 2027</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$750,000,000</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May 8, 2027</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UST 4.500% due April 15, 2027</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99-00 ⅝ / 4.859%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+95 basis points</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5.809%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5.809%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100.000%</w:t>
      </w: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660" w:space="720"/>
            <w:col w:w="686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Optional Redemption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 /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0"/>
          <w:szCs w:val="20"/>
          <w:color w:val="auto"/>
        </w:rPr>
      </w:pPr>
      <w:r>
        <w:rPr>
          <w:sz w:val="20"/>
          <w:szCs w:val="20"/>
          <w:color w:val="auto"/>
        </w:rPr>
        <w:br w:type="column"/>
      </w:r>
    </w:p>
    <w:p>
      <w:pPr>
        <w:jc w:val="both"/>
        <w:ind w:left="1680"/>
        <w:spacing w:after="0" w:line="252" w:lineRule="auto"/>
        <w:rPr>
          <w:sz w:val="20"/>
          <w:szCs w:val="20"/>
          <w:color w:val="auto"/>
        </w:rPr>
      </w:pPr>
      <w:r>
        <w:rPr>
          <w:rFonts w:ascii="Times New Roman" w:cs="Times New Roman" w:eastAsia="Times New Roman" w:hAnsi="Times New Roman"/>
          <w:sz w:val="18"/>
          <w:szCs w:val="18"/>
          <w:color w:val="auto"/>
        </w:rPr>
        <w:t>Prior to April 8, 2027 (one month prior to their maturity date) (the “</w:t>
      </w:r>
      <w:r>
        <w:rPr>
          <w:rFonts w:ascii="Times New Roman" w:cs="Times New Roman" w:eastAsia="Times New Roman" w:hAnsi="Times New Roman"/>
          <w:sz w:val="18"/>
          <w:szCs w:val="18"/>
          <w:u w:val="single" w:color="auto"/>
          <w:color w:val="auto"/>
        </w:rPr>
        <w:t>2027 Par Call Date</w:t>
      </w:r>
      <w:r>
        <w:rPr>
          <w:rFonts w:ascii="Times New Roman" w:cs="Times New Roman" w:eastAsia="Times New Roman" w:hAnsi="Times New Roman"/>
          <w:sz w:val="18"/>
          <w:szCs w:val="18"/>
          <w:color w:val="auto"/>
        </w:rPr>
        <w:t>”), the Company may redeem the 2027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2027 Notes to be redeemed matured on the 2027 Par Call Date) on a semi-annual basis (assuming a 360-day year consisting of twelve 30-day months) at the Treasury Rate (as defined in the Preliminary Prospectus Supplement) plus 15 basis points less (b) interest accrued to the date of redemption, and (2) 100% of the principal amount of the 2027 Notes to be redeemed, plus, in either case, accrued and unpaid interest thereon to the redemption date.</w:t>
      </w:r>
    </w:p>
    <w:p>
      <w:pPr>
        <w:spacing w:after="0" w:line="197" w:lineRule="exact"/>
        <w:rPr>
          <w:sz w:val="20"/>
          <w:szCs w:val="20"/>
          <w:color w:val="auto"/>
        </w:rPr>
      </w:pPr>
    </w:p>
    <w:p>
      <w:pPr>
        <w:jc w:val="both"/>
        <w:ind w:left="1680"/>
        <w:spacing w:after="0" w:line="258" w:lineRule="auto"/>
        <w:rPr>
          <w:sz w:val="20"/>
          <w:szCs w:val="20"/>
          <w:color w:val="auto"/>
        </w:rPr>
      </w:pPr>
      <w:r>
        <w:rPr>
          <w:rFonts w:ascii="Times New Roman" w:cs="Times New Roman" w:eastAsia="Times New Roman" w:hAnsi="Times New Roman"/>
          <w:sz w:val="18"/>
          <w:szCs w:val="18"/>
          <w:color w:val="auto"/>
        </w:rPr>
        <w:t>On or after the 2027 Par Call Date, the Company may redeem the 2027 Notes, in whole or in part, at any time and from time to time, at a redemption price equal to 100% of the principal amount of the 2027 Notes being redeemed plus accrued and unpaid interest on the 2027 Notes to be redeemed to, but not including, the redemption date.</w:t>
      </w:r>
    </w:p>
    <w:p>
      <w:pPr>
        <w:spacing w:after="0" w:line="18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45115A AA2 / US45115AAA25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Related to the 2029 Notes</w:t>
      </w: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5.849% Senior Secured Notes due 2029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$750,000,000</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May 8, 2029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UST 4.625% due April 30, 2029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99-21+ / 4.699%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+115 basis points</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5.849%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5.849%</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100.000%</w:t>
      </w: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660" w:space="720"/>
            <w:col w:w="686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Optional Redemption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 Price / Yield: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 (Interest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0"/>
          <w:szCs w:val="20"/>
          <w:color w:val="auto"/>
        </w:rPr>
      </w:pPr>
      <w:r>
        <w:rPr>
          <w:sz w:val="20"/>
          <w:szCs w:val="20"/>
          <w:color w:val="auto"/>
        </w:rPr>
        <w:br w:type="column"/>
      </w:r>
    </w:p>
    <w:p>
      <w:pPr>
        <w:jc w:val="both"/>
        <w:ind w:left="1680"/>
        <w:spacing w:after="0" w:line="252" w:lineRule="auto"/>
        <w:rPr>
          <w:sz w:val="20"/>
          <w:szCs w:val="20"/>
          <w:color w:val="auto"/>
        </w:rPr>
      </w:pPr>
      <w:r>
        <w:rPr>
          <w:rFonts w:ascii="Times New Roman" w:cs="Times New Roman" w:eastAsia="Times New Roman" w:hAnsi="Times New Roman"/>
          <w:sz w:val="18"/>
          <w:szCs w:val="18"/>
          <w:color w:val="auto"/>
        </w:rPr>
        <w:t>Prior to April 8, 2029 (one month prior to their maturity date) (the “</w:t>
      </w:r>
      <w:r>
        <w:rPr>
          <w:rFonts w:ascii="Times New Roman" w:cs="Times New Roman" w:eastAsia="Times New Roman" w:hAnsi="Times New Roman"/>
          <w:sz w:val="18"/>
          <w:szCs w:val="18"/>
          <w:u w:val="single" w:color="auto"/>
          <w:color w:val="auto"/>
        </w:rPr>
        <w:t>2029 Par Call Date</w:t>
      </w:r>
      <w:r>
        <w:rPr>
          <w:rFonts w:ascii="Times New Roman" w:cs="Times New Roman" w:eastAsia="Times New Roman" w:hAnsi="Times New Roman"/>
          <w:sz w:val="18"/>
          <w:szCs w:val="18"/>
          <w:color w:val="auto"/>
        </w:rPr>
        <w:t>”), the Company may redeem the 2029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2029 Notes to be redeemed matured on the 2029 Par Call Date) on a semi-annual basis (assuming a 360-day year consisting of twelve 30-day months) at the Treasury Rate (as defined in the Preliminary Prospectus Supplement) plus 20 basis points less (b) interest accrued to the date of redemption, and (2) 100% of the principal amount of the 2029 Notes to be redeemed, plus, in either case, accrued and unpaid interest thereon to the redemption date.</w:t>
      </w:r>
    </w:p>
    <w:p>
      <w:pPr>
        <w:spacing w:after="0" w:line="197" w:lineRule="exact"/>
        <w:rPr>
          <w:sz w:val="20"/>
          <w:szCs w:val="20"/>
          <w:color w:val="auto"/>
        </w:rPr>
      </w:pPr>
    </w:p>
    <w:p>
      <w:pPr>
        <w:jc w:val="both"/>
        <w:ind w:left="1680"/>
        <w:spacing w:after="0" w:line="258" w:lineRule="auto"/>
        <w:rPr>
          <w:sz w:val="20"/>
          <w:szCs w:val="20"/>
          <w:color w:val="auto"/>
        </w:rPr>
      </w:pPr>
      <w:r>
        <w:rPr>
          <w:rFonts w:ascii="Times New Roman" w:cs="Times New Roman" w:eastAsia="Times New Roman" w:hAnsi="Times New Roman"/>
          <w:sz w:val="18"/>
          <w:szCs w:val="18"/>
          <w:color w:val="auto"/>
        </w:rPr>
        <w:t>On or after the 2029 Par Call Date, the Company may redeem the 2029 Notes, in whole or in part, at any time and from time to time, at a redemption price equal to 100% of the principal amount of the 2029 Notes being redeemed plus accrued and unpaid interest on the 2029 Notes to be redeemed to, but not including, the redemption date.</w:t>
      </w:r>
    </w:p>
    <w:p>
      <w:pPr>
        <w:spacing w:after="0" w:line="18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45115A AB0 / US45115AAB08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Related to the 2034 Notes</w:t>
      </w: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6.000% Senior Secured Notes due 2034</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$500,000,000</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May 8, 2034</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UST 4.000% due February 15, 2034</w:t>
      </w:r>
    </w:p>
    <w:p>
      <w:pPr>
        <w:spacing w:after="0" w:line="225"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8"/>
          <w:szCs w:val="18"/>
          <w:color w:val="auto"/>
        </w:rPr>
        <w:t>94-26¼ / 4.664%</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+135 basis points</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6.014%</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6.000%</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99.896%</w:t>
      </w: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660" w:space="720"/>
            <w:col w:w="6860"/>
          </w:cols>
          <w:pgMar w:left="320" w:top="33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Provision:</w:t>
            </w: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Prior to February 8, 2034 (three months prior to their maturity date)</w:t>
            </w:r>
          </w:p>
        </w:tc>
      </w:tr>
      <w:tr>
        <w:trPr>
          <w:trHeight w:val="194"/>
        </w:trPr>
        <w:tc>
          <w:tcPr>
            <w:tcW w:w="3640" w:type="dxa"/>
            <w:vAlign w:val="bottom"/>
          </w:tcPr>
          <w:p>
            <w:pPr>
              <w:spacing w:after="0"/>
              <w:rPr>
                <w:sz w:val="16"/>
                <w:szCs w:val="16"/>
                <w:color w:val="auto"/>
              </w:rPr>
            </w:pPr>
          </w:p>
        </w:tc>
        <w:tc>
          <w:tcPr>
            <w:tcW w:w="7600" w:type="dxa"/>
            <w:vAlign w:val="bottom"/>
            <w:gridSpan w:val="3"/>
          </w:tcPr>
          <w:p>
            <w:pPr>
              <w:ind w:left="2420"/>
              <w:spacing w:after="0" w:line="194" w:lineRule="exact"/>
              <w:rPr>
                <w:sz w:val="20"/>
                <w:szCs w:val="20"/>
                <w:color w:val="auto"/>
              </w:rPr>
            </w:pPr>
            <w:r>
              <w:rPr>
                <w:rFonts w:ascii="Times New Roman" w:cs="Times New Roman" w:eastAsia="Times New Roman" w:hAnsi="Times New Roman"/>
                <w:sz w:val="18"/>
                <w:szCs w:val="18"/>
                <w:color w:val="auto"/>
              </w:rPr>
              <w:t>(the “2034 Par Call Date”), the Company may redeem the 2034 Notes</w:t>
            </w:r>
          </w:p>
        </w:tc>
      </w:tr>
      <w:tr>
        <w:trPr>
          <w:trHeight w:val="20"/>
        </w:trPr>
        <w:tc>
          <w:tcPr>
            <w:tcW w:w="36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8"/>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at its option, in whole or in part, at any time and from time to time, at a</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rounded to three decimal places) equal to the greater of: (1) (a) the sum</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 principal</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and interest thereon discounted to the redemption date (assuming the</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2034 Notes to be redeemed matured on the 2034 Par Call Date) on a</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day months) at the Treasury Rate (as defined in the Preliminary</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Prospectus Supplement) plus 25 basis points less (b) interest accrued to</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the date of redemption, and (2) 100% of the principal amount of the</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2034 Notes to be redeemed, plus, in either case, accrued and unpaid</w:t>
            </w:r>
          </w:p>
        </w:tc>
      </w:tr>
      <w:tr>
        <w:trPr>
          <w:trHeight w:val="234"/>
        </w:trPr>
        <w:tc>
          <w:tcPr>
            <w:tcW w:w="3640" w:type="dxa"/>
            <w:vAlign w:val="bottom"/>
          </w:tcPr>
          <w:p>
            <w:pPr>
              <w:spacing w:after="0"/>
              <w:rPr>
                <w:sz w:val="20"/>
                <w:szCs w:val="20"/>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interest thereon to the redemption date.</w:t>
            </w:r>
          </w:p>
        </w:tc>
      </w:tr>
      <w:tr>
        <w:trPr>
          <w:trHeight w:val="414"/>
        </w:trPr>
        <w:tc>
          <w:tcPr>
            <w:tcW w:w="3640" w:type="dxa"/>
            <w:vAlign w:val="bottom"/>
          </w:tcPr>
          <w:p>
            <w:pPr>
              <w:spacing w:after="0"/>
              <w:rPr>
                <w:sz w:val="24"/>
                <w:szCs w:val="24"/>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On or after the 2034 Par Call Date, the Company may redeem the 2034</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Notes, in whole or in part, at any time and from time to time, at a</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2034</w:t>
            </w:r>
          </w:p>
        </w:tc>
      </w:tr>
      <w:tr>
        <w:trPr>
          <w:trHeight w:val="216"/>
        </w:trPr>
        <w:tc>
          <w:tcPr>
            <w:tcW w:w="3640" w:type="dxa"/>
            <w:vAlign w:val="bottom"/>
          </w:tcPr>
          <w:p>
            <w:pPr>
              <w:spacing w:after="0"/>
              <w:rPr>
                <w:sz w:val="18"/>
                <w:szCs w:val="18"/>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Notes being redeemed plus accrued and unpaid interest on the 2034</w:t>
            </w:r>
          </w:p>
        </w:tc>
      </w:tr>
      <w:tr>
        <w:trPr>
          <w:trHeight w:val="234"/>
        </w:trPr>
        <w:tc>
          <w:tcPr>
            <w:tcW w:w="3640" w:type="dxa"/>
            <w:vAlign w:val="bottom"/>
          </w:tcPr>
          <w:p>
            <w:pPr>
              <w:spacing w:after="0"/>
              <w:rPr>
                <w:sz w:val="20"/>
                <w:szCs w:val="20"/>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Notes to be redeemed to, but not including, the redemption date.</w:t>
            </w:r>
          </w:p>
        </w:tc>
      </w:tr>
      <w:tr>
        <w:trPr>
          <w:trHeight w:val="41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60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45115A AC8 / US45115AAC80</w:t>
            </w:r>
          </w:p>
        </w:tc>
      </w:tr>
      <w:tr>
        <w:trPr>
          <w:trHeight w:val="234"/>
        </w:trPr>
        <w:tc>
          <w:tcPr>
            <w:tcW w:w="3640" w:type="dxa"/>
            <w:vAlign w:val="bottom"/>
          </w:tcPr>
          <w:p>
            <w:pPr>
              <w:spacing w:after="0"/>
              <w:rPr>
                <w:sz w:val="20"/>
                <w:szCs w:val="20"/>
                <w:color w:val="auto"/>
              </w:rPr>
            </w:pPr>
          </w:p>
        </w:tc>
        <w:tc>
          <w:tcPr>
            <w:tcW w:w="2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_______________</w:t>
            </w:r>
          </w:p>
        </w:tc>
        <w:tc>
          <w:tcPr>
            <w:tcW w:w="14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May 8, 2024, which will be the sixth business day following the date of confirmation of orders with respect to the Notes (this settlement cycle being referred to as “T+6”). Under Rule 15c6-1 of the SEC under the Exchange Act, trades in the secondary market generally are required to settle in two business days, unless the parties to any such trade expressly agree otherwise. Accordingly, purchasers who wish to trade Notes prior to the date that is two business days preceding the settlement date will be required, by virtue of the fact that the Notes will initially settle in T+6, to specify an alternative settlement cycle at the time of any such trade to prevent a failed settlement. Purchasers of the Notes who wish to trade the Notes before their delivery should consult their own advisor.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securities rating is not a recommendation to buy, sell or hold a security and may be subject to revision or withdrawal at any time.</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The Company has filed a registration statement (including the Preliminary Prospectus Supplement and a prospectus) with the SEC for the offering to which this communication relates. Before you invest, you should read the Preliminary Prospectus Supplement and prospectus in that registration statement and other documents the Company has filed with the SEC for more complete information about the Company and this offering. You may get these documents for free by visiting EDGAR on the SEC website at www.sec.gov. Alternatively, the Company, any underwriter or any dealer participating in the offering will arrange to send you the prospectus if you request it by contacting Citigroup Global Markets Inc., c/o Broadridge Financial Solutions, 1155 Long Island Avenue, Edgewood, NY 11717, Telephone: (800) 831-9146, E-mail: prospectus@citi.com; HSBC Securities (USA) Inc., Telephone: (866) 811-8049; J.P. Morgan Securities LLC, 383 Madison Avenue, New York, New York, 10179, Attention: Investment Grade Syndicate Desk, 3rd Floor, Telephone Collect: (212) 834-4533; Morgan Stanley &amp; Co. LLC, 1585 Broadway, 29th Floor, New York, NY 10036, Attention: Investment Banking Division, Facsimile: (212) 507-8999; Santander US Capital Markets LLC, 437 Madison Avenue, New York, NY 10022, Attention: Debt Capital Markets, Facsimile: (212) 407-0930, E-mail: DCMAmericas@santander.us.</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2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May 8,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9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704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6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1.04   Incorporation by Reference of Trust Indenture Act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   Issuable in Series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2.02   Establishment of Terms of Series of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2.03   Execution and Authentication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2.04   Registrar and Paying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2.05   Paying Agent to Hold Money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2.06</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 Lists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2.07   Transfer and Exchange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2.08</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2.09</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2.13   Persons Deemed Owners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Defaulted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2.16   CUSIP, ISIN and Common Code Numbers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2.17</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AND PREPAYMENT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3.05   Deposit of Redemption or Purchase Price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3.06   Notes Redeemed or Purchased in Part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4.03   SEC Reports; 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4.04   Stay, Extension and Usury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4.05</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4.06</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Amounts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SUCCESSORS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5.01   Consolidation, Merger or Sale of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5.02   Successor Corporation Substituted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6.02</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Acceleration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6.03</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6.12   Restoration of Rights and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ARTICLE 7 TRUSTEE</w:t>
            </w:r>
          </w:p>
        </w:tc>
        <w:tc>
          <w:tcPr>
            <w:tcW w:w="8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7.04</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Trustee’s Disclaimer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7.06   Reports by Trustee to Holders of the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7.08   Replacement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7.10</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7.11   Preferential Collection of Claims Against Issuer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LEGAL DEFEASANCE AND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8.03</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8.05   Deposited Money and Government Securities to be Held in Trust; Other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8.06   Repayment to Issuer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8.07</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AMENDMENT, SUPPLEMENT AND WAIVER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9.01   Without Consent of Holders of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08"/>
        </w:trPr>
        <w:tc>
          <w:tcPr>
            <w:tcW w:w="1780" w:type="dxa"/>
            <w:vAlign w:val="bottom"/>
          </w:tcPr>
          <w:p>
            <w:pPr>
              <w:spacing w:after="0"/>
              <w:rPr>
                <w:sz w:val="24"/>
                <w:szCs w:val="24"/>
                <w:color w:val="auto"/>
              </w:rPr>
            </w:pPr>
          </w:p>
        </w:tc>
        <w:tc>
          <w:tcPr>
            <w:tcW w:w="820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ii</w:t>
            </w:r>
          </w:p>
        </w:tc>
        <w:tc>
          <w:tcPr>
            <w:tcW w:w="1260" w:type="dxa"/>
            <w:vAlign w:val="bottom"/>
          </w:tcPr>
          <w:p>
            <w:pPr>
              <w:spacing w:after="0"/>
              <w:rPr>
                <w:sz w:val="24"/>
                <w:szCs w:val="24"/>
                <w:color w:val="auto"/>
              </w:rPr>
            </w:pPr>
          </w:p>
        </w:tc>
      </w:tr>
      <w:tr>
        <w:trPr>
          <w:trHeight w:val="61"/>
        </w:trPr>
        <w:tc>
          <w:tcPr>
            <w:tcW w:w="1780" w:type="dxa"/>
            <w:vAlign w:val="bottom"/>
            <w:tcBorders>
              <w:bottom w:val="single" w:sz="8" w:color="auto"/>
            </w:tcBorders>
          </w:tcPr>
          <w:p>
            <w:pPr>
              <w:spacing w:after="0"/>
              <w:rPr>
                <w:sz w:val="5"/>
                <w:szCs w:val="5"/>
                <w:color w:val="auto"/>
              </w:rPr>
            </w:pPr>
          </w:p>
        </w:tc>
        <w:tc>
          <w:tcPr>
            <w:tcW w:w="8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9.02   With Consent of Holders of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9.03   Compliance with Trust Indenture Act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9.04   Revocation and Effect of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9.05   Notation on or Exchange of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9.06   Trustee to Sign Amendments,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NOTE GUARANTEES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10.01</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10.02   Limitation on Guarantor Liability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10.03   Issuance and Delivery of Note Guarantee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10.04</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11.01   Satisfaction and Discharge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11.02   Application of Trust Money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12.01   Trust Indenture Act Controls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12.02</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12.03   Communication by Holders of Notes with Other Holders of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12.04   Certificate and Opinion as to Conditions Precedent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12.05   Statements Required in Certificate or Opinion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12.06   Form of Documents Delivered to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12.07   Rules by Trustee and Agents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12.08   No Personal Liability of Directors, Officers, Employees and Stockholders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12.09   Governing Law; Waiver of Jury Trial; Jurisdiction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12.10   No Adverse Interpretation of Other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12.11</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Successors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12.12</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12.13</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 Originals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12.14   Table of Contents, Headings,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12.15   U.S.A. Patriot Act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13 SECURITY</w:t>
            </w:r>
          </w:p>
        </w:tc>
        <w:tc>
          <w:tcPr>
            <w:tcW w:w="7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13.01</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607"/>
        </w:trPr>
        <w:tc>
          <w:tcPr>
            <w:tcW w:w="1900" w:type="dxa"/>
            <w:vAlign w:val="bottom"/>
          </w:tcPr>
          <w:p>
            <w:pPr>
              <w:spacing w:after="0"/>
              <w:rPr>
                <w:sz w:val="24"/>
                <w:szCs w:val="24"/>
                <w:color w:val="auto"/>
              </w:rPr>
            </w:pPr>
          </w:p>
        </w:tc>
        <w:tc>
          <w:tcPr>
            <w:tcW w:w="724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iii</w:t>
            </w:r>
          </w:p>
        </w:tc>
        <w:tc>
          <w:tcPr>
            <w:tcW w:w="2100" w:type="dxa"/>
            <w:vAlign w:val="bottom"/>
          </w:tcPr>
          <w:p>
            <w:pPr>
              <w:spacing w:after="0"/>
              <w:rPr>
                <w:sz w:val="24"/>
                <w:szCs w:val="24"/>
                <w:color w:val="auto"/>
              </w:rPr>
            </w:pPr>
          </w:p>
        </w:tc>
      </w:tr>
      <w:tr>
        <w:trPr>
          <w:trHeight w:val="61"/>
        </w:trPr>
        <w:tc>
          <w:tcPr>
            <w:tcW w:w="1900" w:type="dxa"/>
            <w:vAlign w:val="bottom"/>
            <w:tcBorders>
              <w:bottom w:val="single" w:sz="8" w:color="auto"/>
            </w:tcBorders>
          </w:tcPr>
          <w:p>
            <w:pPr>
              <w:spacing w:after="0"/>
              <w:rPr>
                <w:sz w:val="5"/>
                <w:szCs w:val="5"/>
                <w:color w:val="auto"/>
              </w:rPr>
            </w:pPr>
          </w:p>
        </w:tc>
        <w:tc>
          <w:tcPr>
            <w:tcW w:w="724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CROSS-REFERENCE TABLE*</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310(a)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5"/>
              </w:rPr>
              <w:t>7.11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5"/>
              </w:rPr>
              <w:t>7.11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(b)(2)</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4.05, 12.05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7.01, 7.02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7.05, 12.02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5"/>
              </w:rPr>
              <w:t>6.11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317(a)(1)</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Cross-Reference Table is not part of the Indenture.</w:t>
      </w:r>
    </w:p>
    <w:p>
      <w:pPr>
        <w:spacing w:after="0" w:line="200" w:lineRule="exact"/>
        <w:rPr>
          <w:sz w:val="20"/>
          <w:szCs w:val="20"/>
          <w:color w:val="auto"/>
        </w:rPr>
      </w:pPr>
    </w:p>
    <w:p>
      <w:pPr>
        <w:spacing w:after="0" w:line="2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3" w:name="page64"/>
    <w:bookmarkEnd w:id="63"/>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INDENTURE (this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dated as of May 8, 2024, among ICON INVESTMENTS SIX DESIGNATED ACTIVITY COMPANY, a designated activity company limited by shares in Ireland, ICON PUBLIC LIMITED COMPANY, a public limited company in Ireland and CITIBANK, N.A., a national banking association, as trustee (in such capacity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Issuer, the Parent and the Trustee agree as follows for the benefit of each other and for the equal and ratable benefit of the Holders (as defined herein) of the Notes issued from time to time under this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 respect to a Series of Notes shall have the meaning assigned to such term in the Board Resolution, supplemental indenture or Officer’s Certificate pursuant to which such Series of Notes are issued.</w:t>
      </w:r>
    </w:p>
    <w:p>
      <w:pPr>
        <w:spacing w:after="0" w:line="15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co-Registrar, Paying Agent, additional paying agent, or transfer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means a written order signed in the name of the Issuer by at least one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means Title 11 of the United States Code entitled “Bankruptcy”, as now or hereafter in effect, and any successor thereto.</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Custodian</w:t>
      </w:r>
      <w:r>
        <w:rPr>
          <w:rFonts w:ascii="Times New Roman" w:cs="Times New Roman" w:eastAsia="Times New Roman" w:hAnsi="Times New Roman"/>
          <w:sz w:val="18"/>
          <w:szCs w:val="18"/>
          <w:color w:val="auto"/>
        </w:rPr>
        <w:t>” means any receiver, interim receiver, receiver and manager, trustee, assignee, liquidator, examiner, custodian or similar official under any Bankruptcy Law.</w:t>
      </w:r>
    </w:p>
    <w:p>
      <w:pPr>
        <w:spacing w:after="0" w:line="158" w:lineRule="exact"/>
        <w:rPr>
          <w:sz w:val="20"/>
          <w:szCs w:val="20"/>
          <w:color w:val="auto"/>
        </w:rPr>
      </w:pPr>
    </w:p>
    <w:p>
      <w:pPr>
        <w:jc w:val="both"/>
        <w:ind w:right="54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the Bankruptcy Code or any similar federal or state law for the relief of debtors or similar foreign law (including, without limitation, laws of Ireland relating to bankruptcy, insolvency, receivership, winding up, liquidation, examinership, reorganization or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60" w:hanging="704"/>
        <w:spacing w:after="0"/>
        <w:tabs>
          <w:tab w:leader="none" w:pos="1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7" w:lineRule="exact"/>
        <w:rPr>
          <w:sz w:val="20"/>
          <w:szCs w:val="20"/>
          <w:color w:val="auto"/>
        </w:rPr>
      </w:pPr>
    </w:p>
    <w:p>
      <w:pPr>
        <w:ind w:left="1360" w:hanging="704"/>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3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the member or members, the managing member or members or any controlling committee of managing members thereof;</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a manager or managers, the manager or managers and any controlling committee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managers; and</w:t>
      </w:r>
    </w:p>
    <w:p>
      <w:pPr>
        <w:spacing w:after="0" w:line="20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an Officer of the Issuer to have been adopted by the Board of Directors of the Issuer or pursuant to authorization or delegation of authority by the Board of Directors of the Issuer and to be in full force and effect on the date of the certificate and delivered to the Trustee.</w:t>
      </w:r>
    </w:p>
    <w:p>
      <w:pPr>
        <w:spacing w:after="0" w:line="173"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specified with respect to any Series of Notes, any day that is not a Saturday, Sunday or other day on which commercial banks in New York City are authorized or required by law to remain closed.</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participations, rights in or other equivalents (however designated) of such Person’s capital stock, partnership interests (whether general or limited), limited liability company interests, shares (parts sociales) in a Luxembourg private limited liability company, beneficial interests in a trust and any other interest or participation that confers on a Person the right to receive a share of the profits and losses of, or distributions of assets of, the issuing Person, including any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Companies Act</w:t>
      </w:r>
      <w:r>
        <w:rPr>
          <w:rFonts w:ascii="Times New Roman" w:cs="Times New Roman" w:eastAsia="Times New Roman" w:hAnsi="Times New Roman"/>
          <w:sz w:val="18"/>
          <w:szCs w:val="18"/>
          <w:color w:val="auto"/>
        </w:rPr>
        <w:t>” means the Companies Act 2014 of Ireland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 of the Trustee</w:t>
      </w:r>
      <w:r>
        <w:rPr>
          <w:rFonts w:ascii="Times New Roman" w:cs="Times New Roman" w:eastAsia="Times New Roman" w:hAnsi="Times New Roman"/>
          <w:sz w:val="18"/>
          <w:szCs w:val="18"/>
          <w:color w:val="auto"/>
        </w:rPr>
        <w:t>” will be at the address of the Trustee specified in Section 12.02 hereof or such other address as to which the Trustee may give notice to the Issuer.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65" w:name="page66"/>
    <w:bookmarkEnd w:id="65"/>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2.04 hereof as the 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right="160" w:firstLine="648"/>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Global Note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means a Note or Notes, as the case may be, in the form established pursuant to Section 2.02 or 2.15 evidencing all or part of a Series of Notes, issued to the Depositary for such Series or its nominee, and registered in the name of such Depositary or nominee.</w:t>
      </w:r>
    </w:p>
    <w:p>
      <w:pPr>
        <w:spacing w:after="0" w:line="13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and any obligation, direct or indirect, contingent or otherwise, of such Person:</w:t>
      </w:r>
    </w:p>
    <w:p>
      <w:pPr>
        <w:spacing w:after="0" w:line="207" w:lineRule="exact"/>
        <w:rPr>
          <w:sz w:val="20"/>
          <w:szCs w:val="20"/>
          <w:color w:val="auto"/>
        </w:rPr>
      </w:pPr>
    </w:p>
    <w:p>
      <w:pPr>
        <w:ind w:right="180" w:firstLine="656"/>
        <w:spacing w:after="0" w:line="266" w:lineRule="auto"/>
        <w:tabs>
          <w:tab w:leader="none" w:pos="1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the purpose of assuring in any other manner the obligee against loss in respect thereof (in whole or in part);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shall not include endorsements for collection or deposit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Guaranteed</w:t>
      </w:r>
      <w:r>
        <w:rPr>
          <w:rFonts w:ascii="Times New Roman" w:cs="Times New Roman" w:eastAsia="Times New Roman" w:hAnsi="Times New Roman"/>
          <w:sz w:val="18"/>
          <w:szCs w:val="18"/>
          <w:color w:val="auto"/>
        </w:rPr>
        <w:t>” shall have correlative meanings.</w:t>
      </w:r>
    </w:p>
    <w:p>
      <w:pPr>
        <w:spacing w:after="0" w:line="225"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collectively, with respect to the Notes of any Series, the Parent Guarantor or any Subsidiary Guarantor, until such Note Guarantee is released in accordance with the terms of this Indenture.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with respect to any Series of Notes, this Indenture, as amended or supplemented from time to time in respect of such Series of Notes, and will include the form and terms of such Series of Notes established as contemplated hereunder. For the avoidance of doubt, for purposes of determining the rights of Holders of any Series of Notes, and the terms applicable to such Series of Note, references herein to “this Indenture” shall mean the Indenture with respect to such Series.</w:t>
      </w:r>
    </w:p>
    <w:p>
      <w:pPr>
        <w:spacing w:after="0" w:line="18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effective date of the Board Resolution, Officer’s Certificate or supplemental indenture pursuant to which the first Series of Notes is issued under this Base Indenture.</w:t>
      </w:r>
    </w:p>
    <w:p>
      <w:pPr>
        <w:spacing w:after="0" w:line="15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means ICON Investments Six Designated Activity Company, a designated activity company limited by shares incorporated in Ireland, and not any of its Subsidiaries, until a successor Person shall have become such in accordance with the applicable provisions of this Indenture, and thereafter “Issuer” shall mean such successor Person.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in no event shall any operating lease or any non-exclusive license, sub-license or cross-license to intellectual property be deemed to constitute a Lien.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w:t>
      </w:r>
      <w:r>
        <w:rPr>
          <w:rFonts w:ascii="Times New Roman" w:cs="Times New Roman" w:eastAsia="Times New Roman" w:hAnsi="Times New Roman"/>
          <w:sz w:val="18"/>
          <w:szCs w:val="18"/>
          <w:color w:val="auto"/>
        </w:rPr>
        <w:t>” means the Grand Duchy of Luxembourg.</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with respect to the Notes of any Series, the Guarantee by each Guarantor of the obligations of the Issuer with respect to the Notes of such Series under this Indenture and under the applicable Series of Notes.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means the debentures, notes or other debt instruments of the Issuer of any Series authenticated and delivered under this Indenture.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the Chairman of the Board, the Chief Executive Officer, the President, the Chief Operating Officer, the Chief Financial Officer, any Vice-President, the Treasurer, any Assistant Treasurer, the Controller, any assistant Controller, the Secretary, any Assistant Secretary, any Director or authorized signatory of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 Officer of the Parent or the Issuer, as applicable, and delivered to the Trustee.</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an opinion meeting the requirements of this Indenture from legal counsel who is reasonably acceptable to the Trustee and delivered to the Trustee. The counsel may be an employee of or counsel to the Issuer or any Subsidiary of the Issuer.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7" w:name="page68"/>
    <w:bookmarkEnd w:id="67"/>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ICON Public Limited Company, a public limited company incorporated in Ireland, and not any of its Subsidiaries, until a successor Person shall have become such in accordance with the applicable provisions of this Indenture, and thereafter “Parent” shall mean such successor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Guarantor</w:t>
      </w:r>
      <w:r>
        <w:rPr>
          <w:rFonts w:ascii="Times New Roman" w:cs="Times New Roman" w:eastAsia="Times New Roman" w:hAnsi="Times New Roman"/>
          <w:sz w:val="18"/>
          <w:szCs w:val="18"/>
          <w:color w:val="auto"/>
        </w:rPr>
        <w:t>” means, with respect to the Notes of any Series, the Parent that Guarantees the obligations of the Issuer under such Notes.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company, partnership, joint venture, association, joint-stock company, trust, unincorporated organization, limited liability company or government or other entity.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 of Payment</w:t>
      </w:r>
      <w:r>
        <w:rPr>
          <w:rFonts w:ascii="Times New Roman" w:cs="Times New Roman" w:eastAsia="Times New Roman" w:hAnsi="Times New Roman"/>
          <w:sz w:val="18"/>
          <w:szCs w:val="18"/>
          <w:color w:val="auto"/>
        </w:rPr>
        <w:t>”, when used with respect to the Notes, means the place or places where the principal of (and premium, if any) and interest on the Notes are payable as contemplated by Section 4.02 hereof.</w:t>
      </w:r>
    </w:p>
    <w:p>
      <w:pPr>
        <w:spacing w:after="0" w:line="158"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of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Notes</w:t>
      </w:r>
      <w:r>
        <w:rPr>
          <w:rFonts w:ascii="Times New Roman" w:cs="Times New Roman" w:eastAsia="Times New Roman" w:hAnsi="Times New Roman"/>
          <w:sz w:val="18"/>
          <w:szCs w:val="18"/>
          <w:color w:val="auto"/>
        </w:rPr>
        <w:t>” means each series of debentures, notes or other debt instruments of the Issuer created pursuant to Sections 2.01 and 2.02 hereof.</w:t>
      </w:r>
    </w:p>
    <w:p>
      <w:pPr>
        <w:spacing w:after="0" w:line="158"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documentation governing such indebtedness as of its date of issue, and will not include any contingent obligations to repay, redeem or repurchase any such interest or principal prior to the date originally scheduled for the payment thereof.</w:t>
      </w:r>
    </w:p>
    <w:p>
      <w:pPr>
        <w:spacing w:after="0" w:line="17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(the “parent”)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Irish Companies Act 2014 or Regulation 4 of the European Communities (Companies Group Accounts) Regulations 1992.</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8" w:name="page69"/>
    <w:bookmarkEnd w:id="6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with respect to the Notes of any Series, any subsidiary of the Parent (other than the Issuer) that Guarantees the obligations of the Issuer under such Notes.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means all present or future taxes, levies, imposts, duties, assessments, withholdings or similar charges imposed by any Governmental Authority, including any interest, additions to tax or penalties applicable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Citibank, N.A., until a successor replaces it in accordance with the applicable provisions of this Indenture and thereafter means the successor serving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of the class or classes that has the general voting power under ordinary circumstances to elect at least a majority of the Board of Directors of such Person (irrespective of whether or not at the time Capital Stock of any other class or classes shall have or might have voting power by reason of the happening of any contingency).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2080" w:type="dxa"/>
            <w:vAlign w:val="bottom"/>
          </w:tcPr>
          <w:p>
            <w:pPr>
              <w:spacing w:after="0"/>
              <w:rPr>
                <w:sz w:val="20"/>
                <w:szCs w:val="20"/>
                <w:color w:val="auto"/>
              </w:rPr>
            </w:pPr>
          </w:p>
        </w:tc>
      </w:tr>
      <w:tr>
        <w:trPr>
          <w:trHeight w:val="41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400" w:type="dxa"/>
            <w:vAlign w:val="bottom"/>
          </w:tcPr>
          <w:p>
            <w:pPr>
              <w:spacing w:after="0"/>
              <w:rPr>
                <w:sz w:val="24"/>
                <w:szCs w:val="24"/>
                <w:color w:val="auto"/>
              </w:rPr>
            </w:pPr>
          </w:p>
        </w:tc>
        <w:tc>
          <w:tcPr>
            <w:tcW w:w="2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Defined in Section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w:t>
            </w: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8.04(a)</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2.04</w:t>
            </w:r>
          </w:p>
        </w:tc>
      </w:tr>
      <w:tr>
        <w:trPr>
          <w:trHeight w:val="23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w:t>
            </w:r>
          </w:p>
        </w:tc>
        <w:tc>
          <w:tcPr>
            <w:tcW w:w="2400" w:type="dxa"/>
            <w:vAlign w:val="bottom"/>
          </w:tcPr>
          <w:p>
            <w:pPr>
              <w:spacing w:after="0"/>
              <w:rPr>
                <w:sz w:val="20"/>
                <w:szCs w:val="20"/>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4.06</w:t>
            </w:r>
          </w:p>
        </w:tc>
      </w:tr>
      <w:tr>
        <w:trPr>
          <w:trHeight w:val="432"/>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w:t>
            </w:r>
          </w:p>
        </w:tc>
        <w:tc>
          <w:tcPr>
            <w:tcW w:w="208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360" w:hanging="704"/>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9" w:name="page70"/>
    <w:bookmarkEnd w:id="69"/>
    <w:p>
      <w:pPr>
        <w:ind w:left="1360" w:hanging="704"/>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i w:val="1"/>
          <w:iCs w:val="1"/>
          <w:color w:val="auto"/>
        </w:rPr>
        <w:t>Incorporation by Reference of Trust Indenture Act.</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Trust Indenture Act terms used in this Indenture have the following meanings: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 of a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 and</w:t>
      </w:r>
    </w:p>
    <w:p>
      <w:pPr>
        <w:spacing w:after="0" w:line="225"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Notes and the Note Guarantees means the Issuer and the Guarantors, respectively, and any successor obligor upon the Notes and the Note Guarantees, respectively.</w:t>
      </w:r>
    </w:p>
    <w:p>
      <w:pPr>
        <w:spacing w:after="0" w:line="16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Trust Indenture Act, defined by Trust Indenture Act reference to another statute or defined by SEC rule under the Trust Indenture Act and not otherwise defined herein are used herein as so defined.</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Issuable in Series.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Notes that may be authenticated and delivered under this Indenture is unlimited. The Notes may be issued in one or more Series. All Notes of a Series will be identical except as may be set forth or determined in the manner provided in a Board Resolution, supplemental indenture or Officer’s Certificate detailing the adoption of the terms thereof pursuant to authority granted under a Board Resolution. In the case of Notes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will accrue) are to be determined. Notes may differ between Series in respect of any matters, but otherwise all Series of Notes are equally and ratably entitled to the benefits of this Base Indenture.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Establishment of Terms of Series of Notes.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Notes within a Series, the following will be established (as to such Series generally, in the case of Section 2.02(a) and either as to such Notes within such Series or as to such Series generally in the case of Sections 2.02(b) through 2.02(w)) by or pursuant to a Board Resolution, and set forth or determined in the manner provided in a Board Resolution, supplemental indenture or Officer’s Certificate:</w:t>
      </w:r>
    </w:p>
    <w:p>
      <w:pPr>
        <w:spacing w:after="0" w:line="176" w:lineRule="exact"/>
        <w:rPr>
          <w:sz w:val="20"/>
          <w:szCs w:val="20"/>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will distinguish the Notes of that particular Series from the Notes of any other Series);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Notes of the Series issued and any limit on the future issuance of additional securities of that Series;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on which the Notes will be listed;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will be issued in individual certificates to each Holder or in the form of temporary or permanent Global Notes held by a Depositary on behalf of Holders;</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Notes of the Series is payable;</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which may be fixed or variable, the date from which interest will accrue, interest payment dates and record dates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w:t>
      </w:r>
    </w:p>
    <w:p>
      <w:pPr>
        <w:spacing w:after="0" w:line="20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Notes of the Series will be payable;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sinking funds or analogous provisions or provisions for redemption at the option of the Holder;</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Notes will be payable;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 including conditions precedent for such optional redemption;</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repurchase or repayment of Notes;</w:t>
      </w:r>
    </w:p>
    <w:p>
      <w:pPr>
        <w:spacing w:after="0" w:line="225" w:lineRule="exact"/>
        <w:rPr>
          <w:rFonts w:ascii="Times New Roman" w:cs="Times New Roman" w:eastAsia="Times New Roman" w:hAnsi="Times New Roman"/>
          <w:sz w:val="18"/>
          <w:szCs w:val="18"/>
          <w:color w:val="auto"/>
        </w:rPr>
      </w:pPr>
    </w:p>
    <w:p>
      <w:pPr>
        <w:ind w:right="80" w:firstLine="656"/>
        <w:spacing w:after="0" w:line="282" w:lineRule="auto"/>
        <w:tabs>
          <w:tab w:leader="none" w:pos="140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Notes will be payable in currency or currency units or another form and whether payments will be payable by reference to any index or formula;</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that will be payable if the Stated Maturity is accelerated, if other than the entire principal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1" w:name="page72"/>
    <w:bookmarkEnd w:id="71"/>
    <w:p>
      <w:pPr>
        <w:ind w:right="160" w:firstLine="656"/>
        <w:spacing w:after="0" w:line="282" w:lineRule="auto"/>
        <w:tabs>
          <w:tab w:leader="none" w:pos="13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Notes, any additional conditions or limitations to defeasance of the Notes or any changes to those conditions or limitations;</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13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Notes of the Series and any change in the right of the Trustee or the requisite Holders of such Notes to declare the principal amount thereof due and payable pursuant to Section 6.02;</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set forth in Articles 4 and 5 hereof which applies to Notes of the Series;</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Notes;</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13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of any Notes of such Series, including if applicable, the conversion price, the conversion period, provisions as to whether conversion will be mandatory, at the option of the Holders thereof or at the option of the Issuer, the events requiring an adjustment of the conversion price and provisions affecting conversion if such Series of Notes are redeemed;</w:t>
      </w:r>
    </w:p>
    <w:p>
      <w:pPr>
        <w:spacing w:after="0" w:line="17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and the denominations in which the Notes will be issuable;</w:t>
      </w:r>
    </w:p>
    <w:p>
      <w:pPr>
        <w:spacing w:after="0" w:line="225" w:lineRule="exact"/>
        <w:rPr>
          <w:rFonts w:ascii="Times New Roman" w:cs="Times New Roman" w:eastAsia="Times New Roman" w:hAnsi="Times New Roman"/>
          <w:sz w:val="18"/>
          <w:szCs w:val="18"/>
          <w:color w:val="auto"/>
        </w:rPr>
      </w:pPr>
    </w:p>
    <w:p>
      <w:pPr>
        <w:ind w:right="220" w:firstLine="656"/>
        <w:spacing w:after="0" w:line="266" w:lineRule="auto"/>
        <w:tabs>
          <w:tab w:leader="none" w:pos="13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of such Series are entitled to the benefits of the Note Guarantee of any Subsidiary Guarantor pursuant to this Indenture, including, without limitation, any release mechanisms and deletions from, or modifications or additions to, the provisions of Article 10 or any other provisions of this Indenture in connection with the Guarantees of the Notes of such Series;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of such Series or, if applicable, any Note Guarantees of such Series, will be secured by any collateral and, if so, the provisions and release mechanisms related thereto;</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Notes of the Series and whether the Notes will be issuable as Global Notes; and</w:t>
      </w:r>
    </w:p>
    <w:p>
      <w:pPr>
        <w:spacing w:after="0" w:line="225" w:lineRule="exact"/>
        <w:rPr>
          <w:rFonts w:ascii="Times New Roman" w:cs="Times New Roman" w:eastAsia="Times New Roman" w:hAnsi="Times New Roman"/>
          <w:sz w:val="18"/>
          <w:szCs w:val="18"/>
          <w:color w:val="auto"/>
        </w:rPr>
      </w:pPr>
    </w:p>
    <w:p>
      <w:pPr>
        <w:ind w:right="80" w:firstLine="656"/>
        <w:spacing w:after="0" w:line="282" w:lineRule="auto"/>
        <w:tabs>
          <w:tab w:leader="none" w:pos="13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Notes of the Series (which may supplement, modify or delete any provision of this Indenture insofar as it applies to such Series, regardless of whether this Indenture expressly contemplates such supplement, modification or deletion).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Notes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least one Officer must sign the Notes for the Issuer by manual, facsimile or electronic (including PDF) signature.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 valid.</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Note will not be valid until authenticated by the manual, facsimile or electronic (including PDF) signature of the Trustee. The signature will be conclusive evidence that the Note has been authenticated under this Indenture.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Trustee will at any time, and from time to time, authenticate Notes for original issue in the principal amount provided in the Board Resolution, supplemental indenture hereto or Officer’s Certificate, upon receipt by the Trustee of an Authentication Order. Such Authentication Order may authorize authentication and delivery pursuant to written instructions from the Issuer or its duly authorized agent or agents. Each Note will be dated the date of its authentication unless otherwise provided by a Board Resolution, a supplemental indenture hereto or an Officer’s Certificate.</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Notes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Prior to the issuance of Notes of any Series, the Trustee will have received: (a) the Board Resolution, supplemental indenture hereto or Officer’s Certificate establishing the form and the terms of the Notes of that Series or of Notes within that Series, (b) an Officer’s Certificate complying with Section 12.05, and (c) an Opinion of Counsel complying with Section 12.05.</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Trustee will have the right to decline to authenticate and deliver any Notes of such Series if (a) the Trustee, being advised by counsel, determines that such action may not be taken lawfully or (b) a trust committee of directors and/or vice-presidents of the Trustee determines in good faith that such action would expose the Trustee to personal liability to Holders of any then outstanding Series of Notes.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authenticating agent. An authenticating agent has the same rights as an Agent to deal with Holders, the Issuer or an Affiliate of the Issuer.</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i w:val="1"/>
          <w:iCs w:val="1"/>
          <w:color w:val="auto"/>
        </w:rPr>
        <w:t>Registrar and Paying Agent.</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Issuer will maintain, with respect to each Series of Notes, an office or agency where Notes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Notes of such Series may be presented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will keep a register of each Series of Notes and of their transfer and exchange. The Issuer may appoint one or more co-Registrars and one or more additional paying agents.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and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a Holder has given wire transfer instructions to the Issuer and the Issuer is the Paying Agent, the Issuer will pay all principal, interest and premium, if any, on that Holder’s Notes in accordance with these instructions until given written notice to the contrary. All other payments on the Notes of any Series will be made at the Corporate Trust Office of the Trustee, unless the Issuer elects to make interest payments by checks mailed to the Holders at their addresses in the books and records of the Registrar.</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Issuer initially appoints the Trustee to act as the Registrar and Paying Agent and to act as custodian of any Global Note (or Global Notes) with respect to each Series unless another Registrar or Paying Agent, as the case may be, is appointed prior to the time Notes of that Series are first issued. The Issuer may change the Paying Agent or Registrar with respect to the Notes of any Series without prior notice to the Holders.</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Paying Agent to Hold Money.</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Issuer will require each Paying Agent other than the Trustee to agree in writing that the Paying Agent will hold in trust for the benefit of Holders of any Series of Notes or the Trustee, all money held by the Paying Agent for the payment of principal of, premium on, if any, or interest on such Series of Notes, and will notify the Trustee in writing of any default by the Issuer in making any such payment. While any such default continues, the Trustee may require a Paying Agent to pay all money held by it with respect to such series of Notes to the Trustee. The Issuer at any time may require a Paying Agent to pay all money held by it with respect to such series of Notes to the Trustee. Upon payment over to the Trustee, the Paying Agent (if other than the Issuer or any of its Subsidiaries) will have no further liability for such money. If the Issuer or a Subsidiary acts as Paying Agent, it will segregate and hold in a separate trust fund for the benefit of the Holders of any Series of Notes all money held by it as Paying Agent. Upon any bankruptcy or reorganization proceedings relating to the Issuer, the Trustee will serve as Paying Agent for the Notes. The Issuer shall two (2) Business Days prior to the day on which the Paying Agent is to receive any payment of principal, premium, if any, and interest on the Notes, email (or equivalent message) to the Paying Agent that the payment instructions relating to such payment have been sent to the Paying Agent. For the avoidance of doubt, the Paying Agent and the Trustee shall be held harmless and have no liability with respect to payments or disbursements to be made by the Paying Agent and Trustee (i) for which payment instructions are not made or that are not otherwise deposited by the respective times set forth in this Section 2.05; and (ii) until the Paying Agent and Trustee have confirmed receipt of funds sufficient to make such relevant payment.</w:t>
      </w:r>
    </w:p>
    <w:p>
      <w:pPr>
        <w:spacing w:after="0" w:line="18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i w:val="1"/>
          <w:iCs w:val="1"/>
          <w:color w:val="auto"/>
        </w:rPr>
        <w:t>Holder Lists.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Trustee will preserve in as current a form as is reasonably practicable the most recent list available to it of the names and addresses of Holders of each Series of Notes and will otherwise comply with Trust Indenture Act § 312(a).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each Series of Notes.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Transfer and Exchange.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When Notes of a Series are presented to the Registrar or a co-Registrar with a request to register a transfer or to exchange them for an equal principal amount of Notes of the same Series of other denominations, the Registrar will register the transfer or make the exchange as requested if its requirements for such transactions are met. To permit registrations of transfers and exchanges, the Issuer shall execute and the Trustee shall authenticate Notes at the Registrar’s request. A Holder may transfer or exchange Notes only in accordance with this Indenture. Upon any transfer or exchange, the Registrar and the Trustee may require a Holder, among other things, to furnish appropriate endorsements or transfer documents. No service charge shall be made for any registration of transfer or exchange (except as otherwise expressly permitted herein), but the Issuer and/or the Trustee may require payment of a sum sufficient to cover any transfer Tax, any other reasonable expenses (including the reasonable fees and expenses of the Trustee or Registrar) or similar governmental charge payable in connection therewith (other than any such transfer Tax or similar governmental charge payable upon exchanges pursuant to Sections 2.11, 3.06 or 9.04).</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Neither the Issuer nor the Registrar will be required (a) to issue, register the transfer or purchase of, or exchange Notes of any Series for the period beginning at the opening of business 15 days immediately preceding the sending of a notice of redemption of Notes of that Series selected for redemption and ending at the close of business on the day such notice is sent or (b) to issue, register the transfer or purchase of, or exchange Notes of any Series selected for redemption.</w:t>
      </w:r>
    </w:p>
    <w:p>
      <w:pPr>
        <w:spacing w:after="0" w:line="17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i w:val="1"/>
          <w:iCs w:val="1"/>
          <w:color w:val="auto"/>
        </w:rPr>
        <w:t>Replacement Notes.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any mutilated Note is surrendered to the Trustee or the Issuer and the Trustee receives evidence to its satisfaction of the destruction, loss or theft of any Note, the Issuer will issue and the Trustee, upon receipt of an Authentication Order, will authenticate and deliver a replacement Note of the same Series and of like tenor and principal amount in exchange and substitution for the mutilated Note if the Trustee’s requirements are met. Upon written request for replacement of a Note by a Holder, the Trustee and the Issuer shall receive an indemnity bond sufficient in the judgment of the Trustee and the Issuer to protect the Issuer, the Trustee, any Agent and any authenticating agent from any loss that any of them may suffer if a Note is replaced. The Issuer may charge the Holder for its expenses in replacing a Note, with any expense of the Trustee to be reimbursed in accordance with the terms of this Indenture.</w:t>
      </w:r>
    </w:p>
    <w:p>
      <w:pPr>
        <w:spacing w:after="0" w:line="189"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Every replacement Note is an additional obligation of the Issuer and will be entitled to all of the benefits of this Indenture equally and proportionately with all other Notes of such Series duly issued hereunder.</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Outstanding Notes.</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paid under this Indenture, those reductions in the interest in a Global Note effected by the Trustee in accordance with the provisions hereof, and those described in this Section 2.09 as not outstanding. Except as set forth in Section 2.10 hereof, a Note does not cease to be outstanding because the Issuer or an Affiliate of the Issuer holds the Note.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5" w:name="page76"/>
    <w:bookmarkEnd w:id="7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2.08 hereof, it ceases to be outstanding and shall be deemed cancelled for all purposes unless the Trustee receives proof satisfactory to it that the replaced Note is held by a protected purchaser.</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hereof, it ceases to be outstanding, shall be deemed cancelled, and interest on it ceases to accrue.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on a redemption date or maturity date, money sufficient to pay Notes payable on that date, then on and after that date such Notes will be deemed to be no longer outstanding, shall be deemed cancelled, and will cease to accrue interest.</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i w:val="1"/>
          <w:iCs w:val="1"/>
          <w:color w:val="auto"/>
        </w:rPr>
        <w:t>Treasury Notes.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of a Series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conclusively relying on any such direction, waiver or consent, only Notes of a Series that a Responsible Officer of the Trustee actually knows are so owned will be so disregarded.</w:t>
      </w:r>
    </w:p>
    <w:p>
      <w:pPr>
        <w:spacing w:after="0" w:line="18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i w:val="1"/>
          <w:iCs w:val="1"/>
          <w:color w:val="auto"/>
        </w:rPr>
        <w:t>Temporary Notes.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upon receipt of an Authentication Order, authenticate definitive Notes in exchange for temporary Notes. Holders of temporary Notes will be entitled to all of the benefits of this Indenture.</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i w:val="1"/>
          <w:iCs w:val="1"/>
          <w:color w:val="auto"/>
        </w:rPr>
        <w:t>Cancellation.</w:t>
      </w:r>
    </w:p>
    <w:p>
      <w:pPr>
        <w:spacing w:after="0" w:line="227"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Issuer or its agents or representatives at any time may deliver Notes to the Trustee for cancellation. The Registrar and Paying Agent will forward to the Trustee any Notes surrendered to them for registration of transfer, exchange, redemption, purchase, cancellation, replacement or payment. The Trustee and no one else will promptly cancel all Notes surrendered for registration of transfer, exchange, redemption, purchase, payment, replacement or cancellation and will dispose of such canceled Notes (subject to the record retention requirement of the Exchange Act) and in accordance with the Trustee’s customary procedures. Upon written request and at the expense of the Issuer, certification of the cancellation of such Notes will be delivered to the Issuer. The Issuer may not issue new Notes to replace Notes that they have paid or that have been delivered to the Trustee for cancellation.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i w:val="1"/>
          <w:iCs w:val="1"/>
          <w:color w:val="auto"/>
        </w:rPr>
        <w:t>Persons Deemed Owners.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Issuer, the Trustee and any agent of the Issuer or the Trustee shall (subject to Section 2.15(e)) treat the Person in whose name such Global Note is registered as the absolute owner of such Global Note for all purposes, including for the purpose of receiving payment of principal of, and any premium and any interest, if any, on, such Global Note and for all other purposes whatsoever, whether or not such Global Note be overdue, and neither the Issuer nor Trustee nor any of their respective agents shall be affected by notice to the contrary.</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Neither the Issuer, nor the Trustee, nor any of their respective agents will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i w:val="1"/>
          <w:iCs w:val="1"/>
          <w:color w:val="auto"/>
        </w:rPr>
        <w:t>Defaulted Interest.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a Series of Notes, it will pay the defaulted interest in any lawful manner plus, to the extent lawful, any interest payable on the defaulted interest, to the Persons who are Holders of the Notes of such Series on a subsequent special record date. The Issuer will notify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special record date may be less than 10 days prior to the related payment date for such defaulted interest. At least 10 days before such special record date, the Issuer will deliver or cause to be delivered to Holders of the applicable Series of Notes a notice that states the special record date, the related payment date and the amount of such interest to be paid.</w:t>
      </w:r>
    </w:p>
    <w:p>
      <w:pPr>
        <w:spacing w:after="0" w:line="18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i w:val="1"/>
          <w:iCs w:val="1"/>
          <w:color w:val="auto"/>
        </w:rPr>
        <w:t>Global Notes.</w:t>
      </w:r>
    </w:p>
    <w:p>
      <w:pPr>
        <w:spacing w:after="0" w:line="227" w:lineRule="exact"/>
        <w:rPr>
          <w:sz w:val="20"/>
          <w:szCs w:val="20"/>
          <w:color w:val="auto"/>
        </w:rPr>
      </w:pPr>
    </w:p>
    <w:p>
      <w:pPr>
        <w:ind w:firstLine="656"/>
        <w:spacing w:after="0" w:line="282" w:lineRule="auto"/>
        <w:tabs>
          <w:tab w:leader="none" w:pos="1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Notes</w:t>
      </w:r>
      <w:r>
        <w:rPr>
          <w:rFonts w:ascii="Times New Roman" w:cs="Times New Roman" w:eastAsia="Times New Roman" w:hAnsi="Times New Roman"/>
          <w:sz w:val="18"/>
          <w:szCs w:val="18"/>
          <w:color w:val="auto"/>
        </w:rPr>
        <w:t>. A Board Resolution, a supplemental indenture hereto or an Officer’s Certificate will establish whether the Notes of a Series will be issued in whole or in part in the form of one or more Global Notes and the Depositary, if any, for such Global Note or Notes.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Note issued hereunder will bear a legend in substantially the following form:</w:t>
      </w:r>
    </w:p>
    <w:p>
      <w:pPr>
        <w:spacing w:after="0" w:line="225" w:lineRule="exact"/>
        <w:rPr>
          <w:sz w:val="20"/>
          <w:szCs w:val="20"/>
          <w:color w:val="auto"/>
        </w:rPr>
      </w:pPr>
    </w:p>
    <w:p>
      <w:pPr>
        <w:jc w:val="both"/>
        <w:ind w:left="1300" w:right="1280"/>
        <w:spacing w:after="0" w:line="254"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77" w:name="page78"/>
    <w:bookmarkEnd w:id="77"/>
    <w:p>
      <w:pPr>
        <w:ind w:firstLine="656"/>
        <w:spacing w:after="0" w:line="282" w:lineRule="auto"/>
        <w:tabs>
          <w:tab w:leader="none" w:pos="14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2.02, payment of the principal of and premium, if any and interest, if any, on any Global Note will be made to the Holder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Beneficial Owners</w:t>
      </w:r>
      <w:r>
        <w:rPr>
          <w:rFonts w:ascii="Times New Roman" w:cs="Times New Roman" w:eastAsia="Times New Roman" w:hAnsi="Times New Roman"/>
          <w:sz w:val="18"/>
          <w:szCs w:val="18"/>
          <w:color w:val="auto"/>
        </w:rPr>
        <w:t>. No beneficial owner of a beneficial interest in any Global Note held on its behalf by a Depositary shall have any rights under this Indenture with respect to such Global Note, and such Depositary shall be treated by the Issuer, the Trustee, and any agent of the Issuer or the Trustee as the sole beneficial owner of such Note for all purposes whatsoever.</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i w:val="1"/>
          <w:iCs w:val="1"/>
          <w:color w:val="auto"/>
        </w:rPr>
        <w:t>CUSIP, ISIN and Common Code Numbers.</w:t>
      </w:r>
    </w:p>
    <w:p>
      <w:pPr>
        <w:spacing w:after="0" w:line="227"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The Issuer in issuing the Notes may use “CUSIP,” “ISIN” and/or “Common Code” numbers (if then generally in use), and, if so, the Trustee shall use “CUSIP,” “ISIN” and/or “Common Code” numbers in notices of redemption as a convenience to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“ISIN” and/or “Common Code” numbers.</w:t>
      </w:r>
    </w:p>
    <w:p>
      <w:pPr>
        <w:spacing w:after="0" w:line="16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8"/>
          <w:szCs w:val="18"/>
          <w:i w:val="1"/>
          <w:iCs w:val="1"/>
          <w:color w:val="auto"/>
        </w:rPr>
        <w:t>Agents.</w:t>
      </w:r>
    </w:p>
    <w:p>
      <w:pPr>
        <w:spacing w:after="0" w:line="225" w:lineRule="exact"/>
        <w:rPr>
          <w:sz w:val="20"/>
          <w:szCs w:val="20"/>
          <w:color w:val="auto"/>
        </w:rPr>
      </w:pPr>
    </w:p>
    <w:p>
      <w:pPr>
        <w:ind w:left="1320" w:hanging="664"/>
        <w:spacing w:after="0"/>
        <w:tabs>
          <w:tab w:leader="none" w:pos="1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of Agents</w:t>
      </w:r>
      <w:r>
        <w:rPr>
          <w:rFonts w:ascii="Times New Roman" w:cs="Times New Roman" w:eastAsia="Times New Roman" w:hAnsi="Times New Roman"/>
          <w:sz w:val="18"/>
          <w:szCs w:val="18"/>
          <w:color w:val="auto"/>
        </w:rPr>
        <w:t>. The rights, powers, duties and obligations and actions of each Agent under this Indenture are several and not joint 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and several.</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Agents of the Trustee</w:t>
      </w:r>
      <w:r>
        <w:rPr>
          <w:rFonts w:ascii="Times New Roman" w:cs="Times New Roman" w:eastAsia="Times New Roman" w:hAnsi="Times New Roman"/>
          <w:sz w:val="18"/>
          <w:szCs w:val="18"/>
          <w:color w:val="auto"/>
        </w:rPr>
        <w:t>. The Issuer and the Agents acknowledge and agree that in the event of a Default or Event of Default,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by notice in writing to the Issuer and the Agents, require that the Agents act as agents of, and take instructions exclusively from, the Trustee. Until they have received such written notice from the Trustee, the Agents shall act solely as agents of the Issuer and need have no concern for the interests of Holders.</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12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Publication of Notices</w:t>
      </w:r>
      <w:r>
        <w:rPr>
          <w:rFonts w:ascii="Times New Roman" w:cs="Times New Roman" w:eastAsia="Times New Roman" w:hAnsi="Times New Roman"/>
          <w:sz w:val="18"/>
          <w:szCs w:val="18"/>
          <w:color w:val="auto"/>
        </w:rPr>
        <w:t>. For so long as the Notes are held as Book-Entry Interests in Global Notes, any obligation the Agents may have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 a notice to Holders on behalf of the Issuer will be satisfied upon delivery of the notice to DTC.</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656"/>
        <w:spacing w:after="0" w:line="258" w:lineRule="auto"/>
        <w:tabs>
          <w:tab w:leader="none" w:pos="12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Instructions to Agents</w:t>
      </w:r>
      <w:r>
        <w:rPr>
          <w:rFonts w:ascii="Times New Roman" w:cs="Times New Roman" w:eastAsia="Times New Roman" w:hAnsi="Times New Roman"/>
          <w:sz w:val="18"/>
          <w:szCs w:val="18"/>
          <w:color w:val="auto"/>
        </w:rPr>
        <w:t>. In the event that instructions given to any Agent are not reasonably clear, then such Agent shall be entitled to seek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clarification from the Issuer or other party entitled to give the Agents instructions under this Indenture by written request promptly and in any event within one Business Day of receipt by such Agent of such instructions. If an Agent has sought clarification in accordance with this Section 2.17, then such Agent shall be entitled to take no action until such clarification is provided, and shall not incur any liability for not taking any action pending receipt of such clarification.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Duty of Agents</w:t>
      </w:r>
      <w:r>
        <w:rPr>
          <w:rFonts w:ascii="Times New Roman" w:cs="Times New Roman" w:eastAsia="Times New Roman" w:hAnsi="Times New Roman"/>
          <w:sz w:val="18"/>
          <w:szCs w:val="18"/>
          <w:color w:val="auto"/>
        </w:rPr>
        <w:t>. Save as provided in this Section 2.17, no Agent shall be under any duty (fiduciary or otherwise) or other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towards, or have any relationship of agency or trust for or with, any person other than the Issuer. The Agents shall only be obliged to perform those duties expressly set out in this Indenture and no implied obligations shall be read into this Indenture against the Agents.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Made by Agents</w:t>
      </w:r>
      <w:r>
        <w:rPr>
          <w:rFonts w:ascii="Times New Roman" w:cs="Times New Roman" w:eastAsia="Times New Roman" w:hAnsi="Times New Roman"/>
          <w:sz w:val="18"/>
          <w:szCs w:val="18"/>
          <w:color w:val="auto"/>
        </w:rPr>
        <w:t>. No Agent shall be required to make any payment under this Indenture unless and until it has received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to be paid in accordance with the terms of this Indenture. To the extent that an Agent has made a payment for which it did not receive the full amount, the Issuer will reimburse the Agent the full amount of any shortfall.</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26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Roles of the Agents</w:t>
      </w:r>
      <w:r>
        <w:rPr>
          <w:rFonts w:ascii="Times New Roman" w:cs="Times New Roman" w:eastAsia="Times New Roman" w:hAnsi="Times New Roman"/>
          <w:sz w:val="18"/>
          <w:szCs w:val="18"/>
          <w:color w:val="auto"/>
        </w:rPr>
        <w:t>. The roles, duties and functions of the Agents are of a mechanical nature and each Agent shall only perform those 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duties as specifically set out in this Indenture and no other acts, covenants, obligations or duties shall be implied or read into this Indenture against any of the Agents.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Undertaking Regarding Information Reporting and Collection Obligations</w:t>
      </w:r>
      <w:r>
        <w:rPr>
          <w:rFonts w:ascii="Times New Roman" w:cs="Times New Roman" w:eastAsia="Times New Roman" w:hAnsi="Times New Roman"/>
          <w:sz w:val="18"/>
          <w:szCs w:val="18"/>
          <w:color w:val="auto"/>
        </w:rPr>
        <w:t>. Each party to this Indenture shall, within 10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Days of a written request by another party to this Indenture, supply to such other party such forms, documentation and other information relating to it, its operations, or the Notes as that other party reasonably requests for the purposes of that other party’s compliance with Applicable Law and shall notify the relevant other party reasonably promptly in the event that it becomes aware that any of the forms, documentation or other information provided by such party is (or becomes) inaccurate in any material respect;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party to this Indenture shall be required to provide any forms, documentation or other information pursuant to this Section 2.17(h)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Section 2.17(h),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shall be deemed to include (i) any published rule or published practice of any Governmental Authority by which any party to this Indenture is bound or with which it is accustomed to comply; (ii) any agreement between any Governmental Authorities; and (iii) any agreement between any Governmental Authority and any party to this Indenture that is customarily entered into by institutions of a similar nature, in each case, which facilitates the implementation of any information reporting or exchange of information regime.</w:t>
      </w:r>
    </w:p>
    <w:p>
      <w:pPr>
        <w:spacing w:after="0" w:line="18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9" w:name="page80"/>
    <w:bookmarkEnd w:id="79"/>
    <w:p>
      <w:pPr>
        <w:jc w:val="both"/>
        <w:ind w:firstLine="656"/>
        <w:spacing w:after="0" w:line="256" w:lineRule="auto"/>
        <w:tabs>
          <w:tab w:leader="none" w:pos="13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 Right to Withhold</w:t>
      </w:r>
      <w:r>
        <w:rPr>
          <w:rFonts w:ascii="Times New Roman" w:cs="Times New Roman" w:eastAsia="Times New Roman" w:hAnsi="Times New Roman"/>
          <w:sz w:val="18"/>
          <w:szCs w:val="18"/>
          <w:color w:val="auto"/>
        </w:rPr>
        <w:t>. Notwithstanding any other provision of this Agreement, each Agent shall be entitled to make a deduction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from any payment which it makes under the Notes for or on account of any Tax, if and only to the extent so required by Applicable Law, in which event the Agent shall make such payment after such deduction or withholding has been made and shall account to the relevant Governmental Authority within the time allowed for the amount so deducted or withheld or, at its option, shall reasonably promptly after making such payment return to the Issuer the amount so deducted or withheld, in which case, the Issuer shall so account to the relevant Governmental Authority for such amount. For the avoidance of doubt, FATCA Withholding is a deduction or withholding which is deemed to be required by Applicable Law for the purposes of this Section 2.17(j).</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3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Right to Redirect</w:t>
      </w:r>
      <w:r>
        <w:rPr>
          <w:rFonts w:ascii="Times New Roman" w:cs="Times New Roman" w:eastAsia="Times New Roman" w:hAnsi="Times New Roman"/>
          <w:sz w:val="18"/>
          <w:szCs w:val="18"/>
          <w:color w:val="auto"/>
        </w:rPr>
        <w:t>. In the event that the Issuer determines in its sole discretion that any deduction or withholding for or on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Tax will be required by Applicable Law in connection with any payment due to any of the Agents on any Notes, then the Issuer may, at its option,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Issuer will promptly notify the Agents and the Trustee in writing of any such redirection or reorganization. For the avoidance of doubt, FATCA Withholding is a deduction or withholding which is deemed to be required by Applicable Law for the purposes of this Section 2.17(k).</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of Agent</w:t>
      </w:r>
      <w:r>
        <w:rPr>
          <w:rFonts w:ascii="Times New Roman" w:cs="Times New Roman" w:eastAsia="Times New Roman" w:hAnsi="Times New Roman"/>
          <w:sz w:val="18"/>
          <w:szCs w:val="18"/>
          <w:color w:val="auto"/>
        </w:rPr>
        <w:t>. Any Agent may resign and be discharged from its duties under this Indenture at any time by giving thirty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written notice of such resignation to the Trustee and Issuer. The Trustee or Issuer may remove any Agent at any time by giving thirty (30) days’ prior written notice to any Agent. Upon such notice, a successor Agent shall be appointed by the Issuer, who shall provide written notice of such to the Trustee. Such successor Agent shall become the Agent hereunder upon the resignation or removal date specified in such notice. If the Issuer is unable to replace the resigning Agent within thirty (30) days after such notice, the Agent shall deliver any funds then held hereunder in its possession to the Trustee or such Agent may itself appoint as its replacement any reputable and experienced financial institution or may apply to a court of competent jurisdiction for the appointment of a successor Agent or for other appropriate relief. The costs and expenses (including its counsels’ fees and expenses) incurred by the Agent in connection with such proceeding shall be paid by the Issuer.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7.07.</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Notices to Trustee.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Issuer may, with respect to any Series of Notes, reserve the right, or may covenant, to redeem and pay such Series of Notes or any part thereof prior to the Stated Maturity thereof at such time and on such terms as provided for in the Board Resolution, Officer’s Certificate or supplemental indenture relating to such Series. If a Series of Notes is redeemable and the Issuer wants or is obligated to redeem prior to the Stated Maturity thereof all or part of the Series of Notes pursuant to the terms of such Notes, it must furnish to the Trustee, at least 10 days (or such shorter period as may be permitted by the Trustee) but not more than 60 days before a redemption date, an Officer’s Certificate setting forth:</w:t>
      </w:r>
    </w:p>
    <w:p>
      <w:pPr>
        <w:spacing w:after="0" w:line="183" w:lineRule="exact"/>
        <w:rPr>
          <w:sz w:val="20"/>
          <w:szCs w:val="20"/>
          <w:color w:val="auto"/>
        </w:rPr>
      </w:pPr>
    </w:p>
    <w:p>
      <w:pPr>
        <w:ind w:left="2480" w:hanging="528"/>
        <w:spacing w:after="0"/>
        <w:tabs>
          <w:tab w:leader="none" w:pos="2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of a Series to be redeemed; and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Selection of Notes to Be Redeemed or Purchased.</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in the Board Resolution, Officer’s Certificate or supplemental indenture under which such Series of Notes is issued or in the form of Note for such Series, if less than all of the Notes of a Series are to be redeemed at any time, Notes of such Series to be redeemed will be selected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pass-through distribution or by lot basis unless otherwise required by law or applicable stock exchange or Depositary requirements. In the event of partial redemption by lot, the particular Notes of a Series to be redeemed will be selected, unless otherwise provided herein, not less than 10 days (or such shorter period as may be permitted by the Trustee) but not more than 60 days prior to the redemption date by the Trustee from the outstanding Notes of such Series not previously called for redemption.</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case of Notes issued in definitive form, upon selection, the Trustee will promptly notify the Issuer in writing of the Notes of a Series selected for redemption or purchase and, in the case of any Note of such Series selected for partial redemption or purchase, the principal amount thereof to be redeemed or purchased. Notes of a Series and portions of Notes of a Series selected will be in minimum amounts of $200,000 or whole multiples of $1,000 in excess thereof or, with respect to Notes of any Series issuable in other denominations pursuant to Section 2.02(n), the minimum principal denomination for each Series and integral multiples thereof; except that if all of the Notes of a Holder are to be redeemed or purchased, the entire outstanding amount of Notes of such Series held by such Holder shall be redeemed or purchased. Except as provided in the preceding sentence, provisions of this Indenture that apply to Notes called for redemption or purchase also apply to portions of Notes of a Series called for redemption or purchase. Unless otherwise specified pursuant to Section 2.02(n), no Notes of $200,000 or less can be redeemed in part.</w:t>
      </w:r>
    </w:p>
    <w:p>
      <w:pPr>
        <w:spacing w:after="0" w:line="1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Notice of Redemption.</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for a particular Series in the Board Resolution, Officer’s Certificate or supplemental indenture under which such Series of Notes is issued or in the form of Note for such Series, at least 10 days but not more than 60 days before a redemption date, the Issuer will send electronically, or mail by first-class mail, a notice of redemption to each Holder whose Notes are to be redeemed at its registered address, except that redemption notices may be sent or mailed more than 60 days prior to a redemption date if the notice is issued in connection with a defeasance of the Notes of a Series or a satisfaction and discharge of the Notes of any Series pursuant to Articles 8 or 11 hereof.</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The notice will identify the Notes (by CUSIP, ISIN and/or Common Code, if applicable) to be redeemed and will state:</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whether the redemption is conditioned on any transaction or event;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right="60" w:firstLine="656"/>
        <w:spacing w:after="0" w:line="261" w:lineRule="auto"/>
        <w:tabs>
          <w:tab w:leader="none" w:pos="12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only, the notice of redemption that relates to that Note will state the portion of the principal amount of such Note that is to be redeemed and that, if Notes are issued in definitive form, after the redemption date upon surrender of such Note, a new Note in principal amount equal to the unredeemed portion of the original Note will be issued in the name of the Holder of Notes upon cancellation of the original Note;</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and after the redemption date, interest ceases to accrue on Notes or portions of Notes called for redemption;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of the Series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conditioned upon the occurrence of one or more conditions precedent, the nature of such conditions precedent;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3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ISIN and/or Common Code number, if any, listed in such notice or printed on the Notes;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of the Notes of the Series being redeemed.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At the Issuer’s written request, the Trustee will give the notice of redemption in the Issuer’s name and at the Issuer’s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has delivered to the Trustee, at least 10 days prior to the redemption date, an Officer’s Certificate requesting that the Trustee give such notice and setting forth the information to be stated in such notice as provided in the preceding paragraph.</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2" w:name="page83"/>
    <w:bookmarkEnd w:id="82"/>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i w:val="1"/>
          <w:iCs w:val="1"/>
          <w:color w:val="auto"/>
        </w:rPr>
        <w:t>Effect of Notice of Redemption.</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Once notice of redemption is delivered in accordance with Section 3.03 hereof, Notes called for redemption become irrevocably due and payable on the redemption date at the redemption price, subject to the satisfaction of any conditions precedent contained in such notice of redemption.</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i w:val="1"/>
          <w:iCs w:val="1"/>
          <w:color w:val="auto"/>
        </w:rPr>
        <w:t>Deposit of Redemption or Purchase Price.</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or before 10:00 a.m., New York City time, on the redemption or purchase date (or such other time as specified in the supplemental indenture, Officer’s Certificate or Board Resolutions with respect to any Series of Notes), the Issuer will deposit with the Trustee money sufficient to pay the redemption or purchase price of and accrued interest, if any, on all Notes to be redeemed or purchased on that date. Upon payment of any amount in connection with redemption, the Trustee will promptly return to the Issuer any money so deposited with the Trustee by the Issuer in excess of the amounts necessary to pay the redemption or purchase price of, and accrued interest, if any, on, all Notes to be redeemed or purchased.</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i w:val="1"/>
          <w:iCs w:val="1"/>
          <w:color w:val="auto"/>
        </w:rPr>
        <w:t>Notes Redeemed or Purchased in Part.</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the Notes are issued in definitive form, upon surrender of a Note that is redeemed or purchased in part, the Issuer will issue and, upon receipt of an Authentication Order, the Trustee will authenticate for the Holder at the expense of the Issuer a new Note of the same Series and equal in principal amount to the unredeemed or unpurchased portion of the Note surrendered.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i w:val="1"/>
          <w:iCs w:val="1"/>
          <w:color w:val="auto"/>
        </w:rPr>
        <w:t>Payment of Notes.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Issuer will pay or cause to be paid the principal of, premium on, if any, and interest on, the Notes of each Series on the dates and in the manner provided in the Notes of such Series. Principal, premium, if any, and interest will be considered paid on the date due if the Paying Agent, if other than the Issuer or a Subsidiary thereof, holds on or before 12:00 noon, New York City time, on the due date money deposited by the Issuer in immediately available funds and designated for and sufficient to pay all principal, premium, if any, and interest, if any, then due.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Issuer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3" w:name="page84"/>
    <w:bookmarkEnd w:id="83"/>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Maintenance of Office or Agency.</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Issuer will maintain in each Place of Payment for Notes an office or agency where Notes may be presented or surrendered for payment,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will in any manner relieve the Issuer of its obligation to maintain an office or agency in each Place of Payment for Notes for such purposes. The Issuer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hereby designates the Corporate Trust Office of the Trustee as one such office or agency of the Issuer in accordance with Section 2.04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i w:val="1"/>
          <w:iCs w:val="1"/>
          <w:color w:val="auto"/>
        </w:rPr>
        <w:t>SEC Reports; Financial Statements.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Issuer or the Parent is subject to the requirements of Section 13 or 15(d) of the Exchange Act, the Issuer or the Parent, as the case may be, shall file with the Trustee, within 15 days after it files the same with the SEC, copies of the annual reports and the information, documents and other reports (or copies of such portions of any of the foregoing as the SEC may by rules and regulations prescribe) that the Issuer or the Parent is required to file with the SEC pursuant to Section 13 or 15(d) of the Exchange Act. If this Indenture is qualified under the Trust Indenture Act, but not otherwise, the Issuer and the Parent shall also comply with the provisions of Trust Indenture Act § 314(a). Delivery of such reports, information and documents to the Trustee shall be for informational purposes only, and the Trustee’s receipt thereof shall not constitute constructive notice or actual knowledge of any information contained therein or determinable from information contained therein, including the Issuer’s compliance with any of its covenants hereunder (as to which the Trustee is entitled to rely exclusively on Officers’ Certificates or certificates delivered pursuant to Section 4.05). The Trustee is under not duty to examine such reports, information or documents to ensure compliance with the provisions of this Indenture or to ascertain the correctness or otherwise of the information or the statements contained therein.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4" w:name="page85"/>
    <w:bookmarkEnd w:id="84"/>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to the extent the Issuer or the Parent files the information and reports referred to in the preceding paragraph with the SEC and such information is publicly available on the internet, the Issuer and the Parent shall be deemed to be in compliance with its obligations to furnish such information to the Trustee pursuant to this Section 4.03.</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i w:val="1"/>
          <w:iCs w:val="1"/>
          <w:color w:val="auto"/>
        </w:rPr>
        <w:t>Stay, Extension and Usury Laws.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i w:val="1"/>
          <w:iCs w:val="1"/>
          <w:color w:val="auto"/>
        </w:rPr>
        <w:t>Compliance Certificate.</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Parent shall deliver to the Trustee, in compliance with Trust Indenture Act § 314(a)(4), within one hundred twenty (120) days after the end of each fiscal year of the Parent (commencing with the fiscal year ending December 31, 2024), an Officer’s Certificate, stating that a review of the activities of the Issuer and the Guarantors during the preceding fiscal year has been made under the supervision of the signing Officers with a view to determining whether the Issuer and each Guarantor has kept, observed, performed and fulfilled its obligations under this Indenture, and further stating, as to each such Officer signing such certificate, that to his or her knowledge the Issuer and each Guarantor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any of the Notes are outstanding, the Issuer will deliver to the Trustee, within 30 days after becoming aware of any Default or Event of Default, an Officer’s Certificate specifying such Default or Event of Default and what action the Issuer is taking or proposes to take with respect thereto unless such Default or Event of Default has been cured or waived in such period.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payments made by or on behalf of the Issuer or any Guarantor under or with respect to the Notes or any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(1) any jurisdiction in which the Issuer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the Issuer or any Guarantor (including any successor entity), including, without limitation, the jurisdiction of any Paying Agent or any political subdivision or Governmental Authority thereof or therein (each of (1) and (2), a “</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 will at any time be required to be made from any payments by or on behalf of the Issuer or any Guarantor under or with respect to the Notes or any Note Guarantee, including, without limitation, payments of principal, redemption price, interest or premium, the Issuer or the relevant Guarantor, as applicable, will pay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Additional Amounts will be payable with respect to:</w:t>
      </w:r>
    </w:p>
    <w:p>
      <w:pPr>
        <w:spacing w:after="0" w:line="190" w:lineRule="exact"/>
        <w:rPr>
          <w:sz w:val="20"/>
          <w:szCs w:val="20"/>
          <w:color w:val="auto"/>
        </w:rPr>
      </w:pPr>
    </w:p>
    <w:p>
      <w:pPr>
        <w:jc w:val="both"/>
        <w:ind w:firstLine="656"/>
        <w:spacing w:after="0" w:line="256" w:lineRule="auto"/>
        <w:tabs>
          <w:tab w:leader="none" w:pos="12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Holder or the beneficial owner of the Notes (or a fiduciary, settlor, beneficiary, member or shareholder of, or possessor of a 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note, the exercise or enforcement of rights under any Note or this Indenture or any Guarantee or the receipt of any payment in respect of any Note or Guarantee;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17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sales, transfer, or similar Taxes;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Note for payment by or on behalf of a Holder of Notes who would have been able to avoid such withholding or deduction by presenting the relevant Note to another Paying Agent designated by the Issuer under this Indenture;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by or on behalf of the Issuer or any Guarantor under, or with respect to, the Notes or any Guarantee;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4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Notes to accurately comply with a reasonable request from an applicable 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relevant Tax Jurisdiction, but in each case, only to the extent the Holder or beneficial owner is legally eligible to comply with such requirements;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6" w:name="page87"/>
    <w:bookmarkEnd w:id="86"/>
    <w:p>
      <w:pPr>
        <w:jc w:val="both"/>
        <w:ind w:firstLine="656"/>
        <w:spacing w:after="0" w:line="256" w:lineRule="auto"/>
        <w:tabs>
          <w:tab w:leader="none" w:pos="12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Notes to comply with the requirements of Sections 1471 through 1474 of the Code, as of the Issue Date (or any amended or successor version that is substantively comparable and not materially more onerous to comply with) and any current or future regulations or official interpretations thereof, any agreements entered into pursuant to current 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the Issuer or any Guarantor to the Holder if such Holder is a fiduciary, partnership, limited liability company or Person other than the sole beneficial owner of such payment to the extent that such Taxes would not have been imposed had such beneficial owner been the Holder; or</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clauses (a) through (h) above.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Issuer will also pay and indemnify the Holder for any present or future stamp, court, documentary, intangible, recording, registration, filing or similar Taxes which are levied by any Tax Jurisdiction on the execution, delivery, issuance, or registration of any of the Notes, this Indenture, any Guarantee or any other document referred to therein, or the receipt of any payments with respect thereto, or the enforcement of any Note or Guarantee; provided solely in the case of any such Taxes imposed in respect of the receipt of any payment, that such Tax is not a Tax described in clauses (a) through (i) above other than clause (e).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Issuer or any Guarantor becomes aware that it will be obligated to pay Additional Amounts with respect to any payment under or with respect to the Notes or any Guarantee, the Issuer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the Issuer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The Issuer or the relevant Guarantor will provide the Trustee (with a copy to the Paying Agent) with documentation reasonably satisfactory to the Trustee evidencing the payment of Additional Amounts.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Issuer or the relevant Guarantor will make all withholdings and deductions (within the time period and in the minimum amount) required by law and will remit the full amount deducted or withheld to the relevant Tax authority in accordance with applicable law. The Issuer or the relevant Guarantor will use its reasonable efforts to obtain Tax receipts from each Tax authority evidencing the payment of any Taxes so deducted or withheld. Upon request, the Issuer or the relevant Guarantor will furnish to the Trustee (or to a Holder upon request), within 60 days after the date the payment of any Taxes so deducted or withheld is made, certified copies of Tax receipts evidencing payment by the Issuer or such Guarantor, as the case may be, or if, notwithstanding such entity’s efforts to obtain receipts, receipts are not obtained, other evidence of payments (reasonably satisfactory to the Trustee) by such entity.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in this Indenture or the Notes there is mentioned, in any context, the payment of amounts based upon the principal amount of such Notes or of principal, interest or of any other amount payable under, or with respect to, any of the Notes or any Guarantee, such mention shall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above obligations will survive any termination, defeasance or discharge of this Indenture and any transfer by a Holder or beneficial owner of its Notes, and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jurisdiction in which any successor Person to the Issuer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Consolidation, Merger or Sale of Assets.</w:t>
      </w:r>
    </w:p>
    <w:p>
      <w:pPr>
        <w:spacing w:after="0" w:line="227" w:lineRule="exact"/>
        <w:rPr>
          <w:sz w:val="20"/>
          <w:szCs w:val="20"/>
          <w:color w:val="auto"/>
        </w:rPr>
      </w:pPr>
    </w:p>
    <w:p>
      <w:pPr>
        <w:ind w:firstLine="656"/>
        <w:spacing w:after="0" w:line="266" w:lineRule="auto"/>
        <w:tabs>
          <w:tab w:leader="none" w:pos="14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its Subsidiaries taken as a whole, in one or more related transactions, to another Person, unless:</w:t>
      </w:r>
    </w:p>
    <w:p>
      <w:pPr>
        <w:spacing w:after="0" w:line="175" w:lineRule="exact"/>
        <w:rPr>
          <w:rFonts w:ascii="Times New Roman" w:cs="Times New Roman" w:eastAsia="Times New Roman" w:hAnsi="Times New Roman"/>
          <w:sz w:val="18"/>
          <w:szCs w:val="18"/>
          <w:color w:val="auto"/>
        </w:rPr>
      </w:pPr>
    </w:p>
    <w:p>
      <w:pPr>
        <w:ind w:left="820" w:right="40" w:firstLine="646"/>
        <w:spacing w:after="0" w:line="289" w:lineRule="auto"/>
        <w:tabs>
          <w:tab w:leader="none" w:pos="203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the Parent is the surviving Person; or (b) 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157" w:lineRule="exact"/>
        <w:rPr>
          <w:rFonts w:ascii="Times New Roman" w:cs="Times New Roman" w:eastAsia="Times New Roman" w:hAnsi="Times New Roman"/>
          <w:sz w:val="17"/>
          <w:szCs w:val="17"/>
          <w:color w:val="auto"/>
        </w:rPr>
      </w:pPr>
    </w:p>
    <w:p>
      <w:pPr>
        <w:jc w:val="both"/>
        <w:ind w:left="820" w:right="160" w:firstLine="646"/>
        <w:spacing w:after="0" w:line="266" w:lineRule="auto"/>
        <w:tabs>
          <w:tab w:leader="none" w:pos="203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the Parent) or the Person to which such sale, assignment, transfer, conveyance, lease or other disposition has been made assumes all the obligations of the Parent under the Note Guarantee and this Indenture;</w:t>
      </w:r>
    </w:p>
    <w:p>
      <w:pPr>
        <w:spacing w:after="0" w:line="17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225" w:lineRule="exact"/>
        <w:rPr>
          <w:rFonts w:ascii="Times New Roman" w:cs="Times New Roman" w:eastAsia="Times New Roman" w:hAnsi="Times New Roman"/>
          <w:sz w:val="18"/>
          <w:szCs w:val="18"/>
          <w:color w:val="auto"/>
        </w:rPr>
      </w:pPr>
    </w:p>
    <w:p>
      <w:pPr>
        <w:jc w:val="both"/>
        <w:ind w:left="820" w:firstLine="646"/>
        <w:spacing w:after="0" w:line="256" w:lineRule="auto"/>
        <w:tabs>
          <w:tab w:leader="none" w:pos="217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Notes that are secured, if applicable, to the extent any assets of the Person which is merged, consolidated or amalgamated with or into the Parent are assets of the type which would constitute collateral with respect to the Notes of any Series, the Parent or the surviving Person, as applicable, will take such action, if any, as may be reasonably necessary to cause such property and assets to be made subject to a Lien on the collateral with respect to the Notes of such Series in the manner and to the extent required by this Indenture or under the related security documents and shall take all reasonably necessary action so that such Lien is perfected to the extent required by the applicable security documents.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right="20" w:firstLine="656"/>
        <w:spacing w:after="0" w:line="282" w:lineRule="auto"/>
        <w:tabs>
          <w:tab w:leader="none" w:pos="139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Person shall become the owner of 100% of the Voting Stock of the Parent, such Person may, but is not obligated to, assume the performance of the Parent’s covenants and obligations under this Indenture as a Guarantor under the Notes (a “</w:t>
      </w:r>
      <w:r>
        <w:rPr>
          <w:rFonts w:ascii="Times New Roman" w:cs="Times New Roman" w:eastAsia="Times New Roman" w:hAnsi="Times New Roman"/>
          <w:sz w:val="18"/>
          <w:szCs w:val="18"/>
          <w:i w:val="1"/>
          <w:iCs w:val="1"/>
          <w:color w:val="auto"/>
        </w:rPr>
        <w:t>Voluntary Assumption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consolidate or merge with or into another Person (whether or not the Issuer is the surviving Person) unless:</w:t>
      </w:r>
    </w:p>
    <w:p>
      <w:pPr>
        <w:spacing w:after="0" w:line="225" w:lineRule="exact"/>
        <w:rPr>
          <w:rFonts w:ascii="Times New Roman" w:cs="Times New Roman" w:eastAsia="Times New Roman" w:hAnsi="Times New Roman"/>
          <w:sz w:val="18"/>
          <w:szCs w:val="18"/>
          <w:color w:val="auto"/>
        </w:rPr>
      </w:pPr>
    </w:p>
    <w:p>
      <w:pPr>
        <w:ind w:left="820" w:right="400" w:firstLine="646"/>
        <w:spacing w:after="0" w:line="261" w:lineRule="auto"/>
        <w:tabs>
          <w:tab w:leader="none" w:pos="203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Ireland or a country that is a member of the Organization of Economic Cooperation and Development (or any successor); and, if such Person is not a corporation, a co-obligor of the Notes is a corporation organized or existing under any such laws;</w:t>
      </w:r>
    </w:p>
    <w:p>
      <w:pPr>
        <w:spacing w:after="0" w:line="179" w:lineRule="exact"/>
        <w:rPr>
          <w:rFonts w:ascii="Times New Roman" w:cs="Times New Roman" w:eastAsia="Times New Roman" w:hAnsi="Times New Roman"/>
          <w:sz w:val="18"/>
          <w:szCs w:val="18"/>
          <w:color w:val="auto"/>
        </w:rPr>
      </w:pPr>
    </w:p>
    <w:p>
      <w:pPr>
        <w:jc w:val="both"/>
        <w:ind w:left="820" w:firstLine="646"/>
        <w:spacing w:after="0" w:line="266" w:lineRule="auto"/>
        <w:tabs>
          <w:tab w:leader="none" w:pos="206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w:t>
      </w:r>
    </w:p>
    <w:p>
      <w:pPr>
        <w:spacing w:after="0" w:line="17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225" w:lineRule="exact"/>
        <w:rPr>
          <w:rFonts w:ascii="Times New Roman" w:cs="Times New Roman" w:eastAsia="Times New Roman" w:hAnsi="Times New Roman"/>
          <w:sz w:val="18"/>
          <w:szCs w:val="18"/>
          <w:color w:val="auto"/>
        </w:rPr>
      </w:pPr>
    </w:p>
    <w:p>
      <w:pPr>
        <w:ind w:left="820" w:right="40" w:firstLine="646"/>
        <w:spacing w:after="0" w:line="256" w:lineRule="auto"/>
        <w:tabs>
          <w:tab w:leader="none" w:pos="203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Notes that are secured, if applicable, to the extent any assets of the Person which is merged, consolidated or amalgamated with or into the Issuer are assets of the type which would constitute collateral with respect to the Notes of any Series, the Issuer or the surviving Person, as applicable, will take such action, if any, as may be reasonably necessary to cause such property and assets to be made subject to a Lien on the collateral with respect to the Notes of such Series in the manner and to the extent required by this Indenture or under related security documents and shall take all reasonably necessary action so that such Lien is perfected to the extent required by the applicable security documents.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Section 5.01 will not apply to any sale, assignment, transfer, conveyance, lease or other disposition of assets that is between or among the Parent and its Subsidiaries. Section 5.01(a)(3) will not apply to any merger, amalgamation or consolidation of the Parent with or into one of its Subsidiaries for any purposes or with or into an affiliate solely for the purpose of reincorporating the Parent in another jurisdiction. Section 5.01(c) will not apply to any merger or consolidation of the Issuer (1) with or into one of the Parent’s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 Person is not a corporation, a co-obligor of the Notes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Successor Corporation Substituted.</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Upon any Voluntary Assumption, consolidation or merger, or any sale, assignment, transfer, lease, conveyance or other disposition of all or substantially all of the properties or assets of the Issuer in a transaction that is subject to, and that complies with the provisions of, Section 5.01 hereof, the Person undertaking a Voluntary Assumption or the successor Person formed by or surviving any such consolidation, amalgamation or merger (if other than the Parent or the Issuer) or the Person to which such sale, assignment, transfer, conveyance, lease or other disposition is made shall succeed to, and be substituted for, and may exercise every right and power of the Parent or the Issuer, as the case may be, under this Indenture and the Parent or the Issuer, except in the case of a lease, shall be released from the obligation to pay the principal of, premium on, if any, and interest on, the Notes.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i w:val="1"/>
          <w:iCs w:val="1"/>
          <w:color w:val="auto"/>
        </w:rPr>
        <w:t>Events of Default.</w:t>
      </w:r>
    </w:p>
    <w:p>
      <w:pPr>
        <w:spacing w:after="0" w:line="225"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in respect of the Notes of any Series, unless in the establishing Board Resolution, Officer’s Certificate or supplemental indenture, it is provided that such Series shall not have the benefit of such Event of Default:</w:t>
      </w:r>
    </w:p>
    <w:p>
      <w:pPr>
        <w:spacing w:after="0" w:line="160" w:lineRule="exact"/>
        <w:rPr>
          <w:sz w:val="20"/>
          <w:szCs w:val="20"/>
          <w:color w:val="auto"/>
        </w:rPr>
      </w:pPr>
    </w:p>
    <w:p>
      <w:pPr>
        <w:ind w:left="2120" w:hanging="654"/>
        <w:spacing w:after="0"/>
        <w:tabs>
          <w:tab w:leader="none" w:pos="2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 of any Series;</w:t>
      </w:r>
    </w:p>
    <w:p>
      <w:pPr>
        <w:spacing w:after="0" w:line="225" w:lineRule="exact"/>
        <w:rPr>
          <w:rFonts w:ascii="Times New Roman" w:cs="Times New Roman" w:eastAsia="Times New Roman" w:hAnsi="Times New Roman"/>
          <w:sz w:val="18"/>
          <w:szCs w:val="18"/>
          <w:color w:val="auto"/>
        </w:rPr>
      </w:pPr>
    </w:p>
    <w:p>
      <w:pPr>
        <w:ind w:left="820" w:right="240" w:firstLine="646"/>
        <w:spacing w:after="0" w:line="282" w:lineRule="auto"/>
        <w:tabs>
          <w:tab w:leader="none" w:pos="21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maturity, upon redemption or otherwise) of the principal of, or premium, if any, on the Notes of any Series;</w:t>
      </w:r>
    </w:p>
    <w:p>
      <w:pPr>
        <w:spacing w:after="0" w:line="161" w:lineRule="exact"/>
        <w:rPr>
          <w:rFonts w:ascii="Times New Roman" w:cs="Times New Roman" w:eastAsia="Times New Roman" w:hAnsi="Times New Roman"/>
          <w:sz w:val="18"/>
          <w:szCs w:val="18"/>
          <w:color w:val="auto"/>
        </w:rPr>
      </w:pPr>
    </w:p>
    <w:p>
      <w:pPr>
        <w:ind w:left="820" w:firstLine="646"/>
        <w:spacing w:after="0" w:line="261" w:lineRule="auto"/>
        <w:tabs>
          <w:tab w:leader="none" w:pos="21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the Guarantors to comply with any of the other agreements in this Indenture (other than a failure that is the subject of clause (1) or (2) above) for 90 days after receipt by the Parent of written notice of such failure from the Trustee (or receipt by the Parent and the Trustee of written notice of such failure from the Holders of at least 25% in aggregate then-outstanding principal amount of the Notes of such Series voting as a single class);</w:t>
      </w:r>
    </w:p>
    <w:p>
      <w:pPr>
        <w:spacing w:after="0" w:line="179"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the Issuer:</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insolvency proceeding,</w:t>
      </w:r>
    </w:p>
    <w:p>
      <w:pPr>
        <w:spacing w:after="0" w:line="225"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insolvency proceeding,</w:t>
      </w:r>
    </w:p>
    <w:p>
      <w:pPr>
        <w:spacing w:after="0" w:line="225"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Bankruptcy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and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90" w:name="page91"/>
    <w:bookmarkEnd w:id="90"/>
    <w:p>
      <w:pPr>
        <w:ind w:left="2120" w:hanging="654"/>
        <w:spacing w:after="0"/>
        <w:tabs>
          <w:tab w:leader="none" w:pos="2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Parent or the Issuer in an involuntary insolvency proceeding;</w:t>
      </w:r>
    </w:p>
    <w:p>
      <w:pPr>
        <w:spacing w:after="0" w:line="225"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Bankruptcy Custodian of the Parent or the Issuer for all or substantially all of the property of the Parent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Issuer; or</w:t>
      </w:r>
    </w:p>
    <w:p>
      <w:pPr>
        <w:spacing w:after="0" w:line="206"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Parent or the Issuer; and the order or decree remains unstayed and in effect for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 consecutive days; or</w:t>
      </w:r>
    </w:p>
    <w:p>
      <w:pPr>
        <w:spacing w:after="0" w:line="207" w:lineRule="exact"/>
        <w:rPr>
          <w:sz w:val="20"/>
          <w:szCs w:val="20"/>
          <w:color w:val="auto"/>
        </w:rPr>
      </w:pPr>
    </w:p>
    <w:p>
      <w:pPr>
        <w:ind w:left="2120" w:hanging="654"/>
        <w:spacing w:after="0"/>
        <w:tabs>
          <w:tab w:leader="none" w:pos="2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the Notes of that Series occurs.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 Default under one Series of Notes issued under this Indenture will not necessarily be a Default under another Series of Notes issued under this Indenture.</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there is a continuing Event of Default (other than an Event of Default specified in Sections 6.01(4) and 6.01(5) hereof with respect to the Parent or the Issuer) with respect to any Series of Notes, either the Trustee or the Holders of at least 25% of the outstanding principal amount of such Series of Notes affected thereby may declare the principal amount of all of the Notes of such Series to be due and payable immediately. However, at any time after the Trustee or the Holders, as the case may be, declare an acceleration with respect to any Series of Notes, but before the applicable person has obtained a judgment or decree based on such acceleration, the Holders of a majority in principal amount of the outstanding Notes of such Series may, under certain conditions, cancel such acceleration if the Parent has cured all Events of Default (other than the nonpayment of accelerated principal) with respect to the Notes of such Series or all such Events of Default have been waived as provided in this Indenture. If an Event of Default specified in Sections 6.01(4) and 6.01(5) hereof with respect to the Parent or the Issuer occurs, all outstanding Notes shall become due and payable without any further action or notice.</w:t>
      </w:r>
    </w:p>
    <w:p>
      <w:pPr>
        <w:spacing w:after="0" w:line="1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Other Remedies.</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of, premium on, if any, or interest on, such Series of Notes or to enforce the performance of any provision of the Notes of such Series or this Indenture.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of such Series or does not produce any of them in the proceeding. A delay or omission by the Trustee or any Holder of a Note of such Series in exercising any right or remedy accruing upon an Event of Default shall not impair the right or remedy or constitute a waiver of or acquiescence in the Event of Default. All remedies are cumulative to the extent permitted by law.</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1" w:name="page92"/>
    <w:bookmarkEnd w:id="91"/>
    <w:p>
      <w:pPr>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duties of the Trustee to act with the required standard of care, if there is a continuing Event of Default, the Trustee need not exercise any of its rights or powers under this Indenture at the written request or direction of any of the Holders of such Series of Notes, unless such Holders have offered to the Trustee security and/or indemnity satisfactory to the Trustee. Subject to such provisions for security and/or indemnification of the Trustee and certain other conditions, the Holders of a majority in principal amount of the outstanding Notes of such Series will have the right to direct the time, method and place of conducting any proceeding for any remedy available to the Trustee or exercising any trust or power the Trustee holds with respect to the Notes of such Series.</w:t>
      </w:r>
    </w:p>
    <w:p>
      <w:pPr>
        <w:spacing w:after="0" w:line="18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i w:val="1"/>
          <w:iCs w:val="1"/>
          <w:color w:val="auto"/>
        </w:rPr>
        <w:t>Waiver of Past Defaults.</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Holders of not less than a majority in aggregate principal amount of the then outstanding Notes of any Series by written notice to the Trustee may, on behalf of the Holders of all of the Notes of such Series, waive any existing Default or Event of Default and its consequences hereunder, except a continuing Default or Event of Default in the payment of principal of, premium on, if any, or interest on, the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aggregate principal amount of the then outstanding Notes of such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i w:val="1"/>
          <w:iCs w:val="1"/>
          <w:color w:val="auto"/>
        </w:rPr>
        <w:t>Control by Majority.</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of any Series may direct the time, method and place of conducting any proceeding for exercising any remedy available to the Trustee with respect to the Notes of such Series. However, the Trustee may refuse to follow any direction that conflicts with law or this Indenture or that the Trustee determines may be unduly prejudicial to the rights of other Holders of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obligation to determine whether any action or inaction is prejudicial to the rights of any Holder) or that may involve the Trustee in personal liability.</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Holder of any Note of any Series will have any right to institute any proceeding with respect to this Indenture or for any remedy unless:</w:t>
      </w:r>
    </w:p>
    <w:p>
      <w:pPr>
        <w:spacing w:after="0" w:line="225" w:lineRule="exact"/>
        <w:rPr>
          <w:sz w:val="20"/>
          <w:szCs w:val="20"/>
          <w:color w:val="auto"/>
        </w:rPr>
      </w:pPr>
    </w:p>
    <w:p>
      <w:pPr>
        <w:ind w:right="280" w:firstLine="656"/>
        <w:spacing w:after="0" w:line="282" w:lineRule="auto"/>
        <w:tabs>
          <w:tab w:leader="none" w:pos="14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such Notes;</w:t>
      </w:r>
    </w:p>
    <w:p>
      <w:pPr>
        <w:spacing w:after="0" w:line="161" w:lineRule="exact"/>
        <w:rPr>
          <w:rFonts w:ascii="Times New Roman" w:cs="Times New Roman" w:eastAsia="Times New Roman" w:hAnsi="Times New Roman"/>
          <w:sz w:val="18"/>
          <w:szCs w:val="18"/>
          <w:color w:val="auto"/>
        </w:rPr>
      </w:pPr>
    </w:p>
    <w:p>
      <w:pPr>
        <w:ind w:right="220" w:firstLine="656"/>
        <w:spacing w:after="0" w:line="282" w:lineRule="auto"/>
        <w:tabs>
          <w:tab w:leader="none" w:pos="144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then-outstanding Notes of the applicable Series have made a written request to the Trustee, and offered indemnity and/or security satisfactory to the Trustee, to institute such proceeding as Trustee; and</w:t>
      </w:r>
    </w:p>
    <w:p>
      <w:pPr>
        <w:spacing w:after="0" w:line="161" w:lineRule="exact"/>
        <w:rPr>
          <w:rFonts w:ascii="Times New Roman" w:cs="Times New Roman" w:eastAsia="Times New Roman" w:hAnsi="Times New Roman"/>
          <w:sz w:val="18"/>
          <w:szCs w:val="18"/>
          <w:color w:val="auto"/>
        </w:rPr>
      </w:pPr>
    </w:p>
    <w:p>
      <w:pPr>
        <w:ind w:right="420" w:firstLine="656"/>
        <w:spacing w:after="0" w:line="282" w:lineRule="auto"/>
        <w:tabs>
          <w:tab w:leader="none" w:pos="14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principal amount of the outstanding Notes of such Series a direction inconsistent with such request.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Rights of Holders of Notes to Receive Payment.</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Holder of any Note will have an absolute and unconditional right to institute suit for the enforcement of any payment of the principal of, and any premium on, if any, or interest on such Note, on or after the date or dates they are to be paid as expressed in such Note.</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i w:val="1"/>
          <w:iCs w:val="1"/>
          <w:color w:val="auto"/>
        </w:rPr>
        <w:t>Collection Suit by Trustee.</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in payment of principal, premium or interest specified in Section 6.01(1) or (2) hereof occurs and is continuing, the Trustee may recover judgment in its own name and as trustee of an express trust against the Issuer (or any other obligor on the Notes) for the whole amount of unpaid principal and accrued interest remaining unpaid.</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i w:val="1"/>
          <w:iCs w:val="1"/>
          <w:color w:val="auto"/>
        </w:rPr>
        <w:t>Trustee May File Proofs of Claim.</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compensation (as agreed in writing by the Issuer and the Trustee),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(as agreed in writing by the Issuer and the Trustee), expenses, disbursements and advances of the Trustee, its agents and counsel, and any other amounts due the Trustee under this Indenture. To the extent that the payment of any such compensation, expenses, disbursements and advances of the Trustee, its agents and counsel, and any other amounts due the Trustee under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3" w:name="page94"/>
    <w:bookmarkEnd w:id="93"/>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223" w:lineRule="exact"/>
        <w:rPr>
          <w:sz w:val="20"/>
          <w:szCs w:val="20"/>
          <w:color w:val="auto"/>
        </w:rPr>
      </w:pPr>
    </w:p>
    <w:p>
      <w:pPr>
        <w:ind w:left="660"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the Agents, and their respective agents and attorneys for amounts due under this Indenture, including payment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expenses and liabilities incurred (including attorney’s fees), and all advances made, by such parties and the costs and expenses of collection;</w:t>
      </w:r>
    </w:p>
    <w:p>
      <w:pPr>
        <w:spacing w:after="0" w:line="173" w:lineRule="exact"/>
        <w:rPr>
          <w:sz w:val="20"/>
          <w:szCs w:val="20"/>
          <w:color w:val="auto"/>
        </w:rPr>
      </w:pPr>
    </w:p>
    <w:p>
      <w:pPr>
        <w:jc w:val="both"/>
        <w:ind w:left="660"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Notes of such Series for amounts due and unpaid on the Notes of such Series for principal, premium, if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ratably, without preference or priority of any kind, according to the amounts due and payable on such Notes for principal, premium, if any, and interest, respectively;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Issuer or to such party as a court of competent jurisdiction shall direct.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6.10.</w:t>
      </w:r>
    </w:p>
    <w:p>
      <w:pPr>
        <w:spacing w:after="0" w:line="22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6.08 hereof, or a suit by Holders of more than 10% in aggregate principal amount of the then outstanding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7"/>
          <w:szCs w:val="17"/>
          <w:i w:val="1"/>
          <w:iCs w:val="1"/>
          <w:color w:val="auto"/>
        </w:rPr>
        <w:t>Restoration of Rights and Remedies.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Issuer,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i w:val="1"/>
          <w:iCs w:val="1"/>
          <w:color w:val="auto"/>
        </w:rPr>
        <w:t>Duties of Trustee.</w:t>
      </w:r>
    </w:p>
    <w:p>
      <w:pPr>
        <w:spacing w:after="0" w:line="227" w:lineRule="exact"/>
        <w:rPr>
          <w:sz w:val="20"/>
          <w:szCs w:val="20"/>
          <w:color w:val="auto"/>
        </w:rPr>
      </w:pPr>
    </w:p>
    <w:p>
      <w:pPr>
        <w:ind w:right="280" w:firstLine="656"/>
        <w:spacing w:after="0" w:line="266" w:lineRule="auto"/>
        <w:tabs>
          <w:tab w:leader="none" w:pos="14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with respect to any Series of Notes, the Trustee will exercise such of the rights and powers expressly vested in it by this Indenture with respect to such Series of Notes, and use the same degree of care and skill in its exercise, as a prudent person would exercise or use under the circumstances in the conduct of such person’s own affairs.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4" w:name="page95"/>
    <w:bookmarkEnd w:id="94"/>
    <w:p>
      <w:pPr>
        <w:ind w:left="1420" w:hanging="804"/>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the Notes of any Series:</w:t>
      </w:r>
    </w:p>
    <w:p>
      <w:pPr>
        <w:spacing w:after="0" w:line="225" w:lineRule="exact"/>
        <w:rPr>
          <w:rFonts w:ascii="Times New Roman" w:cs="Times New Roman" w:eastAsia="Times New Roman" w:hAnsi="Times New Roman"/>
          <w:sz w:val="18"/>
          <w:szCs w:val="18"/>
          <w:color w:val="auto"/>
        </w:rPr>
      </w:pPr>
    </w:p>
    <w:p>
      <w:pPr>
        <w:ind w:left="780" w:right="100" w:firstLine="646"/>
        <w:spacing w:after="0" w:line="289" w:lineRule="auto"/>
        <w:tabs>
          <w:tab w:leader="none" w:pos="1998"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duties of the Trustee will be determined solely by the express provisions of this Indenture with respect to such Series of Notes and the Trustee need perform only those duties that are specifically set forth in this Indenture with respect to such Series of Notes and no others, and no implied covenants or obligations shall be read into this Indenture with respect to such Series of Notes against the Trustee; and</w:t>
      </w:r>
    </w:p>
    <w:p>
      <w:pPr>
        <w:spacing w:after="0" w:line="157" w:lineRule="exact"/>
        <w:rPr>
          <w:rFonts w:ascii="Times New Roman" w:cs="Times New Roman" w:eastAsia="Times New Roman" w:hAnsi="Times New Roman"/>
          <w:sz w:val="17"/>
          <w:szCs w:val="17"/>
          <w:color w:val="auto"/>
        </w:rPr>
      </w:pPr>
    </w:p>
    <w:p>
      <w:pPr>
        <w:jc w:val="both"/>
        <w:ind w:left="780" w:right="60" w:firstLine="646"/>
        <w:spacing w:after="0" w:line="258" w:lineRule="auto"/>
        <w:tabs>
          <w:tab w:leader="none" w:pos="19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willful misconduct or bad faith on its part, the Trustee may conclusively rely, as to the truth of the statements and the correctness of the opinions expressed therein, upon certificates or opinions furnished to the Trustee and conforming to the requirements of this Indenture with respect to such Series of Notes. However, the Trustee will examine the certificates and opinions to determine whether or not they conform to the requirements of this Indenture with respect to such Series of Notes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40" w:right="100" w:firstLine="656"/>
        <w:spacing w:after="0" w:line="282" w:lineRule="auto"/>
        <w:tabs>
          <w:tab w:leader="none" w:pos="1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2000" w:hanging="574"/>
        <w:spacing w:after="0"/>
        <w:tabs>
          <w:tab w:leader="none" w:pos="20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225" w:lineRule="exact"/>
        <w:rPr>
          <w:rFonts w:ascii="Times New Roman" w:cs="Times New Roman" w:eastAsia="Times New Roman" w:hAnsi="Times New Roman"/>
          <w:sz w:val="18"/>
          <w:szCs w:val="18"/>
          <w:color w:val="auto"/>
        </w:rPr>
      </w:pPr>
    </w:p>
    <w:p>
      <w:pPr>
        <w:ind w:left="780" w:firstLine="646"/>
        <w:spacing w:after="0" w:line="282" w:lineRule="auto"/>
        <w:tabs>
          <w:tab w:leader="none" w:pos="19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780" w:right="320" w:firstLine="646"/>
        <w:spacing w:after="0" w:line="282" w:lineRule="auto"/>
        <w:tabs>
          <w:tab w:leader="none" w:pos="19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 received by it under this Indenture.</w:t>
      </w:r>
    </w:p>
    <w:p>
      <w:pPr>
        <w:spacing w:after="0" w:line="161" w:lineRule="exact"/>
        <w:rPr>
          <w:rFonts w:ascii="Times New Roman" w:cs="Times New Roman" w:eastAsia="Times New Roman" w:hAnsi="Times New Roman"/>
          <w:sz w:val="18"/>
          <w:szCs w:val="18"/>
          <w:color w:val="auto"/>
        </w:rPr>
      </w:pPr>
    </w:p>
    <w:p>
      <w:pPr>
        <w:ind w:left="-40" w:right="480" w:firstLine="656"/>
        <w:spacing w:after="0" w:line="282" w:lineRule="auto"/>
        <w:tabs>
          <w:tab w:leader="none" w:pos="140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and (c) of this Section 7.01.</w:t>
      </w:r>
    </w:p>
    <w:p>
      <w:pPr>
        <w:spacing w:after="0" w:line="161" w:lineRule="exact"/>
        <w:rPr>
          <w:rFonts w:ascii="Times New Roman" w:cs="Times New Roman" w:eastAsia="Times New Roman" w:hAnsi="Times New Roman"/>
          <w:sz w:val="18"/>
          <w:szCs w:val="18"/>
          <w:color w:val="auto"/>
        </w:rPr>
      </w:pPr>
    </w:p>
    <w:p>
      <w:pPr>
        <w:ind w:left="-40" w:right="160" w:firstLine="656"/>
        <w:spacing w:after="0" w:line="266" w:lineRule="auto"/>
        <w:tabs>
          <w:tab w:leader="none" w:pos="13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satisfactory to it against any loss, liability or expense.</w:t>
      </w:r>
    </w:p>
    <w:p>
      <w:pPr>
        <w:spacing w:after="0" w:line="175" w:lineRule="exact"/>
        <w:rPr>
          <w:rFonts w:ascii="Times New Roman" w:cs="Times New Roman" w:eastAsia="Times New Roman" w:hAnsi="Times New Roman"/>
          <w:sz w:val="18"/>
          <w:szCs w:val="18"/>
          <w:color w:val="auto"/>
        </w:rPr>
      </w:pPr>
    </w:p>
    <w:p>
      <w:pPr>
        <w:ind w:left="-40" w:right="480" w:firstLine="656"/>
        <w:spacing w:after="0" w:line="282" w:lineRule="auto"/>
        <w:tabs>
          <w:tab w:leader="none" w:pos="141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95" w:name="page96"/>
    <w:bookmarkEnd w:id="95"/>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Rights of Trustee.</w:t>
      </w:r>
    </w:p>
    <w:p>
      <w:pPr>
        <w:spacing w:after="0" w:line="227" w:lineRule="exact"/>
        <w:rPr>
          <w:sz w:val="20"/>
          <w:szCs w:val="20"/>
          <w:color w:val="auto"/>
        </w:rPr>
      </w:pPr>
    </w:p>
    <w:p>
      <w:pPr>
        <w:ind w:left="-40" w:right="80" w:firstLine="656"/>
        <w:spacing w:after="0" w:line="282" w:lineRule="auto"/>
        <w:tabs>
          <w:tab w:leader="none" w:pos="13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ind w:left="-40" w:right="260" w:firstLine="656"/>
        <w:spacing w:after="0" w:line="261" w:lineRule="auto"/>
        <w:tabs>
          <w:tab w:leader="none" w:pos="14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left="-40" w:right="640" w:firstLine="656"/>
        <w:spacing w:after="0" w:line="282" w:lineRule="auto"/>
        <w:tabs>
          <w:tab w:leader="none" w:pos="13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w:t>
      </w:r>
    </w:p>
    <w:p>
      <w:pPr>
        <w:spacing w:after="0" w:line="161" w:lineRule="exact"/>
        <w:rPr>
          <w:rFonts w:ascii="Times New Roman" w:cs="Times New Roman" w:eastAsia="Times New Roman" w:hAnsi="Times New Roman"/>
          <w:sz w:val="18"/>
          <w:szCs w:val="18"/>
          <w:color w:val="auto"/>
        </w:rPr>
      </w:pPr>
    </w:p>
    <w:p>
      <w:pPr>
        <w:ind w:left="-40" w:firstLine="656"/>
        <w:spacing w:after="0" w:line="282" w:lineRule="auto"/>
        <w:tabs>
          <w:tab w:leader="none" w:pos="14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40" w:right="220" w:firstLine="656"/>
        <w:spacing w:after="0" w:line="282" w:lineRule="auto"/>
        <w:tabs>
          <w:tab w:leader="none" w:pos="13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will be sufficient if signed by an Officer of the Issuer.</w:t>
      </w:r>
    </w:p>
    <w:p>
      <w:pPr>
        <w:spacing w:after="0" w:line="161" w:lineRule="exact"/>
        <w:rPr>
          <w:rFonts w:ascii="Times New Roman" w:cs="Times New Roman" w:eastAsia="Times New Roman" w:hAnsi="Times New Roman"/>
          <w:sz w:val="18"/>
          <w:szCs w:val="18"/>
          <w:color w:val="auto"/>
        </w:rPr>
      </w:pPr>
    </w:p>
    <w:p>
      <w:pPr>
        <w:ind w:left="-40" w:right="300" w:firstLine="656"/>
        <w:spacing w:after="0" w:line="282" w:lineRule="auto"/>
        <w:tabs>
          <w:tab w:leader="none" w:pos="14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under this Indenture at the request of any Holders of Notes unless such Holders have offered to the Trustee indemnity and/or security satisfactory to it against any losses, liabilities or expenses.</w:t>
      </w:r>
    </w:p>
    <w:p>
      <w:pPr>
        <w:spacing w:after="0" w:line="161" w:lineRule="exact"/>
        <w:rPr>
          <w:rFonts w:ascii="Times New Roman" w:cs="Times New Roman" w:eastAsia="Times New Roman" w:hAnsi="Times New Roman"/>
          <w:sz w:val="18"/>
          <w:szCs w:val="18"/>
          <w:color w:val="auto"/>
        </w:rPr>
      </w:pPr>
    </w:p>
    <w:p>
      <w:pPr>
        <w:ind w:left="-40" w:right="160" w:firstLine="656"/>
        <w:spacing w:after="0" w:line="266" w:lineRule="auto"/>
        <w:tabs>
          <w:tab w:leader="none" w:pos="14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left="-40" w:right="60" w:firstLine="656"/>
        <w:spacing w:after="0" w:line="266" w:lineRule="auto"/>
        <w:tabs>
          <w:tab w:leader="none" w:pos="14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175" w:lineRule="exact"/>
        <w:rPr>
          <w:rFonts w:ascii="Times New Roman" w:cs="Times New Roman" w:eastAsia="Times New Roman" w:hAnsi="Times New Roman"/>
          <w:sz w:val="18"/>
          <w:szCs w:val="18"/>
          <w:color w:val="auto"/>
        </w:rPr>
      </w:pPr>
    </w:p>
    <w:p>
      <w:pPr>
        <w:ind w:left="-40" w:right="100" w:firstLine="656"/>
        <w:spacing w:after="0" w:line="282" w:lineRule="auto"/>
        <w:tabs>
          <w:tab w:leader="none" w:pos="14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 certificate setting forth the names of individuals and/or titles of officers authorized at such time to take specified actions pursuant to this Indenture.</w:t>
      </w:r>
    </w:p>
    <w:p>
      <w:pPr>
        <w:spacing w:after="0" w:line="161" w:lineRule="exact"/>
        <w:rPr>
          <w:rFonts w:ascii="Times New Roman" w:cs="Times New Roman" w:eastAsia="Times New Roman" w:hAnsi="Times New Roman"/>
          <w:sz w:val="18"/>
          <w:szCs w:val="18"/>
          <w:color w:val="auto"/>
        </w:rPr>
      </w:pPr>
    </w:p>
    <w:p>
      <w:pPr>
        <w:ind w:left="-40" w:right="100" w:firstLine="656"/>
        <w:spacing w:after="0" w:line="266" w:lineRule="auto"/>
        <w:tabs>
          <w:tab w:leader="none" w:pos="14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 each Agent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1420" w:hanging="804"/>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5" w:right="359" w:bottom="1440" w:gutter="0" w:footer="0" w:header="0"/>
        </w:sectPr>
      </w:pPr>
    </w:p>
    <w:bookmarkStart w:id="96" w:name="page97"/>
    <w:bookmarkEnd w:id="96"/>
    <w:p>
      <w:pPr>
        <w:ind w:left="1460" w:hanging="804"/>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207" w:lineRule="exact"/>
        <w:rPr>
          <w:sz w:val="20"/>
          <w:szCs w:val="20"/>
          <w:color w:val="auto"/>
        </w:rPr>
      </w:pPr>
    </w:p>
    <w:p>
      <w:pPr>
        <w:jc w:val="both"/>
        <w:ind w:firstLine="656"/>
        <w:spacing w:after="0" w:line="258" w:lineRule="auto"/>
        <w:tabs>
          <w:tab w:leader="none" w:pos="14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contained, the Trustee may refrain without liability from doing anything that would in its opinion be contrary to any law of any state or jurisdiction (including but not limited to the State of New York, the European Union, the United States of America or, in each case, any jurisdiction forming a part of it, and England and Wales) or any directive or regulation of any agency of any such state or jurisdiction and may without liability do anything which is, in its opinion, necessary to comply with any such law, directive or regulation.</w:t>
      </w:r>
    </w:p>
    <w:p>
      <w:pPr>
        <w:spacing w:after="0" w:line="17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i w:val="1"/>
          <w:iCs w:val="1"/>
          <w:color w:val="auto"/>
        </w:rPr>
        <w:t>Individual Rights of Trustee.</w:t>
      </w:r>
    </w:p>
    <w:p>
      <w:pPr>
        <w:spacing w:after="0" w:line="227"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Trustee in its individual or any other capacity may become the owner or pledgee of Notes and may otherwise deal with the Issuer or any Affiliate of the Issuer with the same rights it would have if it were not Trustee. If the Trustee becomes a creditor of the Issuer or any Guarantor, this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of the date such conflict arises, apply to the SEC for permission to continue as trustee (if this Indenture has been qualified under the Trust Indenture Act) or resign. Any Agent may do the same with like rights and duties. The Trustee is also subject to Sections 7.10 and 7.11 hereof.</w:t>
      </w:r>
    </w:p>
    <w:p>
      <w:pPr>
        <w:spacing w:after="0" w:line="17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i w:val="1"/>
          <w:iCs w:val="1"/>
          <w:color w:val="auto"/>
        </w:rPr>
        <w:t>Trustee’s Disclaimer.</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Trustee does not assume any responsibility for any failure or delay in performance or any breach by the Issuer or any Guarantor under this Indenture. The Trustee shall not be responsible to the Holders or any other Person for any recitals, statements, information, representations or warranties contained in this Indenture or in any certificate, report, statement, or other document referred to or provided for in, or received by the Trustee under or in connection with this Indenture;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i w:val="1"/>
          <w:iCs w:val="1"/>
          <w:color w:val="auto"/>
        </w:rPr>
        <w:t>Notice of Defaults.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Notes of any Series and if the Trustee has received written notice of such Default or Event of Default at the Corporate Trust Office of the Trustee and such notice references the Notes, the Issuer and the Indenture, the Trustee will deliver to Holders of Notes of that Series a notice of the Default or Event of Default within 90 days after it occurs. Except in the case of a Default or Event of Default in payment of principal of, premium on, if any, or interest, on, any Note of any Series, the Trustee may withhold the notice if and so long as it in good faith determines that withholding the notice is in the interests of the Holders of that Series.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7"/>
          <w:szCs w:val="17"/>
          <w:i w:val="1"/>
          <w:iCs w:val="1"/>
          <w:color w:val="auto"/>
        </w:rPr>
        <w:t>Reports by Trustee to Holders of the Notes.</w:t>
      </w:r>
    </w:p>
    <w:p>
      <w:pPr>
        <w:spacing w:after="0" w:line="227" w:lineRule="exact"/>
        <w:rPr>
          <w:sz w:val="20"/>
          <w:szCs w:val="20"/>
          <w:color w:val="auto"/>
        </w:rPr>
      </w:pPr>
    </w:p>
    <w:p>
      <w:pPr>
        <w:ind w:right="80" w:firstLine="656"/>
        <w:spacing w:after="0" w:line="282" w:lineRule="auto"/>
        <w:tabs>
          <w:tab w:leader="none" w:pos="89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March 9 in each year, the Trustee will send to all Holders, as their names and addresses appear on the register kept by the Registrar, a brief report dated as of such anniversary date, in accordance with, and to the extent required under, Trust Indenture Act § 313(a).</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report at the time of its being sent to Holders of Notes of any Series will be sent by the Trustee to the Issuer and filed by the Trustee with the SEC and each stock exchange on which the Notes of that Series are listed in accordance with Trust Indenture Act § 313(d). The Issuer will promptly notify the Trustee when Notes of any Series are listed on any stock exchange.</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7"/>
          <w:szCs w:val="17"/>
          <w:i w:val="1"/>
          <w:iCs w:val="1"/>
          <w:color w:val="auto"/>
        </w:rPr>
        <w:t>Compensation and Indemnity.</w:t>
      </w:r>
    </w:p>
    <w:p>
      <w:pPr>
        <w:spacing w:after="0" w:line="227" w:lineRule="exact"/>
        <w:rPr>
          <w:sz w:val="20"/>
          <w:szCs w:val="20"/>
          <w:color w:val="auto"/>
        </w:rPr>
      </w:pPr>
    </w:p>
    <w:p>
      <w:pPr>
        <w:ind w:right="120" w:firstLine="656"/>
        <w:spacing w:after="0" w:line="258" w:lineRule="auto"/>
        <w:tabs>
          <w:tab w:leader="none" w:pos="14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Guarantor, jointly and severally, will pay to the Trustee from time to time compensation, as agreed in writing between the Issuer and the Trustee, for its acceptance of this Indenture and services hereunder.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compensation, as agreed in writing by the Issuer and the Trustee, and reasonable compensation, disbursements and expenses of the Trustee’s agents and counsel.</w:t>
      </w:r>
    </w:p>
    <w:p>
      <w:pPr>
        <w:spacing w:after="0" w:line="183" w:lineRule="exact"/>
        <w:rPr>
          <w:rFonts w:ascii="Times New Roman" w:cs="Times New Roman" w:eastAsia="Times New Roman" w:hAnsi="Times New Roman"/>
          <w:sz w:val="18"/>
          <w:szCs w:val="18"/>
          <w:color w:val="auto"/>
        </w:rPr>
      </w:pPr>
    </w:p>
    <w:p>
      <w:pPr>
        <w:ind w:firstLine="656"/>
        <w:spacing w:after="0" w:line="253" w:lineRule="auto"/>
        <w:tabs>
          <w:tab w:leader="none" w:pos="144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will, jointly and severally, indemnify and hold harmless the Trustee (which for purposes of this Section 7.07 shall include its officers, directors, employees and agents) against any and all losses, claims, damages, expenses, fees, liabilities or expenses incurred by it arising out of or in connection with the acceptance or administration of its duties under this Indenture, including the costs and expenses (including attorney’s fees and expenses)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98" w:name="page99"/>
    <w:bookmarkEnd w:id="98"/>
    <w:p>
      <w:pPr>
        <w:ind w:left="-20" w:right="120" w:firstLine="656"/>
        <w:spacing w:after="0" w:line="282" w:lineRule="auto"/>
        <w:tabs>
          <w:tab w:leader="none" w:pos="14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Issuer and the Guarantors under this Section 7.07 will survive the satisfaction and discharge of this Indenture as to any Series of Notes and the resignation, removal or replacement of the Trustee or any Agent, as applicable.</w:t>
      </w:r>
    </w:p>
    <w:p>
      <w:pPr>
        <w:spacing w:after="0" w:line="161" w:lineRule="exact"/>
        <w:rPr>
          <w:rFonts w:ascii="Times New Roman" w:cs="Times New Roman" w:eastAsia="Times New Roman" w:hAnsi="Times New Roman"/>
          <w:sz w:val="18"/>
          <w:szCs w:val="18"/>
          <w:color w:val="auto"/>
        </w:rPr>
      </w:pPr>
    </w:p>
    <w:p>
      <w:pPr>
        <w:ind w:left="-20" w:right="20" w:firstLine="656"/>
        <w:spacing w:after="0" w:line="261" w:lineRule="auto"/>
        <w:tabs>
          <w:tab w:leader="none" w:pos="14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Issuer’s and the Guarantors’ payment obligations in this Section 7.07, the Trustee will have a Lien prior to the Notes of any Series on all money or property held or collected by the Trustee, except that held in trust to pay principal of, premium on, if any, or interest on, particular Notes of that Series. Such Lien will survive the satisfaction and discharge of this Indenture as to any Series of Notes and the earlier resignation or removal of the Trustee.</w:t>
      </w:r>
    </w:p>
    <w:p>
      <w:pPr>
        <w:spacing w:after="0" w:line="179"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14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6.01(6) hereof occurs, the expenses and the compensation for the services (including the fees and expenses of its agents and counsel) are intended to constitute expenses of administration under any Bankruptcy Law.</w:t>
      </w:r>
    </w:p>
    <w:p>
      <w:pPr>
        <w:spacing w:after="0" w:line="175" w:lineRule="exact"/>
        <w:rPr>
          <w:rFonts w:ascii="Times New Roman" w:cs="Times New Roman" w:eastAsia="Times New Roman" w:hAnsi="Times New Roman"/>
          <w:sz w:val="18"/>
          <w:szCs w:val="18"/>
          <w:color w:val="auto"/>
        </w:rPr>
      </w:pPr>
    </w:p>
    <w:p>
      <w:pPr>
        <w:ind w:left="1440" w:hanging="804"/>
        <w:spacing w:after="0"/>
        <w:tabs>
          <w:tab w:leader="none" w:pos="1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comply with the provisions of Trust Indenture Act § 313(b)(2) to the extent applicable.</w:t>
      </w:r>
    </w:p>
    <w:p>
      <w:pPr>
        <w:spacing w:after="0" w:line="225" w:lineRule="exact"/>
        <w:rPr>
          <w:rFonts w:ascii="Times New Roman" w:cs="Times New Roman" w:eastAsia="Times New Roman" w:hAnsi="Times New Roman"/>
          <w:sz w:val="18"/>
          <w:szCs w:val="18"/>
          <w:color w:val="auto"/>
        </w:rPr>
      </w:pPr>
    </w:p>
    <w:p>
      <w:pPr>
        <w:ind w:left="-20" w:right="40" w:firstLine="656"/>
        <w:spacing w:after="0" w:line="282" w:lineRule="auto"/>
        <w:tabs>
          <w:tab w:leader="none" w:pos="14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or responsibility for any action or inaction on the part of any Paying Agent, transfer agent, Registrar, authenticating agent, Custodian (aside from the Trustee acting in such capacities and subject to the terms hereof).</w:t>
      </w:r>
    </w:p>
    <w:p>
      <w:pPr>
        <w:spacing w:after="0" w:line="160"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i w:val="1"/>
          <w:iCs w:val="1"/>
          <w:color w:val="auto"/>
        </w:rPr>
        <w:t>Replacement of Trustee.</w:t>
      </w:r>
    </w:p>
    <w:p>
      <w:pPr>
        <w:spacing w:after="0" w:line="227" w:lineRule="exact"/>
        <w:rPr>
          <w:sz w:val="20"/>
          <w:szCs w:val="20"/>
          <w:color w:val="auto"/>
        </w:rPr>
      </w:pPr>
    </w:p>
    <w:p>
      <w:pPr>
        <w:ind w:left="-20" w:firstLine="656"/>
        <w:spacing w:after="0" w:line="282" w:lineRule="auto"/>
        <w:tabs>
          <w:tab w:leader="none" w:pos="14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161" w:lineRule="exact"/>
        <w:rPr>
          <w:rFonts w:ascii="Times New Roman" w:cs="Times New Roman" w:eastAsia="Times New Roman" w:hAnsi="Times New Roman"/>
          <w:sz w:val="18"/>
          <w:szCs w:val="18"/>
          <w:color w:val="auto"/>
        </w:rPr>
      </w:pPr>
    </w:p>
    <w:p>
      <w:pPr>
        <w:ind w:left="-20" w:right="60" w:firstLine="656"/>
        <w:spacing w:after="0" w:line="261" w:lineRule="auto"/>
        <w:tabs>
          <w:tab w:leader="none" w:pos="14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with respect to the Notes of one or more Series in writing at any time and be discharged from the trust hereby created by so notifying the Issuer at least 30 days prior to the effective date of such resignation. The Holders of a majority in aggregate principal amount of the then outstanding Notes of any Series may remove the Trustee by so notifying the Trustee and the Issuer in writing. The Issuer may remove the Trustee with respect to the Notes of one or more Series if:</w:t>
      </w:r>
    </w:p>
    <w:p>
      <w:pPr>
        <w:spacing w:after="0" w:line="179" w:lineRule="exact"/>
        <w:rPr>
          <w:rFonts w:ascii="Times New Roman" w:cs="Times New Roman" w:eastAsia="Times New Roman" w:hAnsi="Times New Roman"/>
          <w:sz w:val="18"/>
          <w:szCs w:val="18"/>
          <w:color w:val="auto"/>
        </w:rPr>
      </w:pPr>
    </w:p>
    <w:p>
      <w:pPr>
        <w:ind w:left="2020" w:hanging="574"/>
        <w:spacing w:after="0"/>
        <w:tabs>
          <w:tab w:leader="none" w:pos="2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hereof;</w:t>
      </w:r>
    </w:p>
    <w:p>
      <w:pPr>
        <w:spacing w:after="0" w:line="225" w:lineRule="exact"/>
        <w:rPr>
          <w:rFonts w:ascii="Times New Roman" w:cs="Times New Roman" w:eastAsia="Times New Roman" w:hAnsi="Times New Roman"/>
          <w:sz w:val="18"/>
          <w:szCs w:val="18"/>
          <w:color w:val="auto"/>
        </w:rPr>
      </w:pPr>
    </w:p>
    <w:p>
      <w:pPr>
        <w:ind w:left="800" w:right="660" w:firstLine="646"/>
        <w:spacing w:after="0" w:line="282" w:lineRule="auto"/>
        <w:tabs>
          <w:tab w:leader="none" w:pos="20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161" w:lineRule="exact"/>
        <w:rPr>
          <w:rFonts w:ascii="Times New Roman" w:cs="Times New Roman" w:eastAsia="Times New Roman" w:hAnsi="Times New Roman"/>
          <w:sz w:val="18"/>
          <w:szCs w:val="18"/>
          <w:color w:val="auto"/>
        </w:rPr>
      </w:pPr>
    </w:p>
    <w:p>
      <w:pPr>
        <w:ind w:left="2020" w:hanging="574"/>
        <w:spacing w:after="0"/>
        <w:tabs>
          <w:tab w:leader="none" w:pos="2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2020" w:hanging="574"/>
        <w:spacing w:after="0"/>
        <w:tabs>
          <w:tab w:leader="none" w:pos="2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99" w:name="page100"/>
    <w:bookmarkEnd w:id="99"/>
    <w:p>
      <w:pPr>
        <w:ind w:right="80" w:firstLine="656"/>
        <w:spacing w:after="0" w:line="261" w:lineRule="auto"/>
        <w:tabs>
          <w:tab w:leader="none" w:pos="14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with respect to the Notes of one or more Series, the Issuer will promptly appoint a successor Trustee with respect to the Notes of that Series. Within one year after the successor Trustee takes office, the Holders of a majority in aggregate principal amount of the then outstanding Notes of such Series may appoint a successor Trustee to replace the successor Trustee appointed by the Issuer.</w:t>
      </w:r>
    </w:p>
    <w:p>
      <w:pPr>
        <w:spacing w:after="0" w:line="179" w:lineRule="exact"/>
        <w:rPr>
          <w:rFonts w:ascii="Times New Roman" w:cs="Times New Roman" w:eastAsia="Times New Roman" w:hAnsi="Times New Roman"/>
          <w:sz w:val="18"/>
          <w:szCs w:val="18"/>
          <w:color w:val="auto"/>
        </w:rPr>
      </w:pPr>
    </w:p>
    <w:p>
      <w:pPr>
        <w:ind w:right="120" w:firstLine="656"/>
        <w:spacing w:after="0" w:line="266" w:lineRule="auto"/>
        <w:tabs>
          <w:tab w:leader="none" w:pos="144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with respect to the Notes of any one or more Series does not take office within 60 days after the retiring Trustee resigns or is removed, the retiring Trustee, the Issuer, or the Holders of at least 10% in aggregate principal amount of the then outstanding Notes of such Series may petition, at the expense of the Issuer,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right="400" w:firstLine="656"/>
        <w:spacing w:after="0" w:line="282" w:lineRule="auto"/>
        <w:tabs>
          <w:tab w:leader="none" w:pos="14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161" w:lineRule="exact"/>
        <w:rPr>
          <w:rFonts w:ascii="Times New Roman" w:cs="Times New Roman" w:eastAsia="Times New Roman" w:hAnsi="Times New Roman"/>
          <w:sz w:val="18"/>
          <w:szCs w:val="18"/>
          <w:color w:val="auto"/>
        </w:rPr>
      </w:pPr>
    </w:p>
    <w:p>
      <w:pPr>
        <w:ind w:firstLine="656"/>
        <w:spacing w:after="0" w:line="255" w:lineRule="auto"/>
        <w:tabs>
          <w:tab w:leader="none" w:pos="14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with respect to each Series of Notes for which it is acting as Trustee under this Indenture. The successor Trustee will deliver a notice of its succession to each Holder of each Series.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all sums owing to the Trustee hereunder have been paid and subject to the Lien provided for in Section 7.07 hereof. Notwithstanding replacement of the Trustee pursuant to this Section 7.08, the Issuer’s obligations under Section 7.07 hereof will continue for the benefit of the retiring Trustee. The Trustee shall have no responsibility for any action or inaction of any successor Trustee.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i w:val="1"/>
          <w:iCs w:val="1"/>
          <w:color w:val="auto"/>
        </w:rPr>
        <w:t>Successor Trustee by Merger, etc.</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i w:val="1"/>
          <w:iCs w:val="1"/>
          <w:color w:val="auto"/>
        </w:rPr>
        <w:t>Eligibility; Disqualification.</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This Indenture will always have a Trustee who satisfies the requirements of Trust Indenture Act § 310(a)(1), (2) and (5). The Trustee is subject to Trust Indenture Act § 310(b).</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0" w:name="page101"/>
    <w:bookmarkEnd w:id="100"/>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i w:val="1"/>
          <w:iCs w:val="1"/>
          <w:color w:val="auto"/>
        </w:rPr>
        <w:t>Preferential Collection of Claims Against Issuer.</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Trustee is subject to Trust Indenture Act § 311(a), excluding any creditor relationship listed in Trust Indenture Act § 311(b). A Trustee who has resigned or been removed shall be subject to Trust Indenture Act § 311(a) to the extent indicated therein.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 may at any time elect to have either Section 8.02 or 8.03 hereof be applied to all outstanding Notes of any Series upon compliance with the conditions set forth below in this Article 8.</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Legal Defeasance and Discharge.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hereof of the option applicable to this Section 8.02, the Issuer and each of the Guarantors will, with respect to Notes of any Series, subject to the satisfaction of the conditions set forth in Section 8.04 hereof, be deemed to have been discharged from their obligations with respect to this Indenture and all outstanding Notes of such Series (including the Note Guarantees and, if applicable, the Liens securing such Notes and/or Note Guarantees)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Issuer and the Guarantors will be deemed to have paid and discharged the entire indebtedness represented by such outstanding Notes of such Series (including the Note Guarantees), which will thereafter be deemed to be “outstanding” only for the purposes of Section 8.05 hereof and the other Sections of this Indenture referred to in clauses (a) and (b) below, and to have satisfied all their other obligations under such Notes, the Note Guarantees and this Indenture (and the Trustee, on written demand of and at the expense of the Issuer, shall execute proper instruments acknowledging the same), except for the following provisions which will survive until otherwise terminated or discharged hereunder:</w:t>
      </w:r>
    </w:p>
    <w:p>
      <w:pPr>
        <w:spacing w:after="0" w:line="188" w:lineRule="exact"/>
        <w:rPr>
          <w:sz w:val="20"/>
          <w:szCs w:val="20"/>
          <w:color w:val="auto"/>
        </w:rPr>
      </w:pPr>
    </w:p>
    <w:p>
      <w:pPr>
        <w:ind w:right="440" w:firstLine="656"/>
        <w:spacing w:after="0" w:line="282" w:lineRule="auto"/>
        <w:tabs>
          <w:tab w:leader="none" w:pos="143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of such Series to receive payments in respect of the principal of, premium on, if any, or interest on, such Notes when such payments are due from the trust referred to in Section 8.04 hereof;</w:t>
      </w:r>
    </w:p>
    <w:p>
      <w:pPr>
        <w:spacing w:after="0" w:line="161"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under Sections 2.06, 2.07, 2.10 and 4.02 hereof;</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Issuer’s and the Guarantors’ obligations in connection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therewith; and</w:t>
      </w:r>
    </w:p>
    <w:p>
      <w:pPr>
        <w:spacing w:after="0" w:line="206"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 may exercise its option under this Section 8.02 notwithstanding the prior exercise of its option under Section 8.03 hereof.</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01" w:name="page102"/>
    <w:bookmarkEnd w:id="101"/>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i w:val="1"/>
          <w:iCs w:val="1"/>
          <w:color w:val="auto"/>
        </w:rPr>
        <w:t>Covenant Defeasance.</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Upon the Issuer’s exercise under Section 8.01 hereof of the option applicable to this Section 8.03, the Issuer and each of the Guarantors will, with respect to Notes of any Series and subject to the satisfaction of the conditions set forth in Section 8.04 hereof, be released from each of their obligations under clause (a)(3) of Section 5.01 hereof and the covenants contained in any Board Resolution, supplemental indenture or Officer’s Certificate with respect to the outstanding Notes of such Series on and after the date the conditions set forth in Section 8.04 hereof are satisfied (hereinafter, “</w:t>
      </w:r>
      <w:r>
        <w:rPr>
          <w:rFonts w:ascii="Times New Roman" w:cs="Times New Roman" w:eastAsia="Times New Roman" w:hAnsi="Times New Roman"/>
          <w:sz w:val="18"/>
          <w:szCs w:val="18"/>
          <w:i w:val="1"/>
          <w:iCs w:val="1"/>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and the Notes of such Series will thereafter be deemed not “outstanding” for the purposes of any direction, waiver, consent or declaration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this Indenture and outstanding Notes of a Series and related Note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Issuer’s exercise under Section 8.01 hereof of the option applicable to this Section 8.03, subject to the satisfaction of the conditions set forth in Section 8.04 hereof, Sections 6.01(3) and (4) hereof will not constitute Events of Default.</w:t>
      </w:r>
    </w:p>
    <w:p>
      <w:pPr>
        <w:spacing w:after="0" w:line="19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i w:val="1"/>
          <w:iCs w:val="1"/>
          <w:color w:val="auto"/>
        </w:rPr>
        <w:t>Conditions to Legal or Covenant Defeasance.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 hereof with respect to Notes of any Series:</w:t>
      </w:r>
    </w:p>
    <w:p>
      <w:pPr>
        <w:spacing w:after="0" w:line="225" w:lineRule="exact"/>
        <w:rPr>
          <w:sz w:val="20"/>
          <w:szCs w:val="20"/>
          <w:color w:val="auto"/>
        </w:rPr>
      </w:pPr>
    </w:p>
    <w:p>
      <w:pPr>
        <w:ind w:right="20" w:firstLine="656"/>
        <w:spacing w:after="0" w:line="253" w:lineRule="auto"/>
        <w:tabs>
          <w:tab w:leader="none" w:pos="14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of such Series, cash in U.S. dollars, non-callable Government Securities, or a combination thereof, in amounts as will be sufficient, in the opinion of a nationally recognized investment bank, appraisal firm or firm of independent public accountants, to pay the principal of, premium on,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a premium, the amount deposited will be sufficient for purposes of this Indenture to the extent that an amount is deposited with the Trustee equal to the premium calculated as of the date of the notice of redemption, with any deficit as of the date of redemption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only required to be deposited with the Trustee on or prior to the date of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Trustee shall have no liability whatsoever in the event that such deposit is not made after the Trustee has discharged this 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2" w:name="page103"/>
    <w:bookmarkEnd w:id="102"/>
    <w:p>
      <w:pPr>
        <w:ind w:right="60" w:firstLine="656"/>
        <w:spacing w:after="0" w:line="282" w:lineRule="auto"/>
        <w:tabs>
          <w:tab w:leader="none" w:pos="14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of Legal Defeasance under Section 8.02 hereof, the Issuer must deliver to the Trustee an Opinion of Counsel reasonably acceptable to the Trustee confirming that, subject to customary assumptions and exclusions:</w:t>
      </w:r>
    </w:p>
    <w:p>
      <w:pPr>
        <w:spacing w:after="0" w:line="161"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Internal Revenue Service a ruling; or</w:t>
      </w:r>
    </w:p>
    <w:p>
      <w:pPr>
        <w:spacing w:after="0" w:line="22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Notes of such Series were first issued, there has been a change in the applicable U.S. federal income tax law,</w:t>
      </w:r>
    </w:p>
    <w:p>
      <w:pPr>
        <w:spacing w:after="0" w:line="225"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beneficial owners 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0" w:lineRule="exact"/>
        <w:rPr>
          <w:sz w:val="20"/>
          <w:szCs w:val="20"/>
          <w:color w:val="auto"/>
        </w:rPr>
      </w:pPr>
    </w:p>
    <w:p>
      <w:pPr>
        <w:ind w:right="160" w:firstLine="656"/>
        <w:spacing w:after="0" w:line="258" w:lineRule="auto"/>
        <w:tabs>
          <w:tab w:leader="none" w:pos="143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of Covenant Defeasance under Section 8.03 hereof, the Issuer must deliver to the Trustee an Opinion of Counsel reasonably acceptable to the Trustee confirming that, subject to customary assumptions and exclusions,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83" w:lineRule="exact"/>
        <w:rPr>
          <w:rFonts w:ascii="Times New Roman" w:cs="Times New Roman" w:eastAsia="Times New Roman" w:hAnsi="Times New Roman"/>
          <w:sz w:val="18"/>
          <w:szCs w:val="18"/>
          <w:color w:val="auto"/>
        </w:rPr>
      </w:pPr>
    </w:p>
    <w:p>
      <w:pPr>
        <w:ind w:right="60" w:firstLine="656"/>
        <w:spacing w:after="0" w:line="266" w:lineRule="auto"/>
        <w:tabs>
          <w:tab w:leader="none" w:pos="144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of the Guarantors is a party or by which the Issuer or any of the Guarantors is bound;</w:t>
      </w:r>
    </w:p>
    <w:p>
      <w:pPr>
        <w:spacing w:after="0" w:line="175" w:lineRule="exact"/>
        <w:rPr>
          <w:rFonts w:ascii="Times New Roman" w:cs="Times New Roman" w:eastAsia="Times New Roman" w:hAnsi="Times New Roman"/>
          <w:sz w:val="18"/>
          <w:szCs w:val="18"/>
          <w:color w:val="auto"/>
        </w:rPr>
      </w:pPr>
    </w:p>
    <w:p>
      <w:pPr>
        <w:ind w:right="300" w:firstLine="656"/>
        <w:spacing w:after="0" w:line="266" w:lineRule="auto"/>
        <w:tabs>
          <w:tab w:leader="none" w:pos="143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5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spacing w:after="0" w:line="176" w:lineRule="exact"/>
        <w:rPr>
          <w:sz w:val="20"/>
          <w:szCs w:val="20"/>
          <w:color w:val="auto"/>
        </w:rPr>
      </w:pPr>
    </w:p>
    <w:p>
      <w:pPr>
        <w:jc w:val="both"/>
        <w:ind w:right="60" w:firstLine="648"/>
        <w:spacing w:after="0" w:line="276" w:lineRule="auto"/>
        <w:rPr>
          <w:sz w:val="20"/>
          <w:szCs w:val="20"/>
          <w:color w:val="auto"/>
        </w:rPr>
      </w:pPr>
      <w:r>
        <w:rPr>
          <w:rFonts w:ascii="Times New Roman" w:cs="Times New Roman" w:eastAsia="Times New Roman" w:hAnsi="Times New Roman"/>
          <w:sz w:val="17"/>
          <w:szCs w:val="17"/>
          <w:color w:val="auto"/>
        </w:rPr>
        <w:t>Notwithstanding the foregoing provisions of this Section 8.04, the conditions set forth in the foregoing subsections (b), (c), (d), (e) and (f) of this Section 8.04 need not be satisfied so long as, at the time the Issuer makes the deposit described in subsection (a), (i) no Default under Section 6.01(1), (2),</w:t>
      </w:r>
    </w:p>
    <w:p>
      <w:pPr>
        <w:spacing w:after="0" w:line="1" w:lineRule="exact"/>
        <w:rPr>
          <w:sz w:val="20"/>
          <w:szCs w:val="20"/>
          <w:color w:val="auto"/>
        </w:rPr>
      </w:pPr>
    </w:p>
    <w:p>
      <w:pPr>
        <w:ind w:right="40" w:firstLine="8"/>
        <w:spacing w:after="0" w:line="253" w:lineRule="auto"/>
        <w:tabs>
          <w:tab w:leader="none" w:pos="2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(6) has occurred and is continuing on the date of such deposit and after giving effect thereto and (ii) all Notes not previously delivered to the Trustee for cancellation (x) have become due and payable, (y) will become due and payable at their Stated Maturity within one year or (z) are to be called for redemption within one year under arrangements satisfactory to the Trustee for the giving of notice of redemption by the Trustee in the name, and at the expense, of the Issuer. If the conditions in the preceding sentence are satisfied, the Issuer shall be deemed to have exercised its Covenant Defeasance option.</w:t>
      </w: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03" w:name="page104"/>
    <w:bookmarkEnd w:id="103"/>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i w:val="1"/>
          <w:iCs w:val="1"/>
          <w:color w:val="auto"/>
        </w:rPr>
        <w:t>Deposited Money and Government Securities to be Held in Trust; Other Miscellaneous Provisions.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8.06 hereof,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hereof in respect of the outstanding Notes of a Series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interest, but such money need not be segregated from other funds except to the extent required by law.</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Issuer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 of such Series.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will deliver or pay to the Issuer from time to time upon the written request of the Issuer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i w:val="1"/>
          <w:iCs w:val="1"/>
          <w:color w:val="auto"/>
        </w:rPr>
        <w:t>Repayment to Issuer.</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money deposited with the Trustee or any Paying Agent, or then held by the Issuer, in trust for the payment of the principal of, premium on, if any, or interest on, any Note of a Series and remaining unclaimed for two years after such principal, premium, if any, or interest has become due and payable shall be paid to the Issuer on its written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i w:val="1"/>
          <w:iCs w:val="1"/>
          <w:color w:val="auto"/>
        </w:rPr>
        <w:t>Reinstatement.</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Issuer’s and the Guarantors’ obligations under this Indenture with respect to the Notes of such Series and under the Notes of such Series and the corresponding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Issuer makes any payment of principal of, premium on, if any, or interest on, any Note following the reinstatement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the Issuer will be subrogated to the rights of the Holders of such Notes to receive such payment from the money held by the Trustee or Paying Agent.</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Without Consent of Holders of Notes.</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Notwithstanding Section 9.02, without the consent of any Holder of Notes, the Issuer, the Guarantors of the Notes of any Series and the Trustee may amend or supplement this Indenture with respect to such Series, the Notes of such Series or the related Note Guarantees:</w:t>
      </w:r>
    </w:p>
    <w:p>
      <w:pPr>
        <w:spacing w:after="0" w:line="162" w:lineRule="exact"/>
        <w:rPr>
          <w:sz w:val="20"/>
          <w:szCs w:val="20"/>
          <w:color w:val="auto"/>
        </w:rPr>
      </w:pPr>
    </w:p>
    <w:p>
      <w:pPr>
        <w:ind w:left="1440" w:hanging="784"/>
        <w:spacing w:after="0"/>
        <w:tabs>
          <w:tab w:leader="none" w:pos="1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223" w:lineRule="exact"/>
        <w:rPr>
          <w:rFonts w:ascii="Times New Roman" w:cs="Times New Roman" w:eastAsia="Times New Roman" w:hAnsi="Times New Roman"/>
          <w:sz w:val="18"/>
          <w:szCs w:val="18"/>
          <w:color w:val="auto"/>
        </w:rPr>
      </w:pPr>
    </w:p>
    <w:p>
      <w:pPr>
        <w:ind w:right="200" w:firstLine="656"/>
        <w:spacing w:after="0" w:line="284" w:lineRule="auto"/>
        <w:tabs>
          <w:tab w:leader="none" w:pos="14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uncertificated Notes are issued in registered form for purposes of Section 163(f) of the Code);</w:t>
      </w:r>
    </w:p>
    <w:p>
      <w:pPr>
        <w:spacing w:after="0" w:line="160" w:lineRule="exact"/>
        <w:rPr>
          <w:rFonts w:ascii="Times New Roman" w:cs="Times New Roman" w:eastAsia="Times New Roman" w:hAnsi="Times New Roman"/>
          <w:sz w:val="18"/>
          <w:szCs w:val="18"/>
          <w:color w:val="auto"/>
        </w:rPr>
      </w:pPr>
    </w:p>
    <w:p>
      <w:pPr>
        <w:ind w:right="780" w:firstLine="656"/>
        <w:spacing w:after="0" w:line="282" w:lineRule="auto"/>
        <w:tabs>
          <w:tab w:leader="none" w:pos="14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Notes of such Series and related Note Guarantees in the case of a merger or consolidation or sale of all or substantially all of the Issuer’s or such Guarantor’s assets, as applicable;</w:t>
      </w:r>
    </w:p>
    <w:p>
      <w:pPr>
        <w:spacing w:after="0" w:line="161" w:lineRule="exact"/>
        <w:rPr>
          <w:rFonts w:ascii="Times New Roman" w:cs="Times New Roman" w:eastAsia="Times New Roman" w:hAnsi="Times New Roman"/>
          <w:sz w:val="18"/>
          <w:szCs w:val="18"/>
          <w:color w:val="auto"/>
        </w:rPr>
      </w:pPr>
    </w:p>
    <w:p>
      <w:pPr>
        <w:ind w:right="620" w:firstLine="656"/>
        <w:spacing w:after="0" w:line="282" w:lineRule="auto"/>
        <w:tabs>
          <w:tab w:leader="none" w:pos="14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release of a Guarantor from its Note Guarantee in respect of such Series of Notes and the termination of such Note Guarantee, all in accordance with the provisions of this Indenture governing such release and termination;</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4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Note Guarantee or to provide for collateral to secure the Notes or any Series or any Note Guarantee in respect of the Notes of any Series;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Notes of any Series or that does not materially adversely affect the legal rights under this Indenture of any Holder;</w:t>
      </w:r>
    </w:p>
    <w:p>
      <w:pPr>
        <w:spacing w:after="0" w:line="161"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this Indenture under the Trust Indenture Act;</w:t>
      </w:r>
    </w:p>
    <w:p>
      <w:pPr>
        <w:spacing w:after="0" w:line="223" w:lineRule="exact"/>
        <w:rPr>
          <w:rFonts w:ascii="Times New Roman" w:cs="Times New Roman" w:eastAsia="Times New Roman" w:hAnsi="Times New Roman"/>
          <w:sz w:val="18"/>
          <w:szCs w:val="18"/>
          <w:color w:val="auto"/>
        </w:rPr>
      </w:pPr>
    </w:p>
    <w:p>
      <w:pPr>
        <w:ind w:right="80" w:firstLine="656"/>
        <w:spacing w:after="0" w:line="267" w:lineRule="auto"/>
        <w:tabs>
          <w:tab w:leader="none" w:pos="14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5" w:name="page106"/>
    <w:bookmarkEnd w:id="105"/>
    <w:p>
      <w:pPr>
        <w:ind w:left="1460" w:hanging="804"/>
        <w:spacing w:after="0"/>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Notes as permitted by this Indenture;</w:t>
      </w:r>
    </w:p>
    <w:p>
      <w:pPr>
        <w:spacing w:after="0" w:line="225" w:lineRule="exact"/>
        <w:rPr>
          <w:rFonts w:ascii="Times New Roman" w:cs="Times New Roman" w:eastAsia="Times New Roman" w:hAnsi="Times New Roman"/>
          <w:sz w:val="18"/>
          <w:szCs w:val="18"/>
          <w:color w:val="auto"/>
        </w:rPr>
      </w:pPr>
    </w:p>
    <w:p>
      <w:pPr>
        <w:ind w:right="20" w:firstLine="656"/>
        <w:spacing w:after="0" w:line="261" w:lineRule="auto"/>
        <w:tabs>
          <w:tab w:leader="none" w:pos="14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or the Note Guarantees to any provision of the “Description of the Notes” section of the offering circular, offering memorandum, prospectus, prospectus supplement or other offering document applicable to such Notes, to the extent that the Trustee has received an Officer’s Certificate to the effect that such text constitutes an unintended conflict with the description of the corresponding provision in such “Description of the Notes;”</w:t>
      </w:r>
    </w:p>
    <w:p>
      <w:pPr>
        <w:spacing w:after="0" w:line="177" w:lineRule="exact"/>
        <w:rPr>
          <w:rFonts w:ascii="Times New Roman" w:cs="Times New Roman" w:eastAsia="Times New Roman" w:hAnsi="Times New Roman"/>
          <w:sz w:val="18"/>
          <w:szCs w:val="18"/>
          <w:color w:val="auto"/>
        </w:rPr>
      </w:pPr>
    </w:p>
    <w:p>
      <w:pPr>
        <w:ind w:right="440" w:firstLine="656"/>
        <w:spacing w:after="0" w:line="284" w:lineRule="auto"/>
        <w:tabs>
          <w:tab w:leader="none" w:pos="14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issuance of Additional Notes of any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have the same terms as, and be deemed part of the same Series as, the applicable Series of Notes to the extent required under this Indenture;</w:t>
      </w:r>
    </w:p>
    <w:p>
      <w:pPr>
        <w:spacing w:after="0" w:line="160"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14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and appointment by a successor trustee or collateral trustee with respect to the Notes of such Series and to add to or change any of the provisions of this Indenture with respect to such Series as shall be necessary to provide for or facilitate the administration of the trust by more than one trustee;</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14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Notes in accordance with the limitations set forth in this Indenture;</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14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parallel debt or other foreign law provisions that the Issuer determines are necessary or advisable with respect to the jurisdiction of organization or incorporation of any Guarantor.</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Upon the request of the Issuer, and upon receipt by the Trustee of the documents described in Sections 7.02 and 9.05 hereof, the Trustee will join with the Issuer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7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With Consent of Holders of Notes.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below in this Section 9.02, each of this Indenture, the Notes of any Series, and the related Note Guarantees of such Series may be amended or supplemented with the consent of the Holders of at least a majority in aggregate principal amount of the then outstanding Notes of such Series so amended or supplemented (including, without limitation,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applicable series of Notes, except a payment default resulting from an acceleration that has been rescinded) or compliance with any provision of this Indenture, the Notes of any Series and the related Note Guarantees may be waived with the consent of the Holders of a majority in aggregate principal amount of the then outstanding Notes of such Series so waived (including, without limitation, Additional Notes, if any) voting as a single class (including, without limitation, consents obtained in connection with a purchase of, or tender offer or exchange offer for, the Notes).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6" w:name="page107"/>
    <w:bookmarkEnd w:id="106"/>
    <w:p>
      <w:pPr>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Issuer, and upon the filing with the Trustee of evidence satisfactory to the Trustee of the consent of the Holders of Notes as aforesaid, and upon receipt by the Trustee of the documents described in Section 7.02 hereof, the Trustee will join with the Issuer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Issuer will promptly deliver to the Holders of Notes of such Series affected thereby a notice briefly describing the amendment, supplement or waiver. Any failure of the Issuer to deliver such notice, or any defect therein, will not, however, in any way impair or affect the validity of any such amended or supplemental indenture or waiver. Subject to Sections 6.04 and 6.07 hereof, the Holders of a majority in aggregate principal amount of the Notes of any Series then outstanding voting as a single class may waive compliance in a particular instance by the Issuer or any Guarantor with any provision of this Indenture, the Notes of such Series or the related Note Guarantees of such Series. However, without the consent of each Holder of the applicable Series of Notes affected, an amendment, supplement or waiver under this Section 9.02 may not (with respect to any Notes held by a non-consenting Holder):</w:t>
      </w:r>
    </w:p>
    <w:p>
      <w:pPr>
        <w:spacing w:after="0" w:line="189" w:lineRule="exact"/>
        <w:rPr>
          <w:sz w:val="20"/>
          <w:szCs w:val="20"/>
          <w:color w:val="auto"/>
        </w:rPr>
      </w:pPr>
    </w:p>
    <w:p>
      <w:pPr>
        <w:ind w:left="1440" w:hanging="784"/>
        <w:spacing w:after="0"/>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of such Series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right="220" w:firstLine="656"/>
        <w:spacing w:after="0" w:line="282" w:lineRule="auto"/>
        <w:tabs>
          <w:tab w:leader="none" w:pos="14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or waive any of the provisions with respect to the payment of Additional Amounts;</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 of any such Series;</w:t>
      </w:r>
    </w:p>
    <w:p>
      <w:pPr>
        <w:spacing w:after="0" w:line="22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4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of such Series (except a rescission of acceleration of the Notes of such Series by the Holders of at least a majority in aggregate principal amount of the then outstanding Notes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of such Series payable in money other than that stated in such Notes;</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Notes; or</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any amendment, supplement or waiver to any Series of Notes made with the consent of Holders of such Series of Notes, shall be made with respect to that Series of Notes only, and not any other Series of Notes, unless the Holders of such other Series of Notes consent to such amendment, supplement or waiver to such other Series of Notes.</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i w:val="1"/>
          <w:iCs w:val="1"/>
          <w:color w:val="auto"/>
        </w:rPr>
        <w:t>Compliance with Trust Indenture Act.</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Every amendment or supplement to this Indenture or the Notes of one or more Series will be set forth in a Board Resolution, Officer’s Certificate, or amended or supplemental indenture that complies with the Trust Indenture Act as then in effect, except as may be set forth in such such Board Resolution, Officer’s Certificate, or amended or supplemental indenture, to the extent the Trust Indenture Act is then applicable hereto.</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i w:val="1"/>
          <w:iCs w:val="1"/>
          <w:color w:val="auto"/>
        </w:rPr>
        <w:t>Revocation and Effect of Consents.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of each Series affected.</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i w:val="1"/>
          <w:iCs w:val="1"/>
          <w:color w:val="auto"/>
        </w:rPr>
        <w:t>Notation on or Exchange of Notes.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Note of any Series thereafter authenticated. The Issuer in exchange for all Notes of that Series may issue and the Trustee shall, upon receipt of an Authentication Order, authenticate new Notes of that Series that reflect the amendment, supplement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i w:val="1"/>
          <w:iCs w:val="1"/>
          <w:color w:val="auto"/>
        </w:rPr>
        <w:t>Trustee to Sign Amendments, etc.</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Trustee will sign any amended or supplemental indenture authorized pursuant to this Article 9 if the amendment or supplement does not adversely affect the rights, duties, liabilities or immunities of the Trustee. The Issuer may not sign an amended or supplemental indenture until the Board of Directors of the Issuer approves it. In executing any amended or supplemental indenture, the Trustee will receive and (subject to Section 7.01 hereof) will be fully protected in conclusively relying upon, in addition to the documents required by Section 12.04 hereof, an Officer’s Certificate and an Opinion of Counsel stating that the execution of such amended or supplemental indenture is authorized or permitted by this Indenture and that such supplemental indenture constitutes the valid and binding obligation of the Issuer and any Guarantors party thereto, enforceable against such parties in accordance with its terms, subject to customary exceptions.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 GUARANTEES</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56"/>
        <w:spacing w:after="0" w:line="266" w:lineRule="auto"/>
        <w:tabs>
          <w:tab w:leader="none" w:pos="143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Article 10 to the contrary, the provisions of this Article 10 related to Subsidiary Guarantors will be applicable only to, and inure solely to the benefit of, the Notes of any Series designated, pursuant to Section 2.02(t), as entitled to the benefits of the Note Guarantee of each Subsidiary Guarantor identified in such designation.</w:t>
      </w:r>
    </w:p>
    <w:p>
      <w:pPr>
        <w:spacing w:after="0" w:line="175" w:lineRule="exact"/>
        <w:rPr>
          <w:rFonts w:ascii="Times New Roman" w:cs="Times New Roman" w:eastAsia="Times New Roman" w:hAnsi="Times New Roman"/>
          <w:sz w:val="18"/>
          <w:szCs w:val="18"/>
          <w:color w:val="auto"/>
        </w:rPr>
      </w:pPr>
    </w:p>
    <w:p>
      <w:pPr>
        <w:ind w:right="80" w:firstLine="656"/>
        <w:spacing w:after="0" w:line="266" w:lineRule="auto"/>
        <w:tabs>
          <w:tab w:leader="none" w:pos="144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unconditionally guarantees to each Holder of a Series of Notes authenticated and delivered by the Trustee and to the Trustee and its successors and assigns, irrespective of the validity and enforceability of this Indenture, the Notes or the obligations of the Issuer hereunder or thereunder, that:</w:t>
      </w:r>
    </w:p>
    <w:p>
      <w:pPr>
        <w:spacing w:after="0" w:line="175" w:lineRule="exact"/>
        <w:rPr>
          <w:rFonts w:ascii="Times New Roman" w:cs="Times New Roman" w:eastAsia="Times New Roman" w:hAnsi="Times New Roman"/>
          <w:sz w:val="18"/>
          <w:szCs w:val="18"/>
          <w:color w:val="auto"/>
        </w:rPr>
      </w:pPr>
    </w:p>
    <w:p>
      <w:pPr>
        <w:jc w:val="both"/>
        <w:ind w:left="820" w:firstLine="646"/>
        <w:spacing w:after="0" w:line="261" w:lineRule="auto"/>
        <w:tabs>
          <w:tab w:leader="none" w:pos="203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on, if any, and interest on, the Notes will be promptly paid in full when due, whether at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179" w:lineRule="exact"/>
        <w:rPr>
          <w:rFonts w:ascii="Times New Roman" w:cs="Times New Roman" w:eastAsia="Times New Roman" w:hAnsi="Times New Roman"/>
          <w:sz w:val="18"/>
          <w:szCs w:val="18"/>
          <w:color w:val="auto"/>
        </w:rPr>
      </w:pPr>
    </w:p>
    <w:p>
      <w:pPr>
        <w:ind w:left="820" w:right="620" w:firstLine="646"/>
        <w:spacing w:after="0" w:line="266" w:lineRule="auto"/>
        <w:tabs>
          <w:tab w:leader="none" w:pos="203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62" w:lineRule="exact"/>
        <w:rPr>
          <w:sz w:val="20"/>
          <w:szCs w:val="20"/>
          <w:color w:val="auto"/>
        </w:rPr>
      </w:pPr>
    </w:p>
    <w:p>
      <w:pPr>
        <w:ind w:right="80" w:firstLine="656"/>
        <w:spacing w:after="0" w:line="255" w:lineRule="auto"/>
        <w:tabs>
          <w:tab w:leader="none" w:pos="14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Note Guarantee will not be discharged except by complete performance of the obligations contained in the Notes and this Indenture.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9" w:name="page110"/>
    <w:bookmarkEnd w:id="109"/>
    <w:p>
      <w:pPr>
        <w:ind w:right="20" w:firstLine="656"/>
        <w:spacing w:after="0" w:line="266" w:lineRule="auto"/>
        <w:tabs>
          <w:tab w:leader="none" w:pos="144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by either to the Trustee or such Holder, this Note Guarantee, to the extent theretofore discharged, will be reinstated in full force and effect.</w:t>
      </w:r>
    </w:p>
    <w:p>
      <w:pPr>
        <w:spacing w:after="0" w:line="175" w:lineRule="exact"/>
        <w:rPr>
          <w:rFonts w:ascii="Times New Roman" w:cs="Times New Roman" w:eastAsia="Times New Roman" w:hAnsi="Times New Roman"/>
          <w:sz w:val="18"/>
          <w:szCs w:val="18"/>
          <w:color w:val="auto"/>
        </w:rPr>
      </w:pPr>
    </w:p>
    <w:p>
      <w:pPr>
        <w:ind w:right="100" w:firstLine="656"/>
        <w:spacing w:after="0" w:line="254" w:lineRule="auto"/>
        <w:tabs>
          <w:tab w:leader="none" w:pos="14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9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i w:val="1"/>
          <w:iCs w:val="1"/>
          <w:color w:val="auto"/>
        </w:rPr>
        <w:t>Limitation on Guarantor Liability.</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state law or similar foreign law to the extent applicable to any Note Guarantee or unlawful financial assistance within the meaning of Section 82 of the Companies Act. To effectuate the foregoing intention, the Trustee, the Holders and the Guarantors hereby irrevocably agree that (i)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Note Guarantee not constituting a fraudulent transfer or conveyance under federal, state or similar foreign law, and (ii) this Guarantee does not apply to any liability to the extent that it would result in this Guarantee constituting unlawful financial assistance within the meaning of Section 82 of the Irish Companies Act 2014.</w:t>
      </w:r>
    </w:p>
    <w:p>
      <w:pPr>
        <w:spacing w:after="0" w:line="19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10.03</w:t>
      </w:r>
      <w:r>
        <w:rPr>
          <w:sz w:val="20"/>
          <w:szCs w:val="20"/>
          <w:color w:val="auto"/>
        </w:rPr>
        <w:tab/>
      </w:r>
      <w:r>
        <w:rPr>
          <w:rFonts w:ascii="Times New Roman" w:cs="Times New Roman" w:eastAsia="Times New Roman" w:hAnsi="Times New Roman"/>
          <w:sz w:val="18"/>
          <w:szCs w:val="18"/>
          <w:i w:val="1"/>
          <w:iCs w:val="1"/>
          <w:color w:val="auto"/>
        </w:rPr>
        <w:t>Issuance and Delivery of Note Guarantee.</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 evidence its Note Guarantee set forth in Section 10.01, each Guarantor hereby agrees that this Indenture (or, a supplemental indenture to this Indenture) shall be executed on behalf of such Guarantor by an Officer of such Guarantor.</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Note Guarantee set forth in Section 10.01 shall remain in full force and effect notwithstanding the absence of the endorsement of any notation of such Note Guarantee on the Notes.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Note Guarantee set forth in this Indenture on behalf of the Guarantors. Upon execution of a supplemental indenture to this Indenture by any Guarantor, the Note Guarantee set forth in this Indenture and such supplemental indenture shall be deemed duly delivered, without any further action by any Person, on behalf of such Guarantor. All the Note Guarantees so issued will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81"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8"/>
          <w:szCs w:val="18"/>
          <w:i w:val="1"/>
          <w:iCs w:val="1"/>
          <w:color w:val="auto"/>
        </w:rPr>
        <w:t>Releases.</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Parent Guarantor will be automatically and unconditionally released from all obligations under its Note Guarantee in respect of the Notes of each Series, and such Note Guarantee shall thereupon terminate and be discharged and of no further force and effect upon Legal Defeasance, Covenant Defeasance or satisfaction and discharge of an indenture as provided in Articles 8 and 11 hereof.</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If so provided pursuant to Section 2.02(t) with respect to the Notes of any Series, the Notes of such Series may have the benefit of Guarantees by Subsidiary Guarantors as may be specified in or pursuant to Section 2.02(t). Any and all terms and provisions applicable to the Guarantees of Subsidiary Guarantors for the Notes of such Series shall also be provided in or pursuant to Section 2.02(t), including, without limitation, provisions for the release of the Guarantees of such Subsidiary Guarantors.</w:t>
      </w:r>
    </w:p>
    <w:p>
      <w:pPr>
        <w:spacing w:after="0" w:line="180"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Upon any occurrence giving rise to a release of a Note Guarantee, as specified in this Indenture, the Trustee, upon receipt of an Officer’s Certificate from the Issuer in accordance with the provisions of Section 12.04, which the Trustee shall be entitled to rely on absolutely and without further inquiry, will take all necessary actions at the reasonable request and cost of the Issuer, to effectuate any release of a Note Guarantee in accordance with these provisions, subject to customary protections and indemnifications. Each of the releases set forth in this Indenture shall be effected by the Trustee without the consent of the Holders and will not require any other action or consent on the part of the Trustee. None of the Issuer, the Trustee or any Guarantor will be required to make a notation on the Notes of any Series to reflect any such release, termination or discharge. The Issuer may in its sole discretion, and without prejudice to any future election in relation thereto, elect to have any Note Guarantee remain in place as opposed to being released.</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Guarantor not released from its obligations under its Note Guarantee as provided in this Indenture will remain liable for the full amount of principal of, premium on, if any, and interest on, the Notes and for the other obligations of any Guarantor under this Indenture as provided in this Indenture, subject to the limitations of Section 10.02.</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i w:val="1"/>
          <w:iCs w:val="1"/>
          <w:color w:val="auto"/>
        </w:rPr>
        <w:t>Satisfaction and Discharge.</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Notes of any Series and the related Note Guarantees issued hereunder and, if applicable, any Liens securing the Notes of any Series and the related Note Guarantees of such Series will be released without any further action by the Holders of Notes, when:</w:t>
      </w:r>
    </w:p>
    <w:p>
      <w:pPr>
        <w:spacing w:after="0" w:line="176" w:lineRule="exact"/>
        <w:rPr>
          <w:sz w:val="20"/>
          <w:szCs w:val="20"/>
          <w:color w:val="auto"/>
        </w:rPr>
      </w:pPr>
    </w:p>
    <w:p>
      <w:pPr>
        <w:ind w:left="1440" w:hanging="784"/>
        <w:spacing w:after="0"/>
        <w:tabs>
          <w:tab w:leader="none" w:pos="14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820" w:right="20" w:firstLine="646"/>
        <w:spacing w:after="0" w:line="266" w:lineRule="auto"/>
        <w:tabs>
          <w:tab w:leader="none" w:pos="203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175"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Notes of such Series not previously delivered to the Trustee for cancellation (i) have become due and payable,</w:t>
      </w:r>
    </w:p>
    <w:p>
      <w:pPr>
        <w:spacing w:after="0" w:line="27" w:lineRule="exact"/>
        <w:rPr>
          <w:rFonts w:ascii="Times New Roman" w:cs="Times New Roman" w:eastAsia="Times New Roman" w:hAnsi="Times New Roman"/>
          <w:sz w:val="18"/>
          <w:szCs w:val="18"/>
          <w:color w:val="auto"/>
        </w:rPr>
      </w:pPr>
    </w:p>
    <w:p>
      <w:pPr>
        <w:ind w:left="820" w:hanging="2"/>
        <w:spacing w:after="0" w:line="251" w:lineRule="auto"/>
        <w:tabs>
          <w:tab w:leader="none" w:pos="108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become due and payable at their Stated Maturity within one year or (iii)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of such Series of Notes, cash in U.S. dollars, non-callable Government Securities, or a combination thereof, in amounts as will be sufficient, without consideration of any reinvestment of interest, to pay and discharge the entire indebtedness on the Notes of such Series not delivered to the Trustee for cancellation for principal of, premium on, if any, and interest on, the Notes of such Series to the date of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a premium, the amount deposited will be sufficient for purposes of this Indenture to the extent that an amount is deposited with the Trustee equal to the premium calculated as of the date of the notice of redemption, with any Applicable Premium Deficit only required to be deposited with the Trustee on or prior to the date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liability whatsoever in the event that such deposit is not made after the Trustee has discharged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92"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Guarantor has or have paid or caused to be paid all sums payable by it or them under this Indenture in respect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and</w:t>
      </w:r>
    </w:p>
    <w:p>
      <w:pPr>
        <w:spacing w:after="0" w:line="206" w:lineRule="exact"/>
        <w:rPr>
          <w:rFonts w:ascii="Times New Roman" w:cs="Times New Roman" w:eastAsia="Times New Roman" w:hAnsi="Times New Roman"/>
          <w:sz w:val="18"/>
          <w:szCs w:val="18"/>
          <w:color w:val="auto"/>
        </w:rPr>
      </w:pPr>
    </w:p>
    <w:p>
      <w:pPr>
        <w:ind w:right="120" w:firstLine="656"/>
        <w:spacing w:after="0" w:line="282" w:lineRule="auto"/>
        <w:tabs>
          <w:tab w:leader="none" w:pos="14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(a)(2) of this Section 11.01, the Issuer has delivered irrevocable instructions to the Trustee under this Indenture to apply the deposited money toward the payment of the Notes of such Series at maturity or on the applicable redemption date, as the case may be.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2" w:name="page113"/>
    <w:bookmarkEnd w:id="112"/>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Notes of any Series, if money has been deposited with the Trustee for any Series pursuant to Section 11.01(a)(2), the provisions of Sections 11.02 and 8.06 hereof will survive. In addition, nothing in this Section 11.01 will be deemed to discharge those provisions of Section 7.07 hereof, that, by their terms, survive the satisfaction and discharge of any Series of Notes under this Indenture and the earlier resignation or removal of the Trustee.</w:t>
      </w:r>
    </w:p>
    <w:p>
      <w:pPr>
        <w:spacing w:after="0" w:line="178"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i w:val="1"/>
          <w:iCs w:val="1"/>
          <w:color w:val="auto"/>
        </w:rPr>
        <w:t>Application of Trust Money.</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and Government Securities deposited with the Trustee pursuant to Section 11.01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Issuer has made any payment of principal of, premium on,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7"/>
          <w:szCs w:val="17"/>
          <w:i w:val="1"/>
          <w:iCs w:val="1"/>
          <w:color w:val="auto"/>
        </w:rPr>
        <w:t>Trust Indenture Act Controls .</w:t>
      </w:r>
    </w:p>
    <w:p>
      <w:pPr>
        <w:spacing w:after="0" w:line="22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To the extent the Trust Indenture Act is applicable to this Indenture at such time, if any provision of this Indenture limits, qualifies or conflicts with another provision which is required or deemed to be included in this Indenture by the Trust Indenture Act, such required or deemed provision will control.</w:t>
      </w:r>
    </w:p>
    <w:p>
      <w:pPr>
        <w:spacing w:after="0" w:line="174"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12.02</w:t>
      </w:r>
      <w:r>
        <w:rPr>
          <w:sz w:val="20"/>
          <w:szCs w:val="20"/>
          <w:color w:val="auto"/>
        </w:rPr>
        <w:tab/>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Parent, the Issuer, any Guarantor or the Trustee to the others is duly given if in writing and delivered in Person or by first class mail (registered or certified, return receipt requested), facsimile transmission or overnight air courier guaranteeing next day delivery, to the others’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Parent, Issuer and/or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ICON plc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Country Business Park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Leopardstown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Dublin 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Financial Officer with a copy to General Counsel</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4th Floor Trading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citi.cspag@citi.com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NAM – Agency &amp; Trust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Heather Rees</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Parent, the Issuer, any Guarantor or the Trustee by notice to the others, may designate additional or different addresses for subsequent notices or communications.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When the Trustee acts on any communication (including, but not limited to, communication with respect to the delivery Notes or the wire transfer of funds) sent by electronic transmission, the Trustee will not be responsible for or liable in the event such communication is not an authorized or authentic communication of the party involved or is not in the form the party involved sent or intend to send (whether due to fraud, distortion or otherwise). Each party hereto understands and agrees that the Trustee cannot determine the identity of the actual sending of such instructions and that the Trustee shall conclusively presume that directions that purport to have been sent by an authorized officer of such person have been sent by an authorize officers of such person. Each party hereto shall be responsible for ensuring that only authorized officers transmit such instructions to the Trustee. The Trustee will not be liable for any losses, costs or expenses arising directly or indirectly from the Trustee’s reliance upon and compliance with such instructions notwithstanding such instructions conflict or are inconsistent with a subsequent written instruction. The party providing such instructions, as the case may be, agrees to assume all risks arising out of the use of such electronic transmission to submit instructions and directions to the Trustee, including without limitation the risk of the Trustee acting on unauthorized instructions, and the risk of interception and misuse by third parties.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4" w:name="page115"/>
    <w:bookmarkEnd w:id="114"/>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notice or communication to a Holder will be mailed by first class mail, certified or registered, return receipt requested, or by overnight air courier guaranteeing next day delivery to its address shown on the register kept by the Registrar;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notices given to Holders of Global Notes may be given through the facilities of the Depositary. Failure to deliver a notice or communication to a Holder or any defect in it will not affect its sufficiency with respect to other Holders.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delivered in the manner provided above within the time prescribed, it is duly given, whether or not the addressee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Parent or the Issuer mail a notice or communication to Holders, it will mail a copy to the Trustee and each Agent at the same time.</w:t>
      </w:r>
    </w:p>
    <w:p>
      <w:pPr>
        <w:spacing w:after="0" w:line="22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12.03</w:t>
      </w:r>
      <w:r>
        <w:rPr>
          <w:sz w:val="20"/>
          <w:szCs w:val="20"/>
          <w:color w:val="auto"/>
        </w:rPr>
        <w:tab/>
      </w:r>
      <w:r>
        <w:rPr>
          <w:rFonts w:ascii="Times New Roman" w:cs="Times New Roman" w:eastAsia="Times New Roman" w:hAnsi="Times New Roman"/>
          <w:sz w:val="17"/>
          <w:szCs w:val="17"/>
          <w:i w:val="1"/>
          <w:iCs w:val="1"/>
          <w:color w:val="auto"/>
        </w:rPr>
        <w:t>Communication by Holders of Notes with Other Holders of Notes.</w:t>
      </w:r>
    </w:p>
    <w:p>
      <w:pPr>
        <w:spacing w:after="0" w:line="22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Trust Indenture Act § 312(b) with other Holders of that Series or any other Series with respect to their rights under this Indenture or the Notes of that Series or all Series. The Issuer, the Trustee, the Registrar and anyone else will have the protection of Trust Indenture Act §312(c).</w:t>
      </w:r>
    </w:p>
    <w:p>
      <w:pPr>
        <w:spacing w:after="0" w:line="174"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12.04</w:t>
      </w:r>
      <w:r>
        <w:rPr>
          <w:sz w:val="20"/>
          <w:szCs w:val="20"/>
          <w:color w:val="auto"/>
        </w:rPr>
        <w:tab/>
      </w:r>
      <w:r>
        <w:rPr>
          <w:rFonts w:ascii="Times New Roman" w:cs="Times New Roman" w:eastAsia="Times New Roman" w:hAnsi="Times New Roman"/>
          <w:sz w:val="17"/>
          <w:szCs w:val="17"/>
          <w:i w:val="1"/>
          <w:iCs w:val="1"/>
          <w:color w:val="auto"/>
        </w:rPr>
        <w:t>Certificate and Opinion as to Conditions Precedent.</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Upon any request or application by the Parent and/or the Issuer to the Trustee to take any action under this Indenture, the Parent and/or the Issuer, as applicable, shall furnish to the Trustee, in compliance with the provisions of Trust Indenture Act § 314(c)(1) and (c)(2):</w:t>
      </w:r>
    </w:p>
    <w:p>
      <w:pPr>
        <w:spacing w:after="0" w:line="162" w:lineRule="exact"/>
        <w:rPr>
          <w:sz w:val="20"/>
          <w:szCs w:val="20"/>
          <w:color w:val="auto"/>
        </w:rPr>
      </w:pPr>
    </w:p>
    <w:p>
      <w:pPr>
        <w:ind w:right="360" w:firstLine="656"/>
        <w:spacing w:after="0" w:line="266" w:lineRule="auto"/>
        <w:tabs>
          <w:tab w:leader="none" w:pos="143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hereof) stating that, in the opinion of the signers, all conditions precedent, if any, provided for in this Indenture relating to the proposed action have been complied with; and</w:t>
      </w:r>
    </w:p>
    <w:p>
      <w:pPr>
        <w:spacing w:after="0" w:line="175" w:lineRule="exact"/>
        <w:rPr>
          <w:rFonts w:ascii="Times New Roman" w:cs="Times New Roman" w:eastAsia="Times New Roman" w:hAnsi="Times New Roman"/>
          <w:sz w:val="18"/>
          <w:szCs w:val="18"/>
          <w:color w:val="auto"/>
        </w:rPr>
      </w:pPr>
    </w:p>
    <w:p>
      <w:pPr>
        <w:ind w:right="380" w:firstLine="656"/>
        <w:spacing w:after="0" w:line="282" w:lineRule="auto"/>
        <w:tabs>
          <w:tab w:leader="none" w:pos="14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hereof) stating that, in the opinion of such counsel, all such conditions precedent have been complied with.</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12.05</w:t>
      </w:r>
      <w:r>
        <w:rPr>
          <w:sz w:val="20"/>
          <w:szCs w:val="20"/>
          <w:color w:val="auto"/>
        </w:rPr>
        <w:tab/>
      </w:r>
      <w:r>
        <w:rPr>
          <w:rFonts w:ascii="Times New Roman" w:cs="Times New Roman" w:eastAsia="Times New Roman" w:hAnsi="Times New Roman"/>
          <w:sz w:val="17"/>
          <w:szCs w:val="17"/>
          <w:i w:val="1"/>
          <w:iCs w:val="1"/>
          <w:color w:val="auto"/>
        </w:rPr>
        <w:t>Statements Required in Certificate or Opinion.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Trust Indenture Act § 314(a)(4)) must comply with the provisions of Trust Indenture Act § 314(e) and must include:</w:t>
      </w:r>
    </w:p>
    <w:p>
      <w:pPr>
        <w:spacing w:after="0" w:line="162" w:lineRule="exact"/>
        <w:rPr>
          <w:sz w:val="20"/>
          <w:szCs w:val="20"/>
          <w:color w:val="auto"/>
        </w:rPr>
      </w:pPr>
    </w:p>
    <w:p>
      <w:pPr>
        <w:ind w:left="5540" w:right="2660" w:hanging="4884"/>
        <w:spacing w:after="0" w:line="736" w:lineRule="auto"/>
        <w:tabs>
          <w:tab w:leader="none" w:pos="14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5" w:name="page116"/>
    <w:bookmarkEnd w:id="115"/>
    <w:p>
      <w:pPr>
        <w:ind w:firstLine="656"/>
        <w:spacing w:after="0" w:line="282" w:lineRule="auto"/>
        <w:tabs>
          <w:tab w:leader="none" w:pos="144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220" w:firstLine="656"/>
        <w:spacing w:after="0" w:line="282" w:lineRule="auto"/>
        <w:tabs>
          <w:tab w:leader="none" w:pos="14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12.06</w:t>
      </w:r>
      <w:r>
        <w:rPr>
          <w:sz w:val="20"/>
          <w:szCs w:val="20"/>
          <w:color w:val="auto"/>
        </w:rPr>
        <w:tab/>
      </w:r>
      <w:r>
        <w:rPr>
          <w:rFonts w:ascii="Times New Roman" w:cs="Times New Roman" w:eastAsia="Times New Roman" w:hAnsi="Times New Roman"/>
          <w:sz w:val="17"/>
          <w:szCs w:val="17"/>
          <w:i w:val="1"/>
          <w:iCs w:val="1"/>
          <w:color w:val="auto"/>
        </w:rPr>
        <w:t>Form of Documents Delivered to Trustee.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Issuer or Parent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his/her certificate or opinion is based are erroneous. Any such certificate or Opinion of Counsel may be based, insofar as it relates to factual matters, upon a certificate or opinion of, or representations by, an officer or officers of the Issuer or Parent stating that the information with respect to such factual matters is in the possession of the Issuer or Parent,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12.07</w:t>
      </w:r>
      <w:r>
        <w:rPr>
          <w:sz w:val="20"/>
          <w:szCs w:val="20"/>
          <w:color w:val="auto"/>
        </w:rPr>
        <w:tab/>
      </w:r>
      <w:r>
        <w:rPr>
          <w:rFonts w:ascii="Times New Roman" w:cs="Times New Roman" w:eastAsia="Times New Roman" w:hAnsi="Times New Roman"/>
          <w:sz w:val="17"/>
          <w:szCs w:val="17"/>
          <w:i w:val="1"/>
          <w:iCs w:val="1"/>
          <w:color w:val="auto"/>
        </w:rPr>
        <w:t>Rules by Trustee and Agents.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12.08</w:t>
      </w:r>
      <w:r>
        <w:rPr>
          <w:sz w:val="20"/>
          <w:szCs w:val="20"/>
          <w:color w:val="auto"/>
        </w:rPr>
        <w:tab/>
      </w:r>
      <w:r>
        <w:rPr>
          <w:rFonts w:ascii="Times New Roman" w:cs="Times New Roman" w:eastAsia="Times New Roman" w:hAnsi="Times New Roman"/>
          <w:sz w:val="18"/>
          <w:szCs w:val="18"/>
          <w:i w:val="1"/>
          <w:iCs w:val="1"/>
          <w:color w:val="auto"/>
        </w:rPr>
        <w:t>No Personal Liability of Directors, Officers, Employees and Stockholders.</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No director, manager, officer, employee, incorporator or stockholder of the Issuer or any Guarantor, as such, will have any liability for any obligations of the Issuer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12.09</w:t>
      </w:r>
      <w:r>
        <w:rPr>
          <w:sz w:val="20"/>
          <w:szCs w:val="20"/>
          <w:color w:val="auto"/>
        </w:rPr>
        <w:tab/>
      </w:r>
      <w:r>
        <w:rPr>
          <w:rFonts w:ascii="Times New Roman" w:cs="Times New Roman" w:eastAsia="Times New Roman" w:hAnsi="Times New Roman"/>
          <w:sz w:val="17"/>
          <w:szCs w:val="17"/>
          <w:i w:val="1"/>
          <w:iCs w:val="1"/>
          <w:color w:val="auto"/>
        </w:rPr>
        <w:t>Governing Law; Waiver of Jury Trial; Jurisdiction.</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INDENTURE AND THE NOTES, INCLUDING ANY NOTE GUARANTEES AND THE RIGHTS AND DUTIES OF THE PARTIES THEREUNDER SHALL BE GOVERNED BY AND CONSTRUED IN ACCORDANCE WITH THE LAWS OF THE STATE OF NEW YORK. THE ISSUER, GUARANTORS AND THE TRUSTEE HEREBY IRREVOCABLY WAIVE, TO THE FULLEST EXTENT PERMITTED BY APPLICABLE LAW, ANY AND ALL RIGHT TO TRIAL BY JURY IN ANY LEGAL PROCEEDING ARISING OUT OF OR RELATING TO THIS INDENTURE, THE NOTES OR THE TRANSACTIONS CONTEMPLATED HEREBY. THE ISSUER, GUARANTORS AND THE TRUSTEE HEREBY CONSENT AND IRREVOCABLY SUBMITS TO THE JURISDICTION OF ANY NEW YORK STATE OR U.S. FEDERAL COURT LOCATED IN THE BOROUGH OF MANHATTAN, CITY OF NEW YORK, COUNTY OF NEW YORK, STATE OF NEW YORK IN RELATION TO ANY LEGAL ACTION OR PROCEEDING (I) ARISING OUT OF, RELATING TO OR IN CONNECTION WITH THIS INDENTURE, AS SUPPLEMENTED, THE NOTES, THE GUARANTEES AND ANY RELATED DOCUMENTS AND/OR (II) ARISING UNDER ANY U.S. FEDERAL OR U.S. STATE SECURITIES LAWS IN RESPECT OF THE NOTES, THE GUARANTEES AND ANY SECURITIES ISSUED PURSUANT TO THE TERMS OF THIS INDENTURE, AS SUPPLEMENTED. THE ISSUER, THE GUARANTORS AND THE TRUSTEE WAIVE ANY OBJECTION TO PROCEEDINGS IN ANY SUCH COURTS, WHETHER ON THE GROUND OF VENUE OR ON THE GROUND THAT THE PROCEEDINGS HAVE BEEN BROUGHT IN AN INCONVENIENT FORUM. THE ISSUER AND THE GUARANTORS, TO THE EXTENT ORGANIZED OUTSIDE OF THE UNITED STATES, SHALL APPOINT ICON US HOLDINGS INC. (ICON US HOLDINGS INC., 731 ARBOR WAY, SUITE 100, BLUE BELL PA 19422), AS ITS AGENT FOR SERVICE OF PROCESS IN ANY SUCH SUIT, ACTION OR PROCEEDING AND AGREES THAT SERVICE OF PROCESS UPON SAID AUTHORIZED AGENT SHALL BE DEEMED IN EVERY RESPECT EFFECTIVE SERVICE OF PROCESS UPON IT IN ANY SUCH SUIT, ACTION OR PROCEEDING.</w:t>
      </w:r>
    </w:p>
    <w:p>
      <w:pPr>
        <w:spacing w:after="0" w:line="191"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12.10</w:t>
      </w:r>
      <w:r>
        <w:rPr>
          <w:sz w:val="20"/>
          <w:szCs w:val="20"/>
          <w:color w:val="auto"/>
        </w:rPr>
        <w:tab/>
      </w:r>
      <w:r>
        <w:rPr>
          <w:rFonts w:ascii="Times New Roman" w:cs="Times New Roman" w:eastAsia="Times New Roman" w:hAnsi="Times New Roman"/>
          <w:sz w:val="17"/>
          <w:szCs w:val="17"/>
          <w:i w:val="1"/>
          <w:iCs w:val="1"/>
          <w:color w:val="auto"/>
        </w:rPr>
        <w:t>No Adverse Interpretation of Other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Parent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12.11</w:t>
      </w:r>
      <w:r>
        <w:rPr>
          <w:sz w:val="20"/>
          <w:szCs w:val="20"/>
          <w:color w:val="auto"/>
        </w:rPr>
        <w:tab/>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All agreements of the Parent, the Issuer and the other Guarantors in this Indenture and the Notes will bind its successors. All agreements of the Trustee in this Indenture will bind its successors. All agreements of each Guarantor in this Indenture will bind its successors, except as otherwise provided in Section 10.04 hereof.</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117" w:name="page118"/>
    <w:bookmarkEnd w:id="117"/>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12.12</w:t>
      </w:r>
      <w:r>
        <w:rPr>
          <w:sz w:val="20"/>
          <w:szCs w:val="20"/>
          <w:color w:val="auto"/>
        </w:rPr>
        <w:tab/>
      </w:r>
      <w:r>
        <w:rPr>
          <w:rFonts w:ascii="Times New Roman" w:cs="Times New Roman" w:eastAsia="Times New Roman" w:hAnsi="Times New Roman"/>
          <w:sz w:val="17"/>
          <w:szCs w:val="17"/>
          <w:i w:val="1"/>
          <w:iCs w:val="1"/>
          <w:color w:val="auto"/>
        </w:rPr>
        <w:t>Severability.</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12.13</w:t>
      </w:r>
      <w:r>
        <w:rPr>
          <w:sz w:val="20"/>
          <w:szCs w:val="20"/>
          <w:color w:val="auto"/>
        </w:rPr>
        <w:tab/>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(which may be provided via facsimile or other electronic transmission) will be an original, but all of them together represent the same agreement. This Indenture may be executed in counterparts, each of which will be deemed an original, but all of which taken together will constitute one and the same instrument. Delivery of an executed counterpart of a signature page to this Indenture by facsimile or other electronic transmission shall be effective as delivery of a manually signed counterpart. The words “execution,” “signed,” “signature,” “delivery,” and words of like import in or relating to this Indenture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i w:val="1"/>
          <w:iCs w:val="1"/>
          <w:color w:val="auto"/>
        </w:rPr>
        <w:t>Electronic Signatures</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8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12.14</w:t>
      </w:r>
      <w:r>
        <w:rPr>
          <w:sz w:val="20"/>
          <w:szCs w:val="20"/>
          <w:color w:val="auto"/>
        </w:rPr>
        <w:tab/>
      </w:r>
      <w:r>
        <w:rPr>
          <w:rFonts w:ascii="Times New Roman" w:cs="Times New Roman" w:eastAsia="Times New Roman" w:hAnsi="Times New Roman"/>
          <w:sz w:val="17"/>
          <w:szCs w:val="17"/>
          <w:i w:val="1"/>
          <w:iCs w:val="1"/>
          <w:color w:val="auto"/>
        </w:rPr>
        <w:t>Table of Contents, Headings, etc.</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12.15</w:t>
      </w:r>
      <w:r>
        <w:rPr>
          <w:sz w:val="20"/>
          <w:szCs w:val="20"/>
          <w:color w:val="auto"/>
        </w:rPr>
        <w:tab/>
      </w:r>
      <w:r>
        <w:rPr>
          <w:rFonts w:ascii="Times New Roman" w:cs="Times New Roman" w:eastAsia="Times New Roman" w:hAnsi="Times New Roman"/>
          <w:sz w:val="18"/>
          <w:szCs w:val="18"/>
          <w:i w:val="1"/>
          <w:iCs w:val="1"/>
          <w:color w:val="auto"/>
        </w:rPr>
        <w:t>U.S.A. Patriot Act.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disasters, and interruptions,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8" w:name="page119"/>
    <w:bookmarkEnd w:id="118"/>
    <w:p>
      <w:pPr>
        <w:ind w:left="5140"/>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SECURITY</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8"/>
          <w:szCs w:val="18"/>
          <w:i w:val="1"/>
          <w:iCs w:val="1"/>
          <w:color w:val="auto"/>
        </w:rPr>
        <w:t>Security.</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so provided pursuant to Section 2.02(t) with respect to the Notes of any Series, the Notes of such Series and/or the Guarantees of such Notes may be secured by such property, assets or other collateral as may be specified in or pursuant to Section 2.02(t). Any and all terms and provisions applicable to the security for the Notes of such Series and/or such Guarantees shall also be provided in or pursuant to Section 2.02(t), which may include, without limitation, provisions for the execution and delivery of such security agreements, pledge agreements, collateral agreements and other similar or related agreements as the Issuer or any Guarantor may elect and which may provide for the Trustee (or an affiliate of the Trustee) to act as collateral agent or in a similar or other capacity.</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19" w:name="page120"/>
    <w:bookmarkEnd w:id="119"/>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as of May 8, 2024</w:t>
      </w:r>
      <w:r>
        <w:rPr>
          <w:sz w:val="20"/>
          <w:szCs w:val="20"/>
          <w:color w:val="auto"/>
        </w:rPr>
        <w:tab/>
      </w:r>
      <w:r>
        <w:rPr>
          <w:rFonts w:ascii="Times New Roman" w:cs="Times New Roman" w:eastAsia="Times New Roman" w:hAnsi="Times New Roman"/>
          <w:sz w:val="17"/>
          <w:szCs w:val="17"/>
          <w:color w:val="auto"/>
        </w:rPr>
        <w:t>ICON INVESTMENTS SIX DESIGNATED ACTIVITY COMPANY</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Simon Hollywood</w:t>
      </w:r>
    </w:p>
    <w:p>
      <w:pPr>
        <w:spacing w:after="0" w:line="23"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ICON PUBLIC LIMITED COMPANY</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Diarmaid Cunningham</w:t>
      </w:r>
    </w:p>
    <w:p>
      <w:pPr>
        <w:spacing w:after="0" w:line="23"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337" w:right="879"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Eva 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tabs>
          <w:tab w:leader="none" w:pos="5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Eva Waite</w:t>
      </w:r>
    </w:p>
    <w:p>
      <w:pPr>
        <w:spacing w:after="0" w:line="23" w:lineRule="exact"/>
        <w:rPr>
          <w:sz w:val="20"/>
          <w:szCs w:val="20"/>
          <w:color w:val="auto"/>
        </w:rPr>
      </w:pPr>
    </w:p>
    <w:p>
      <w:pPr>
        <w:jc w:val="both"/>
        <w:ind w:left="49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Senior 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EACH OF THE SUBSIDIARY GUARANTORS FROM TIME TO TIME PARTY HERETO,</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 LONDON BRANCH, as Notes Collateral Agent</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May 8,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May 8, 2024</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5.809% SENIOR SECURED NOTES DUE 2027</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5.849% SENIOR SECURED NOTES DUE 2029</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6.000% SENIOR SECURED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137160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9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792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Luxembourg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Creation of Notes; Designations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Forms Generally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and Terms of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Documents; Intercreditor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AND PREPAYMENT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Redemption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Redemption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Redemption for Changes in 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Redemption Procedures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 to Purchase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CERTAIN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 to Repurchase Upon Change of Control Triggering Event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Note Guarantees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Amounts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After-Acquired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Impairment of the Security Interests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NOTE GUARANTEES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Guarantees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Luxembourg Guarantee Limitation Language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79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434"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Documents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Suits to Protect the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 of Receipt of Funds by the Trustee Under the Collateral Documents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 Protected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Exercisable by Receiver or Trustee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Upon Termination of the Issuer’s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Collateral Agent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AMENDMENT, SUPPLEMENT AND WAIVER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Without Consent of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With Consent of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DEFEASANCE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Defeasance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the First Supplemental Indenture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Section</w:t>
            </w:r>
          </w:p>
        </w:tc>
        <w:tc>
          <w:tcPr>
            <w:tcW w:w="81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Beneficiaries of this First Supplemental Indenture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t>ANNEX</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Annex A</w:t>
      </w:r>
      <w:r>
        <w:rPr>
          <w:sz w:val="20"/>
          <w:szCs w:val="20"/>
          <w:color w:val="auto"/>
        </w:rPr>
        <w:tab/>
      </w:r>
      <w:r>
        <w:rPr>
          <w:rFonts w:ascii="Times New Roman" w:cs="Times New Roman" w:eastAsia="Times New Roman" w:hAnsi="Times New Roman"/>
          <w:sz w:val="18"/>
          <w:szCs w:val="18"/>
          <w:color w:val="auto"/>
        </w:rPr>
        <w:t>Agreed Guarantee and Security Principles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2027 Note</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2029 Note</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2034 Note</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Supplemental Indenture</w:t>
      </w:r>
    </w:p>
    <w:p>
      <w:pPr>
        <w:spacing w:after="0" w:line="16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960" w:type="dxa"/>
            <w:vAlign w:val="bottom"/>
          </w:tcPr>
          <w:p>
            <w:pPr>
              <w:jc w:val="center"/>
              <w:ind w:right="4190"/>
              <w:spacing w:after="0"/>
              <w:rPr>
                <w:sz w:val="20"/>
                <w:szCs w:val="20"/>
                <w:color w:val="auto"/>
              </w:rPr>
            </w:pPr>
            <w:r>
              <w:rPr>
                <w:rFonts w:ascii="Times New Roman" w:cs="Times New Roman" w:eastAsia="Times New Roman" w:hAnsi="Times New Roman"/>
                <w:sz w:val="18"/>
                <w:szCs w:val="18"/>
                <w:color w:val="auto"/>
                <w:w w:val="99"/>
              </w:rPr>
              <w:t>CROSS-REFERENCE TABLE*</w:t>
            </w:r>
          </w:p>
        </w:tc>
      </w:tr>
      <w:tr>
        <w:trPr>
          <w:trHeight w:val="414"/>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696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34"/>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314(d)</w:t>
            </w:r>
          </w:p>
        </w:tc>
        <w:tc>
          <w:tcPr>
            <w:tcW w:w="6960" w:type="dxa"/>
            <w:vAlign w:val="bottom"/>
          </w:tcPr>
          <w:p>
            <w:pPr>
              <w:jc w:val="right"/>
              <w:ind w:right="4450"/>
              <w:spacing w:after="0"/>
              <w:rPr>
                <w:sz w:val="20"/>
                <w:szCs w:val="20"/>
                <w:color w:val="auto"/>
              </w:rPr>
            </w:pPr>
            <w:r>
              <w:rPr>
                <w:rFonts w:ascii="Times New Roman" w:cs="Times New Roman" w:eastAsia="Times New Roman" w:hAnsi="Times New Roman"/>
                <w:sz w:val="18"/>
                <w:szCs w:val="18"/>
                <w:color w:val="auto"/>
              </w:rPr>
              <w:t>7.02</w:t>
            </w: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*This Cross-Reference Table is not part of the Indenture.</w:t>
            </w:r>
          </w:p>
        </w:tc>
        <w:tc>
          <w:tcPr>
            <w:tcW w:w="6960" w:type="dxa"/>
            <w:vAlign w:val="bottom"/>
          </w:tcPr>
          <w:p>
            <w:pPr>
              <w:spacing w:after="0"/>
              <w:rPr>
                <w:sz w:val="24"/>
                <w:szCs w:val="24"/>
                <w:color w:val="auto"/>
              </w:rPr>
            </w:pPr>
          </w:p>
        </w:tc>
      </w:tr>
      <w:tr>
        <w:trPr>
          <w:trHeight w:val="391"/>
        </w:trPr>
        <w:tc>
          <w:tcPr>
            <w:tcW w:w="4280" w:type="dxa"/>
            <w:vAlign w:val="bottom"/>
          </w:tcPr>
          <w:p>
            <w:pPr>
              <w:spacing w:after="0"/>
              <w:rPr>
                <w:sz w:val="24"/>
                <w:szCs w:val="24"/>
                <w:color w:val="auto"/>
              </w:rPr>
            </w:pPr>
          </w:p>
        </w:tc>
        <w:tc>
          <w:tcPr>
            <w:tcW w:w="6960" w:type="dxa"/>
            <w:vAlign w:val="bottom"/>
          </w:tcPr>
          <w:p>
            <w:pPr>
              <w:jc w:val="center"/>
              <w:ind w:right="4190"/>
              <w:spacing w:after="0"/>
              <w:rPr>
                <w:sz w:val="20"/>
                <w:szCs w:val="20"/>
                <w:color w:val="auto"/>
              </w:rPr>
            </w:pPr>
            <w:r>
              <w:rPr>
                <w:rFonts w:ascii="Times New Roman" w:cs="Times New Roman" w:eastAsia="Times New Roman" w:hAnsi="Times New Roman"/>
                <w:sz w:val="18"/>
                <w:szCs w:val="18"/>
                <w:color w:val="auto"/>
                <w:w w:val="78"/>
              </w:rPr>
              <w:t>i</w:t>
            </w:r>
          </w:p>
        </w:tc>
      </w:tr>
      <w:tr>
        <w:trPr>
          <w:trHeight w:val="61"/>
        </w:trPr>
        <w:tc>
          <w:tcPr>
            <w:tcW w:w="4280" w:type="dxa"/>
            <w:vAlign w:val="bottom"/>
            <w:tcBorders>
              <w:bottom w:val="single" w:sz="8" w:color="auto"/>
            </w:tcBorders>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126" w:name="page127"/>
    <w:bookmarkEnd w:id="126"/>
    <w:p>
      <w:pPr>
        <w:ind w:firstLine="648"/>
        <w:spacing w:after="0" w:line="258" w:lineRule="auto"/>
        <w:rPr>
          <w:sz w:val="20"/>
          <w:szCs w:val="20"/>
          <w:color w:val="auto"/>
        </w:rPr>
      </w:pPr>
      <w:r>
        <w:rPr>
          <w:rFonts w:ascii="Times New Roman" w:cs="Times New Roman" w:eastAsia="Times New Roman" w:hAnsi="Times New Roman"/>
          <w:sz w:val="18"/>
          <w:szCs w:val="18"/>
          <w:color w:val="auto"/>
        </w:rPr>
        <w:t>FIRST SUPPLEMENTAL INDENTURE, dated as of May 8, 2024 (this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among ICON INVESTMENTS SIX DESIGNATED ACTIVITY COMPANY, a designated activity company limited by shares in Ireland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ICON PUBLIC LIMITED COMPANY, a public limited company in Ireland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the guarantors from time to time party hereto (together with the Parent, the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CITIBANK, N.A., a national banking association, as Trustee, Paying Agent and Registrar and CITIBANK, N.A., LONDON BRANCH, as notes collateral agent (in such capacity,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WHEREAS, the Issuer has executed and delivered an Indenture, dated as of May 8, 2024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among the Issuer, the Parent and the Trustee, providing for the issuance from time to time of one or more Series of Securities;</w:t>
      </w:r>
    </w:p>
    <w:p>
      <w:pPr>
        <w:spacing w:after="0" w:line="16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WHEREAS, Section 2.01 of the Base Indenture permits the creation of the Securities of any Series with the terms and in the form permitted in Section 2.02 of the Base Indenture to be established in a supplemental indenture to the Base Indenture;</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WHEREAS, the Issuer has requested that the Trustee and the Notes Collateral Agent join with it and the Guarantors in the execution of this First Supplemental Indenture in order to supplement the Base Indenture by, among other things, establishing the forms and certain terms of three Series of Securities to be known as the Issuer’s “5.809% Senior Secured Notes due 2027”, “5.849% Senior Secured Notes due 2029” and “6.000% Senior Secured Notes due 2034”, respectively and adding certain provisions thereto for the benefit of the Holders of the Securities of each such Series;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WHEREAS, the Issuer desires that the Trustee and Notes Collateral Agent join with it in the execution and delivery of this First Supplemental Indenture, and in accordance with Sections 7.02, 9.01, 12.04 and 12.05 of the Base Indenture, the Issuer has delivered to the Trustee, an Officer’s Certificate and Opinion of Counsel stating that the execution of this First Supplemental Indenture is permitted by the Base Indenture and that all conditions precedent to its execution have been complied with, and the Base Indenture and this First Supplemental Indenture are valid and binding obligations of the Issuer and are enforceable in accordance with their terms; and</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WHEREAS, the Issuer has furnished the Trustee with a duly authorized and executed Authentication Order, dated May 8, 2024, authorizing the issuance of each Series of Securities established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27" w:name="page128"/>
    <w:bookmarkEnd w:id="127"/>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NOW, THEREFORE, the Issuer, the Guarantors, the Trustee and the Notes Collateral Agent agree as follows for the benefit of each other and for the equal and ratable benefit of the Holders of each Series of Securities established 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260" w:right="20" w:firstLine="639"/>
        <w:spacing w:after="0" w:line="261" w:lineRule="auto"/>
        <w:tabs>
          <w:tab w:leader="none" w:pos="14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as amended and supplemented in respect of the Notes by this First Supplemental Indenture is collectively referred to as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All capitalized terms which are used herein and not otherwise defined herein are defined in the Base Indenture and are used herein with the same meanings as the Base Indenture. If a capitalized term is defined both in the Base Indenture and this First Supplemental Indenture, the definition in this First Supplemental Indenture shall apply to the Notes established hereby (and any Note Guarantee in respect thereof).</w:t>
      </w:r>
    </w:p>
    <w:p>
      <w:pPr>
        <w:spacing w:after="0" w:line="179" w:lineRule="exact"/>
        <w:rPr>
          <w:rFonts w:ascii="Times New Roman" w:cs="Times New Roman" w:eastAsia="Times New Roman" w:hAnsi="Times New Roman"/>
          <w:sz w:val="18"/>
          <w:szCs w:val="18"/>
          <w:color w:val="auto"/>
        </w:rPr>
      </w:pPr>
    </w:p>
    <w:p>
      <w:pPr>
        <w:ind w:left="260" w:right="280" w:firstLine="639"/>
        <w:spacing w:after="0" w:line="282" w:lineRule="auto"/>
        <w:tabs>
          <w:tab w:leader="none" w:pos="143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Series of Notes issued pursuant to this First Supplemental Indenture, the following definitions shall be added to Section 1.01 of the Base Indenture: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2027 Notes</w:t>
      </w:r>
      <w:r>
        <w:rPr>
          <w:rFonts w:ascii="Times New Roman" w:cs="Times New Roman" w:eastAsia="Times New Roman" w:hAnsi="Times New Roman"/>
          <w:sz w:val="18"/>
          <w:szCs w:val="18"/>
          <w:color w:val="auto"/>
        </w:rPr>
        <w:t>” means the Issuer’s 5.809% Senior Secured Notes due 2027.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means the Issuer’s 5.849% Senior Secured Notes due 2029.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2034 Notes</w:t>
      </w:r>
      <w:r>
        <w:rPr>
          <w:rFonts w:ascii="Times New Roman" w:cs="Times New Roman" w:eastAsia="Times New Roman" w:hAnsi="Times New Roman"/>
          <w:sz w:val="18"/>
          <w:szCs w:val="18"/>
          <w:color w:val="auto"/>
        </w:rPr>
        <w:t>” means the Issuer’s 6.000% Senior Secured Notes due 2034.</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ACH Indebtedness</w:t>
      </w:r>
      <w:r>
        <w:rPr>
          <w:rFonts w:ascii="Times New Roman" w:cs="Times New Roman" w:eastAsia="Times New Roman" w:hAnsi="Times New Roman"/>
          <w:sz w:val="18"/>
          <w:szCs w:val="18"/>
          <w:color w:val="auto"/>
        </w:rPr>
        <w:t>” means indebtedness incurred in the ordinary course of business arising in connection with any automated clearinghouse transfers of funds or other payment processing service.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Agreed Guarantee and Security Principles</w:t>
      </w:r>
      <w:r>
        <w:rPr>
          <w:rFonts w:ascii="Times New Roman" w:cs="Times New Roman" w:eastAsia="Times New Roman" w:hAnsi="Times New Roman"/>
          <w:sz w:val="18"/>
          <w:szCs w:val="18"/>
          <w:color w:val="auto"/>
        </w:rPr>
        <w:t xml:space="preserve">” means the Agreed Guarantee and Security Principles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 the avoidance of doubt, the Agreed Guarantee and Security Principles shall only apply to Guarantees proposed to be granted by, assets of the Parent and the Foreign Subsidiaries, and Equity Interests in, the Foreign Subsidiaries.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the Indenture regardless of any change in GAAP following December 31, 2015 that would otherwise require such obligations to be recharacterized (on a prospective or retroactive basis or otherwise) as Capital Lease Obligations.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right="100" w:firstLine="656"/>
        <w:spacing w:after="0" w:line="276" w:lineRule="auto"/>
        <w:tabs>
          <w:tab w:leader="none" w:pos="1173"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United States dollars, Canadian dollars, euro, Pounds Sterling, Yen, Swiss Francs or any national currency of any member state of the European Union; (b) with respect to Parent or any Subsidiary, the national currency of the jurisdiction in which such Person is organized or domiciled, and</w:t>
      </w:r>
    </w:p>
    <w:p>
      <w:pPr>
        <w:ind w:left="260" w:hanging="252"/>
        <w:spacing w:after="0"/>
        <w:tabs>
          <w:tab w:leader="none" w:pos="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foreign currency held by the Parent and its Subsidiaries in the ordinary course of business;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ind w:left="-20" w:firstLine="656"/>
        <w:spacing w:after="0" w:line="266"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75" w:lineRule="exact"/>
        <w:rPr>
          <w:rFonts w:ascii="Times New Roman" w:cs="Times New Roman" w:eastAsia="Times New Roman" w:hAnsi="Times New Roman"/>
          <w:sz w:val="18"/>
          <w:szCs w:val="18"/>
          <w:color w:val="auto"/>
        </w:rPr>
      </w:pPr>
    </w:p>
    <w:p>
      <w:pPr>
        <w:ind w:left="-20" w:right="80" w:firstLine="656"/>
        <w:spacing w:after="0" w:line="282"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left="-20" w:right="140" w:firstLine="656"/>
        <w:spacing w:after="0" w:line="261"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 million in the case of U.S. banks and $250.0 million (or the foreign currency equivalent as of the date of determination) in the case of non-U.S. banks;</w:t>
      </w:r>
    </w:p>
    <w:p>
      <w:pPr>
        <w:spacing w:after="0" w:line="179" w:lineRule="exact"/>
        <w:rPr>
          <w:rFonts w:ascii="Times New Roman" w:cs="Times New Roman" w:eastAsia="Times New Roman" w:hAnsi="Times New Roman"/>
          <w:sz w:val="18"/>
          <w:szCs w:val="18"/>
          <w:color w:val="auto"/>
        </w:rPr>
      </w:pPr>
    </w:p>
    <w:p>
      <w:pPr>
        <w:ind w:left="-20" w:firstLine="656"/>
        <w:spacing w:after="0" w:line="282"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thirty (30) days for securities described in clauses (2) and (4) above and entered into with a financial institution satisfying the criteria described in clause (4) above;</w:t>
      </w:r>
    </w:p>
    <w:p>
      <w:pPr>
        <w:spacing w:after="0" w:line="161"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75"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175" w:lineRule="exact"/>
        <w:rPr>
          <w:rFonts w:ascii="Times New Roman" w:cs="Times New Roman" w:eastAsia="Times New Roman" w:hAnsi="Times New Roman"/>
          <w:sz w:val="18"/>
          <w:szCs w:val="18"/>
          <w:color w:val="auto"/>
        </w:rPr>
      </w:pPr>
    </w:p>
    <w:p>
      <w:pPr>
        <w:ind w:left="-20" w:right="80" w:firstLine="656"/>
        <w:spacing w:after="0" w:line="258" w:lineRule="auto"/>
        <w:tabs>
          <w:tab w:leader="none" w:pos="11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183" w:lineRule="exact"/>
        <w:rPr>
          <w:rFonts w:ascii="Times New Roman" w:cs="Times New Roman" w:eastAsia="Times New Roman" w:hAnsi="Times New Roman"/>
          <w:sz w:val="18"/>
          <w:szCs w:val="18"/>
          <w:color w:val="auto"/>
        </w:rPr>
      </w:pPr>
    </w:p>
    <w:p>
      <w:pPr>
        <w:ind w:left="1160" w:hanging="524"/>
        <w:spacing w:after="0"/>
        <w:tabs>
          <w:tab w:leader="none" w:pos="11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substantially all of their assets in securities of the types described in clauses (1) through (8) above; and</w:t>
      </w:r>
    </w:p>
    <w:p>
      <w:pPr>
        <w:spacing w:after="0" w:line="225" w:lineRule="exact"/>
        <w:rPr>
          <w:rFonts w:ascii="Times New Roman" w:cs="Times New Roman" w:eastAsia="Times New Roman" w:hAnsi="Times New Roman"/>
          <w:sz w:val="18"/>
          <w:szCs w:val="18"/>
          <w:color w:val="auto"/>
        </w:rPr>
      </w:pPr>
    </w:p>
    <w:p>
      <w:pPr>
        <w:ind w:left="-20" w:right="240" w:firstLine="656"/>
        <w:spacing w:after="0" w:line="312" w:lineRule="auto"/>
        <w:tabs>
          <w:tab w:leader="none" w:pos="124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the Parent or Foreign Subsidiary, other short-term investments that are analogous to the foregoing, are of comparable credit quality and are customarily used by companies in the jurisdiction of the Parent or such Foreign Subsidiary for cash management purposes.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29" w:name="page130"/>
    <w:bookmarkEnd w:id="129"/>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clause (1);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are converted into any currency listed in clause (1) as promptly as practicable and in any event within ten business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receipt of such amounts.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7" w:lineRule="exact"/>
        <w:rPr>
          <w:sz w:val="20"/>
          <w:szCs w:val="20"/>
          <w:color w:val="auto"/>
        </w:rPr>
      </w:pPr>
    </w:p>
    <w:p>
      <w:pPr>
        <w:jc w:val="both"/>
        <w:ind w:firstLine="656"/>
        <w:spacing w:after="0" w:line="261" w:lineRule="auto"/>
        <w:tabs>
          <w:tab w:leader="none" w:pos="12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the Parent or its wholly owned Subsidiaries or its or their employee benefit plans becomes the “beneficial owner” (as defined in Rules 13d-3 and 13d-5 under the Exchange Act), directly or indirectly, of more than 50% of the total outstanding Voting Stock of the Parent or the Issuer, as disclosed in a Schedule TO or any schedule, form or other report under the Exchange Act (other than Form 13F);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19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merges with or into another Person or sells, assigns, conveys, transfers, leases or otherwise disposes of all or substantially all of its assets to any Person (other than by way of merger or consolidation), or any Person merges with or into the Parent, in any such event pursuant to a transaction in which the outstanding Voting Stock of the Parent is converted into or exchanged for cash, securities or other property, other than any such transaction where (x) the outstanding Voting Stock of the Parent is converted into or exchanged for Voting Stock of the surviving or transferee corporation and (y) immediately after such transaction no “person” or “group” (as such terms are used in Sections 13(d) and 14(d) of the Exchange Act) is the “beneficial owner” (as defined in Rules 13d-3 and 13d-5 under the Exchange Act), directly or indirectly, of more than 50% of the total voting power represented by the outstanding Voting Stock of the surviving or transferee corporation;</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the Issuer is liquidated or dissolved or adopts a plan of liquidation or dissolution other than in a transaction which complies with the provisions described under Section 5.01 of the Base Indenture; or</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ceases to be either a direct or indirect wholly owned Subsidiary of the Parent.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constitute a Change of Control if (1) the Parent or the Issuer becomes a direct or indirect wholly owned Subsidiary of a holding company and (2)(A) the direct or indirect holders of the Voting Stock of such holding company immediately following that transaction are substantially the same as the holders of the Parent’s or the Issuer’s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1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means all of the assets and property of the Issuer or any Guarantor, whether real, personal or mixed securing or purported to secure any First Priority Notes Obligations, other than Excluded Assets. Notwithstanding the foregoing, with respect to the Guarantors organized in Luxembourg, the Collateral will be limited to the Capital Stock of its Subsidiaries organized in the United States, material bank accounts and material intercompany loans, in each case, of such Guarantor.</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means the security documents pursuant to which the Issuer and the Guarantors grant liens in favor of the Notes Collateral Agent to secure Obligations under the Indenture and each Series of Notes.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Release Event</w:t>
      </w:r>
      <w:r>
        <w:rPr>
          <w:rFonts w:ascii="Times New Roman" w:cs="Times New Roman" w:eastAsia="Times New Roman" w:hAnsi="Times New Roman"/>
          <w:sz w:val="18"/>
          <w:szCs w:val="18"/>
          <w:color w:val="auto"/>
        </w:rPr>
        <w:t>”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Notes and the Note Guarantees), and (B) the Issuer has delivered an Officer’s Certificate to the Trustee certifying that the condition set forth in clause (A) above is satisfied.</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Total Assets</w:t>
      </w:r>
      <w:r>
        <w:rPr>
          <w:rFonts w:ascii="Times New Roman" w:cs="Times New Roman" w:eastAsia="Times New Roman" w:hAnsi="Times New Roman"/>
          <w:sz w:val="18"/>
          <w:szCs w:val="18"/>
          <w:color w:val="auto"/>
        </w:rPr>
        <w:t>” means, with respect to any Person, the total amount of assets (less applicable reserves and other properly deductible items) as set forth on the most recent consolidated balance sheet of the Parent and computed in accordance with GAAP.</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Jurisdiction</w:t>
      </w:r>
      <w:r>
        <w:rPr>
          <w:rFonts w:ascii="Times New Roman" w:cs="Times New Roman" w:eastAsia="Times New Roman" w:hAnsi="Times New Roman"/>
          <w:sz w:val="18"/>
          <w:szCs w:val="18"/>
          <w:color w:val="auto"/>
        </w:rPr>
        <w:t>” means each of the United States (including any state or subdivision thereof), Luxembourg, Ireland and any other jurisdiction designated by the Parent and approved by the Credit Agreement Administrative Agent, acting reasonably and in good faith.</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 Administrative Agent</w:t>
      </w:r>
      <w:r>
        <w:rPr>
          <w:rFonts w:ascii="Times New Roman" w:cs="Times New Roman" w:eastAsia="Times New Roman" w:hAnsi="Times New Roman"/>
          <w:sz w:val="18"/>
          <w:szCs w:val="18"/>
          <w:color w:val="auto"/>
        </w:rPr>
        <w:t>” means Citibank, N.A., together with its permitted successors and assigns, as administrative agent under the Senior Secured Credit Facilities.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 Collateral Agent</w:t>
      </w:r>
      <w:r>
        <w:rPr>
          <w:rFonts w:ascii="Times New Roman" w:cs="Times New Roman" w:eastAsia="Times New Roman" w:hAnsi="Times New Roman"/>
          <w:sz w:val="18"/>
          <w:szCs w:val="18"/>
          <w:color w:val="auto"/>
        </w:rPr>
        <w:t>” means Citibank, N.A., London Branch, together with its permitted successors and assigns, as collateral agent under the Senior Secured Credit Facilities.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 Subsidiary organized under the laws of the United States, any state thereof or the District of Columbia.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Equally and Ratably Secured Indebtedness</w:t>
      </w:r>
      <w:r>
        <w:rPr>
          <w:rFonts w:ascii="Times New Roman" w:cs="Times New Roman" w:eastAsia="Times New Roman" w:hAnsi="Times New Roman"/>
          <w:sz w:val="18"/>
          <w:szCs w:val="18"/>
          <w:color w:val="auto"/>
        </w:rPr>
        <w:t>” means, as of any time of determination, all Indebtedness For Borrowed Money of the Parent or a Subsidiary of the Parent that is, at such time of determination, secured by any Lien on any assets of the Parent or any of its Subsidiaries, which Lien is not a Permitted Lien. As of the Issue Date, Indebtedness For Borrowed Money outstanding under the Senior Secured Credit Facilities and the Existing Notes shall constitute Equally and Ratably Secured Indebtedness.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indebtedness that is convertible into, or exchangeable for, Capital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1" w:name="page132"/>
    <w:bookmarkEnd w:id="1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Accounts</w:t>
      </w:r>
      <w:r>
        <w:rPr>
          <w:rFonts w:ascii="Times New Roman" w:cs="Times New Roman" w:eastAsia="Times New Roman" w:hAnsi="Times New Roman"/>
          <w:sz w:val="18"/>
          <w:szCs w:val="18"/>
          <w:color w:val="auto"/>
        </w:rPr>
        <w:t>” means (i) accounts used exclusively for payroll, (ii) accounts used exclusively for payroll taxes and/or withheld income taxes, (iii) accounts used exclusively for employee wage and benefit payments, (iv) escrow accounts and trust accounts, in each case entered into in the ordinary course of business and consistent with prudent business practice conduct where the Issuer or the applicable Guarantor holds the funds exclusively for the benefit of one or more unaffiliated third parties, (v) accounts exclusively used to secure letters of credit, bank guarantees, obligations under Treasury Management Arrangements and obligations under Swap 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 in respect of the Notes and the Note Guarantees.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Assets</w:t>
      </w:r>
      <w:r>
        <w:rPr>
          <w:rFonts w:ascii="Times New Roman" w:cs="Times New Roman" w:eastAsia="Times New Roman" w:hAnsi="Times New Roman"/>
          <w:sz w:val="18"/>
          <w:szCs w:val="18"/>
          <w:color w:val="auto"/>
        </w:rPr>
        <w:t>” means (i) any fee-owned real property and any leasehold interests in real property (other than the Headquarters); (ii) 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(or the equivalent thereof) under the credit agreement governing the Senior Secured Credit Facilities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the Parent or any of its “Restricted Subsidiary” (or the equivalent thereof) under the credit agreement governing the Senior Secured Credit Facilities (including as a result of the operation of Section 956 of the Code or any similar law or regulation in any applicable jurisdiction) as reasonably determined by the Issuer; (vii) any lease, license or other agreement and any property subject to a permitted purchase money security interest or similar permitted arrangement or Lien permitted by clauses (4), (5), (7) (solely in respect of Liens referenced in clauses (4), (5) and (11) of the definition of “Permitted Liens” in the credit agreement governing the Senior Secured Credit Facilities), (9) (with respect to cash collateral or deposits), (11), (16), (19), (22) (with respect to cash collateral or deposits with a value not in excess of $50,000,000), (27), and (34) of the definition of “Permitted Liens” in the credit agreement governing the Senior Secured Credit Facilities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the Issuer or any Guarantor), in each case (other than with respect to property subject to such purchase money interests or similar arrangements or Lien permitted by clauses (4), (5), (7) (solely in respect of Liens referenced in clauses (4), (5) and (11) of the definition of “Permitted Liens” in the credit agreement governing the Senior Secured Credit Facilities) or clause (11) of the definition of “Permitted Liens” in the credit agreement governing the Senior Secured Credit Facilities),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such credit agreement; (viii) those assets as to which the Issuer reasonably determines that the cost (including, without limitation, costs of notarization, taxes, stamp duties, registration or other applicable fees), consequences or burden of obtaining such a security interest or perfection thereof are excessive in relation to the benefit to the holders of the security to be afforded thereby; (ix) any of the capital stock of a “Restricted Subsidiary” (or the equivalent thereof) under the credit agreement governing the Senior Secured Credit Facilities not owned directly by the Issuer or a Guarantor; (x)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 any assets to the extent expressly excluded pursuant to the Agreed Guarantee and Security Principles; (xii) any “intent-to-use” applications for trademarks or service marks filed in the United States Patent and Trademark Office (“PTO”),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(xiii) any Excluded Accounts; (xiv) letter-of-credit rights (except to the extent a security interest therein can be perfected by the filing of UCC financing statements or similar filings under applicable law) (it being understood that no actions shall be required to perfect a security interest in letter of credit rights, other than the filing of a Uniform Commercial Code financing statement or applicable filings under applicable law); (xv) any commercial tort claim with a value not in excess of $10,000,000; (xvi) [reserved]; (xvii) [reserved]; (xviii) Equity Interests in any “Unrestricted Subsidiary” (or the equivalent thereof) under the credit agreement governing Senior Secured Credit Facilities; and (xiv) Equity Interests in Securitization Subsidiaries, to the extent a pledge of such Equity Interests is prohibited by the applicable Qualified Securitization Financing and Securitization Assets subject to Qualified Securitization Financing or a Qualified Receivables Factoring and (xv) so long as the Senior Secured Credit Facilities are outstanding, any asset that is not pledged to secure obligations arising in respect to the Senior Secured Credit Facilities (whether pursuant to the terms of the credit agreement governing the Senior Secured Credit Facilities (and any related documents)) or as a result of any determination made thereunder, or by amendment, waiver or otherwise (other than a release in connection with payment in full thereof). In addition notwithstanding anything to the contrary in the Indenture or any Collateral Document, the following assets shall not be required to be subject to a fixed charge in Ireland: (a) all plant and equipment, in each case, located in Ireland and (b) customer contracts or other agreements with third parties (including, without limitation, distribution agreements, license agreements or similar agreements), provided that, for the avoidance of doubt, the Headquarters shall be subject to a fixed charge in Ireland.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2" w:name="page133"/>
    <w:bookmarkEnd w:id="1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Subsidiary</w:t>
      </w:r>
      <w:r>
        <w:rPr>
          <w:rFonts w:ascii="Times New Roman" w:cs="Times New Roman" w:eastAsia="Times New Roman" w:hAnsi="Times New Roman"/>
          <w:sz w:val="18"/>
          <w:szCs w:val="18"/>
          <w:color w:val="auto"/>
        </w:rPr>
        <w:t>” means (a) any Foreign Subsidiary of any U.S. Corporate Subsidiary and, in the case of any such Foreign Subsidiary that is a CFC, any Subsidiary of such CFC; (b) any FSHCO, (c) any Subsidiary that is prohibited or restricted by applicable law, rule or regulation or by any contractual obligation existing on the Issue Date or at the time of acquisition thereof after the Issue Date and not in contemplation thereof, in each case, from guaranteeing the Notes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Issuer or any of its Subsidiaries (including as a result of the operation of Section 956 of the Code or any similar law or regulation in any applicable jurisdiction) as reasonably determined by the Issuer, (d) not-for-profit Subsidiaries, if any, (e) certain special purpose entities,</w:t>
      </w:r>
    </w:p>
    <w:p>
      <w:pPr>
        <w:spacing w:after="0" w:line="5" w:lineRule="exact"/>
        <w:rPr>
          <w:sz w:val="20"/>
          <w:szCs w:val="20"/>
          <w:color w:val="auto"/>
        </w:rPr>
      </w:pPr>
    </w:p>
    <w:p>
      <w:pPr>
        <w:jc w:val="both"/>
        <w:ind w:firstLine="8"/>
        <w:spacing w:after="0" w:line="253" w:lineRule="auto"/>
        <w:tabs>
          <w:tab w:leader="none" w:pos="2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captive insurance companies, if any, (g) any Subsidiary where the Issuer reasonably determines in good faith that the cost, consequences or burden of obtaining a guarantee by such Subsidiary would be excessive in light of the practical benefit afforded thereby, (h) IGPHS and each other Subsidiary listed on Schedule 1.01D of the Senior Secured Credit Facilities, (i) any non-wholly-owned Subsidiaries, (j) at the option of Issuer, an “Immaterial Subsidiary” under the credit agreement governing the Senior Secured Credit Facilites and (k) any Securitization Subsidiary.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3" w:name="page134"/>
    <w:bookmarkEnd w:id="133"/>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means the $500.0 million aggregate principal amount of 2.875% Senior Secured Notes due 2026, issued by PRA Health Sciences, Inc.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Notes Collateral Agent</w:t>
      </w:r>
      <w:r>
        <w:rPr>
          <w:rFonts w:ascii="Times New Roman" w:cs="Times New Roman" w:eastAsia="Times New Roman" w:hAnsi="Times New Roman"/>
          <w:sz w:val="18"/>
          <w:szCs w:val="18"/>
          <w:color w:val="auto"/>
        </w:rPr>
        <w:t>” means Citibank, N.A., London branch (together with its permitted successors).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Intercreditor Agreement</w:t>
      </w:r>
      <w:r>
        <w:rPr>
          <w:rFonts w:ascii="Times New Roman" w:cs="Times New Roman" w:eastAsia="Times New Roman" w:hAnsi="Times New Roman"/>
          <w:sz w:val="18"/>
          <w:szCs w:val="18"/>
          <w:color w:val="auto"/>
        </w:rPr>
        <w:t>” means that certain First Lien Intercreditor Agreement, dated as of July 1, 2021, among the Parent, the Issuer, the other Guarantors (as defined therein) party thereto, the Credit Agreement Administrative Agent, the Credit Agreement Collateral Agent, the Existing Notes Collateral Agent, the Notes Collateral Agent (by way of joinder, dated the Issue Date) and each additional authorized representative and collateral agent from time to time party thereto, as amended, restated, amended and restated, extended, supplemented or otherwise modified from time to time in accordance with its terms.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Priority Obligations</w:t>
      </w:r>
      <w:r>
        <w:rPr>
          <w:rFonts w:ascii="Times New Roman" w:cs="Times New Roman" w:eastAsia="Times New Roman" w:hAnsi="Times New Roman"/>
          <w:sz w:val="18"/>
          <w:szCs w:val="18"/>
          <w:color w:val="auto"/>
        </w:rPr>
        <w:t xml:space="preserve">” means the obligations under the Senior Secured Credit Facilities, the Existing Notes and each other type of outstanding (now or in the future) indebtedness that has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on the Collateral with respect to the Notes, the holders of which are subject to the First Lien Intercreditor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FSHCO</w:t>
      </w:r>
      <w:r>
        <w:rPr>
          <w:rFonts w:ascii="Times New Roman" w:cs="Times New Roman" w:eastAsia="Times New Roman" w:hAnsi="Times New Roman"/>
          <w:sz w:val="18"/>
          <w:szCs w:val="18"/>
          <w:color w:val="auto"/>
        </w:rPr>
        <w:t>” means any Domestic Subsidiary of any U.S. Corporate Subsidiary that has no material assets other than equity interests and/or indebtedness of one or more (1) Foreign Subsidiaries of any U.S. Corporate Subsidiary that were Foreign Subsidiaries of a U.S. Corporate Subsidiary on the Issue Date or (2) entities described in clause (1).</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means the Parent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Headquarters</w:t>
      </w:r>
      <w:r>
        <w:rPr>
          <w:rFonts w:ascii="Times New Roman" w:cs="Times New Roman" w:eastAsia="Times New Roman" w:hAnsi="Times New Roman"/>
          <w:sz w:val="18"/>
          <w:szCs w:val="18"/>
          <w:color w:val="auto"/>
        </w:rPr>
        <w:t>” means the corporate headquarters of the Parent as of the Issue Date, located in Dublin, Ireland.</w:t>
      </w:r>
    </w:p>
    <w:p>
      <w:pPr>
        <w:spacing w:after="0" w:line="1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IGPHS</w:t>
      </w:r>
      <w:r>
        <w:rPr>
          <w:rFonts w:ascii="Times New Roman" w:cs="Times New Roman" w:eastAsia="Times New Roman" w:hAnsi="Times New Roman"/>
          <w:sz w:val="18"/>
          <w:szCs w:val="18"/>
          <w:color w:val="auto"/>
        </w:rPr>
        <w:t>” means ICON Government and Public Health Solutions, Inc.</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 For Borrowed Money</w:t>
      </w:r>
      <w:r>
        <w:rPr>
          <w:rFonts w:ascii="Times New Roman" w:cs="Times New Roman" w:eastAsia="Times New Roman" w:hAnsi="Times New Roman"/>
          <w:sz w:val="18"/>
          <w:szCs w:val="18"/>
          <w:color w:val="auto"/>
        </w:rPr>
        <w:t>”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Insolvency or Liquidation Proceeding</w:t>
      </w:r>
      <w:r>
        <w:rPr>
          <w:rFonts w:ascii="Times New Roman" w:cs="Times New Roman" w:eastAsia="Times New Roman" w:hAnsi="Times New Roman"/>
          <w:sz w:val="18"/>
          <w:szCs w:val="18"/>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rescue process, administration or other similar event, case, process, action or proceeding or private or judicial foreclosure with respect to any such Person or with respect to all or any material portion of its assets, (c) any liquidation, dissolution, examinership, rescue process, reorganization or winding up of any such Person whether voluntary or involuntary or otherwise and whether or not involving insolvency or bankruptcy or (d) any assignment for the benefit of creditors or any other marshalling of all or any material part of the assets and liabilities of any such Person. In addition, in respect of any Guarantor incorporated in Luxembourg or having its “centre of main interests” in Luxembourg, “Insolvency or Liquidation Proceeding” shall also mean a Luxembourg Insolvency Event.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of Baa3 or better by Moody’s (or its equivalent under any successor rating categories of Moody’s), BBB- or better by S&amp;P (or its equivalent under any successor rating categories of S&amp;P) and a rating of BBB- or better by Fitch (or its equivalent under any successor rating categories of Fitch) or the equivalent investment grade credit rating from any additional Rating Agency or Rating Agencies selected by the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May 8, 2024.</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 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provided that in no event shall any operating lease or any non-exclusive license, sub-license or cross-license to intellectual property be deemed to constitute a Lien.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5" w:name="page136"/>
    <w:bookmarkEnd w:id="135"/>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 Guarantor</w:t>
      </w:r>
      <w:r>
        <w:rPr>
          <w:rFonts w:ascii="Times New Roman" w:cs="Times New Roman" w:eastAsia="Times New Roman" w:hAnsi="Times New Roman"/>
          <w:sz w:val="18"/>
          <w:szCs w:val="18"/>
          <w:color w:val="auto"/>
        </w:rPr>
        <w:t>” means ICON Luxembourg, S.à r.l., a private limited liability company (société à responsabilité limitée) incorporated under the laws of Luxembourg, having its registered office at 61, rue de Rollingergrund, L-2440 Luxembourg, and registered with the Luxembourg Register of Commerce and Companies (R.C.S. Luxembourg) under number B66588 and any Guarantor incorporated under the laws of Luxembourg and/or having its registered office and its “centre of main interests” (as this term is used in Article 3(1) of Regulation (EU) 2015/848 of 20 May 2015 on insolvency proceeds (recast)) in Luxembourg, in each case, until the Note Guarantee of such Luxembourg Guarantor is released in accordance with the terms of this First Supplemental Indenture.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 Insolvency Event</w:t>
      </w:r>
      <w:r>
        <w:rPr>
          <w:rFonts w:ascii="Times New Roman" w:cs="Times New Roman" w:eastAsia="Times New Roman" w:hAnsi="Times New Roman"/>
          <w:sz w:val="18"/>
          <w:szCs w:val="18"/>
          <w:color w:val="auto"/>
        </w:rPr>
        <w:t>” means, in relation to any entity incorporated or existing under the laws of Luxembourg or any of their assets,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action, legal proceedings or other procedure or step in relation to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judicial or voluntary liquidation (</w:t>
      </w:r>
      <w:r>
        <w:rPr>
          <w:rFonts w:ascii="Times New Roman" w:cs="Times New Roman" w:eastAsia="Times New Roman" w:hAnsi="Times New Roman"/>
          <w:sz w:val="18"/>
          <w:szCs w:val="18"/>
          <w:i w:val="1"/>
          <w:iCs w:val="1"/>
          <w:color w:val="auto"/>
        </w:rPr>
        <w:t>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judiciaire ou volontaire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sans liquidation</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action paulienne</w:t>
      </w:r>
      <w:r>
        <w:rPr>
          <w:rFonts w:ascii="Times New Roman" w:cs="Times New Roman" w:eastAsia="Times New Roman" w:hAnsi="Times New Roman"/>
          <w:sz w:val="18"/>
          <w:szCs w:val="18"/>
          <w:color w:val="auto"/>
        </w:rPr>
        <w:t>), out-of-court mutual agreement (</w:t>
      </w:r>
      <w:r>
        <w:rPr>
          <w:rFonts w:ascii="Times New Roman" w:cs="Times New Roman" w:eastAsia="Times New Roman" w:hAnsi="Times New Roman"/>
          <w:sz w:val="18"/>
          <w:szCs w:val="18"/>
          <w:i w:val="1"/>
          <w:iCs w:val="1"/>
          <w:color w:val="auto"/>
        </w:rPr>
        <w:t>réorganisation extra-judiciaire par accord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amiable</w:t>
      </w:r>
      <w:r>
        <w:rPr>
          <w:rFonts w:ascii="Times New Roman" w:cs="Times New Roman" w:eastAsia="Times New Roman" w:hAnsi="Times New Roman"/>
          <w:sz w:val="18"/>
          <w:szCs w:val="18"/>
          <w:color w:val="auto"/>
        </w:rPr>
        <w:t>), judicial reorganisation in the form of a stay to enter into a mutual agreement (</w:t>
      </w:r>
      <w:r>
        <w:rPr>
          <w:rFonts w:ascii="Times New Roman" w:cs="Times New Roman" w:eastAsia="Times New Roman" w:hAnsi="Times New Roman"/>
          <w:sz w:val="18"/>
          <w:szCs w:val="18"/>
          <w:i w:val="1"/>
          <w:iCs w:val="1"/>
          <w:color w:val="auto"/>
        </w:rPr>
        <w:t>sursis en vue de la conclusion d’un accord amiable</w:t>
      </w:r>
      <w:r>
        <w:rPr>
          <w:rFonts w:ascii="Times New Roman" w:cs="Times New Roman" w:eastAsia="Times New Roman" w:hAnsi="Times New Roman"/>
          <w:sz w:val="18"/>
          <w:szCs w:val="18"/>
          <w:color w:val="auto"/>
        </w:rPr>
        <w:t>), judicial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reorganisation by collective 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judicial reorganisation by transfer of assets or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 (</w:t>
      </w:r>
      <w:r>
        <w:rPr>
          <w:rFonts w:ascii="Times New Roman" w:cs="Times New Roman" w:eastAsia="Times New Roman" w:hAnsi="Times New Roman"/>
          <w:sz w:val="18"/>
          <w:szCs w:val="18"/>
          <w:i w:val="1"/>
          <w:iCs w:val="1"/>
          <w:color w:val="auto"/>
        </w:rPr>
        <w:t>mesures en vue de préserver 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entreprises</w:t>
      </w:r>
      <w:r>
        <w:rPr>
          <w:rFonts w:ascii="Times New Roman" w:cs="Times New Roman" w:eastAsia="Times New Roman" w:hAnsi="Times New Roman"/>
          <w:sz w:val="18"/>
          <w:szCs w:val="18"/>
          <w:color w:val="auto"/>
        </w:rPr>
        <w:t>), general settlement with creditors, reorganisation or any other similar proceedings affecting the rights of creditors generally, the appointment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mandataire judiciaire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conciliateur</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i w:val="1"/>
          <w:iCs w:val="1"/>
          <w:color w:val="auto"/>
        </w:rPr>
        <w:t>administrateur provisoire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 has the meaning assigned to such term in Regulation U of the Board of Governors of the Federal Reserve System of the United States of America.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means, collectively, the 2027 Notes, the 2029 Notes and the 2034 Notes, including, in each case, any Additional Notes.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(including all post-petition interest, fees, and expenses, whether or not allowed or allowable in the applicable Insolvency or Liquidation Proceeding), penalties, fees, indemnifications, reimbursements, damages and other liabilities payable under the documentation governing any Indebtedness For Borrowed Money.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means a Change of Control Offer or Alternate Change of Control Offer.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5540" w:right="2520" w:hanging="4884"/>
        <w:spacing w:after="0" w:line="485" w:lineRule="auto"/>
        <w:tabs>
          <w:tab w:leader="none" w:pos="118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obligations with regard to Treasury Management Arrangements and hedging obligations;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6" w:name="page137"/>
    <w:bookmarkEnd w:id="136"/>
    <w:p>
      <w:pPr>
        <w:ind w:left="1172" w:hanging="524"/>
        <w:spacing w:after="0"/>
        <w:tabs>
          <w:tab w:leader="none" w:pos="117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Parent or any Subsidiary;</w:t>
      </w:r>
    </w:p>
    <w:p>
      <w:pPr>
        <w:spacing w:after="0" w:line="225" w:lineRule="exact"/>
        <w:rPr>
          <w:rFonts w:ascii="Times New Roman" w:cs="Times New Roman" w:eastAsia="Times New Roman" w:hAnsi="Times New Roman"/>
          <w:sz w:val="18"/>
          <w:szCs w:val="18"/>
          <w:color w:val="auto"/>
        </w:rPr>
      </w:pPr>
    </w:p>
    <w:p>
      <w:pPr>
        <w:ind w:left="-8" w:right="80" w:firstLine="656"/>
        <w:spacing w:after="0" w:line="258" w:lineRule="auto"/>
        <w:tabs>
          <w:tab w:leader="none" w:pos="116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Equity Interests of another Person existing at the time such other Person becomes a Subsidiary of the Parent or is merged with or into or consolidated with the Parent or any Subsidiary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 are not incurred in contemplation thereof and (b) do not extend to any other property owned by the Parent or any of the Subsidiaries (other than after acquired property of such Person (to the extent required to become subject to such Liens under the terms of the applicable agreements as in effect at the time such Person becomes a Subsidiary of the Parent) assets and property affixed or appurtenant thereto);</w:t>
      </w:r>
    </w:p>
    <w:p>
      <w:pPr>
        <w:spacing w:after="0" w:line="183" w:lineRule="exact"/>
        <w:rPr>
          <w:rFonts w:ascii="Times New Roman" w:cs="Times New Roman" w:eastAsia="Times New Roman" w:hAnsi="Times New Roman"/>
          <w:sz w:val="18"/>
          <w:szCs w:val="18"/>
          <w:color w:val="auto"/>
        </w:rPr>
      </w:pPr>
    </w:p>
    <w:p>
      <w:pPr>
        <w:ind w:left="-8" w:right="400" w:firstLine="656"/>
        <w:spacing w:after="0" w:line="282" w:lineRule="auto"/>
        <w:tabs>
          <w:tab w:leader="none" w:pos="116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Equity Interests) existing at the time of acquisition of the property by the Parent or any Subsidiary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in existence prior to such acquisition and not incurred in contemplation of, such acquisition;</w:t>
      </w:r>
    </w:p>
    <w:p>
      <w:pPr>
        <w:spacing w:after="0" w:line="161" w:lineRule="exact"/>
        <w:rPr>
          <w:rFonts w:ascii="Times New Roman" w:cs="Times New Roman" w:eastAsia="Times New Roman" w:hAnsi="Times New Roman"/>
          <w:sz w:val="18"/>
          <w:szCs w:val="18"/>
          <w:color w:val="auto"/>
        </w:rPr>
      </w:pPr>
    </w:p>
    <w:p>
      <w:pPr>
        <w:ind w:left="-8" w:firstLine="656"/>
        <w:spacing w:after="0" w:line="255" w:lineRule="auto"/>
        <w:tabs>
          <w:tab w:leader="none" w:pos="116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or similar instruments issued to assure payment or performance of such obligations), (b) in respect of letters of credit, bank guarantees or similar instruments issued for the account of the Parent or any Subsidiary supporting obligations of the type set forth in clause (a) above and (c) Liens on cash and Cash Equivalents securing letters of credit issued in the ordinary course of business;</w:t>
      </w:r>
    </w:p>
    <w:p>
      <w:pPr>
        <w:spacing w:after="0" w:line="188" w:lineRule="exact"/>
        <w:rPr>
          <w:rFonts w:ascii="Times New Roman" w:cs="Times New Roman" w:eastAsia="Times New Roman" w:hAnsi="Times New Roman"/>
          <w:sz w:val="18"/>
          <w:szCs w:val="18"/>
          <w:color w:val="auto"/>
        </w:rPr>
      </w:pPr>
    </w:p>
    <w:p>
      <w:pPr>
        <w:ind w:left="1172" w:hanging="524"/>
        <w:spacing w:after="0"/>
        <w:tabs>
          <w:tab w:leader="none" w:pos="117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securities that are the subject of repurchase agreements permitted hereunder;</w:t>
      </w:r>
    </w:p>
    <w:p>
      <w:pPr>
        <w:spacing w:after="0" w:line="225" w:lineRule="exact"/>
        <w:rPr>
          <w:rFonts w:ascii="Times New Roman" w:cs="Times New Roman" w:eastAsia="Times New Roman" w:hAnsi="Times New Roman"/>
          <w:sz w:val="18"/>
          <w:szCs w:val="18"/>
          <w:color w:val="auto"/>
        </w:rPr>
      </w:pPr>
    </w:p>
    <w:p>
      <w:pPr>
        <w:ind w:left="1172" w:hanging="524"/>
        <w:spacing w:after="0"/>
        <w:tabs>
          <w:tab w:leader="none" w:pos="117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to secure Capital Lease Obligations or in connection with any sale and leaseback arrangements or finance lease obligations and</w:t>
      </w:r>
    </w:p>
    <w:p>
      <w:pPr>
        <w:spacing w:after="0" w:line="27" w:lineRule="exact"/>
        <w:rPr>
          <w:rFonts w:ascii="Times New Roman" w:cs="Times New Roman" w:eastAsia="Times New Roman" w:hAnsi="Times New Roman"/>
          <w:sz w:val="18"/>
          <w:szCs w:val="18"/>
          <w:color w:val="auto"/>
        </w:rPr>
      </w:pPr>
    </w:p>
    <w:p>
      <w:pPr>
        <w:ind w:left="-8" w:right="20" w:firstLine="8"/>
        <w:spacing w:after="0" w:line="252" w:lineRule="auto"/>
        <w:tabs>
          <w:tab w:leader="none" w:pos="24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indebtedness (including Capital Lease Obligations) incurred to finance the acquisition, construction, installation, maintenance, service, repair, replacement, remodeling, modernization, expansion, upgrade, development, update or improvement of property (real or personal), equipment or other assets (whether through the direct purchase of assets or the Capital Stock of any Person owning such assets) used or useful in the business of the Parent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attach concurrently with or within 365 days after the acquisition, construction, installation, maintenance, service, repair, replacement, remodeling, modernization, expansion, upgrade, development, update or improvement of the property subject to such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individual financings of equipment provided by one lender may be cross collateralized to other financings of equipment provided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w:t>
      </w:r>
    </w:p>
    <w:p>
      <w:pPr>
        <w:spacing w:after="0" w:line="188" w:lineRule="exact"/>
        <w:rPr>
          <w:rFonts w:ascii="Times New Roman" w:cs="Times New Roman" w:eastAsia="Times New Roman" w:hAnsi="Times New Roman"/>
          <w:sz w:val="18"/>
          <w:szCs w:val="18"/>
          <w:color w:val="auto"/>
        </w:rPr>
      </w:pPr>
    </w:p>
    <w:p>
      <w:pPr>
        <w:ind w:left="-8" w:right="60" w:firstLine="656"/>
        <w:spacing w:after="0" w:line="261" w:lineRule="auto"/>
        <w:tabs>
          <w:tab w:leader="none" w:pos="116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Issue Date (other than Liens securing the Senior Secured Credit Facilities, the Existing Notes and the related note guarantees and any modifications, replacements, renewals or extensions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(x) after-acquired property that is affixed or incorporated into the property covered by such Lien and (y) proceeds and products thereof);</w:t>
      </w:r>
    </w:p>
    <w:p>
      <w:pPr>
        <w:spacing w:after="0" w:line="1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37" w:name="page138"/>
    <w:bookmarkEnd w:id="137"/>
    <w:p>
      <w:pPr>
        <w:ind w:left="-20" w:right="60" w:firstLine="656"/>
        <w:spacing w:after="0" w:line="266" w:lineRule="auto"/>
        <w:tabs>
          <w:tab w:leader="none" w:pos="11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claims that are (a) not yet delinquent, or (b) being contested in good faith by appropriate proceedings and with respect to which adequate reserves have been established in accordance with, and to the extent required by, applicable accounting standards;</w:t>
      </w:r>
    </w:p>
    <w:p>
      <w:pPr>
        <w:spacing w:after="0" w:line="175" w:lineRule="exact"/>
        <w:rPr>
          <w:rFonts w:ascii="Times New Roman" w:cs="Times New Roman" w:eastAsia="Times New Roman" w:hAnsi="Times New Roman"/>
          <w:sz w:val="18"/>
          <w:szCs w:val="18"/>
          <w:color w:val="auto"/>
        </w:rPr>
      </w:pPr>
    </w:p>
    <w:p>
      <w:pPr>
        <w:ind w:left="-20" w:right="620" w:firstLine="656"/>
        <w:spacing w:after="0" w:line="282" w:lineRule="auto"/>
        <w:tabs>
          <w:tab w:leader="none" w:pos="12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landlord’s and mechanics’ Liens, in each case, either (a) incurred in the ordinary course of business or (b) for sums not yet due or being contested in good faith by appropriate proceedings;</w:t>
      </w:r>
    </w:p>
    <w:p>
      <w:pPr>
        <w:spacing w:after="0" w:line="161" w:lineRule="exact"/>
        <w:rPr>
          <w:rFonts w:ascii="Times New Roman" w:cs="Times New Roman" w:eastAsia="Times New Roman" w:hAnsi="Times New Roman"/>
          <w:sz w:val="18"/>
          <w:szCs w:val="18"/>
          <w:color w:val="auto"/>
        </w:rPr>
      </w:pPr>
    </w:p>
    <w:p>
      <w:pPr>
        <w:ind w:left="-20" w:firstLine="656"/>
        <w:spacing w:after="0" w:line="261"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179"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and the Note Guarantees;</w:t>
      </w:r>
    </w:p>
    <w:p>
      <w:pPr>
        <w:spacing w:after="0" w:line="225" w:lineRule="exact"/>
        <w:rPr>
          <w:rFonts w:ascii="Times New Roman" w:cs="Times New Roman" w:eastAsia="Times New Roman" w:hAnsi="Times New Roman"/>
          <w:sz w:val="18"/>
          <w:szCs w:val="18"/>
          <w:color w:val="auto"/>
        </w:rPr>
      </w:pPr>
    </w:p>
    <w:p>
      <w:pPr>
        <w:ind w:left="-20" w:right="680" w:firstLine="656"/>
        <w:spacing w:after="0" w:line="282" w:lineRule="auto"/>
        <w:tabs>
          <w:tab w:leader="none" w:pos="12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premiums and proceeds thereof, or other deposits, to secure insurance premium financings and other liabilities to insurance carriers;</w:t>
      </w:r>
    </w:p>
    <w:p>
      <w:pPr>
        <w:spacing w:after="0" w:line="161" w:lineRule="exact"/>
        <w:rPr>
          <w:rFonts w:ascii="Times New Roman" w:cs="Times New Roman" w:eastAsia="Times New Roman" w:hAnsi="Times New Roman"/>
          <w:sz w:val="18"/>
          <w:szCs w:val="18"/>
          <w:color w:val="auto"/>
        </w:rPr>
      </w:pPr>
    </w:p>
    <w:p>
      <w:pPr>
        <w:ind w:left="-20" w:right="640" w:firstLine="656"/>
        <w:spacing w:after="0" w:line="282" w:lineRule="auto"/>
        <w:tabs>
          <w:tab w:leader="none" w:pos="12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regarding operating leases or consignments entered into by the Parent and the Subsidiaries and other precautionary UCC financing statements or similar filings;</w:t>
      </w:r>
    </w:p>
    <w:p>
      <w:pPr>
        <w:spacing w:after="0" w:line="161" w:lineRule="exact"/>
        <w:rPr>
          <w:rFonts w:ascii="Times New Roman" w:cs="Times New Roman" w:eastAsia="Times New Roman" w:hAnsi="Times New Roman"/>
          <w:sz w:val="18"/>
          <w:szCs w:val="18"/>
          <w:color w:val="auto"/>
        </w:rPr>
      </w:pPr>
    </w:p>
    <w:p>
      <w:pPr>
        <w:ind w:left="-20" w:right="40" w:firstLine="656"/>
        <w:spacing w:after="0" w:line="261" w:lineRule="auto"/>
        <w:tabs>
          <w:tab w:leader="none" w:pos="12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arising out of judgments, decrees, orders, awards or notices of lis pendens and associated rights related to litigation with respect to which such Person shall then be proceeding with an appeal or other proceedings for review, or in respect of which the period within which such appeal or proceedings may be initiated shall not have expired, and Liens on litigation proceeds securing obligations to pay expenses incurred in connection with such litigation;</w:t>
      </w:r>
    </w:p>
    <w:p>
      <w:pPr>
        <w:spacing w:after="0" w:line="179" w:lineRule="exact"/>
        <w:rPr>
          <w:rFonts w:ascii="Times New Roman" w:cs="Times New Roman" w:eastAsia="Times New Roman" w:hAnsi="Times New Roman"/>
          <w:sz w:val="18"/>
          <w:szCs w:val="18"/>
          <w:color w:val="auto"/>
        </w:rPr>
      </w:pPr>
    </w:p>
    <w:p>
      <w:pPr>
        <w:ind w:left="-20" w:right="220" w:firstLine="656"/>
        <w:spacing w:after="0" w:line="266" w:lineRule="auto"/>
        <w:tabs>
          <w:tab w:leader="none" w:pos="12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17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w:t>
      </w:r>
    </w:p>
    <w:p>
      <w:pPr>
        <w:spacing w:after="0" w:line="225" w:lineRule="exact"/>
        <w:rPr>
          <w:rFonts w:ascii="Times New Roman" w:cs="Times New Roman" w:eastAsia="Times New Roman" w:hAnsi="Times New Roman"/>
          <w:sz w:val="18"/>
          <w:szCs w:val="18"/>
          <w:color w:val="auto"/>
        </w:rPr>
      </w:pPr>
    </w:p>
    <w:p>
      <w:pPr>
        <w:ind w:left="-20" w:right="60" w:firstLine="656"/>
        <w:spacing w:after="0" w:line="312" w:lineRule="auto"/>
        <w:tabs>
          <w:tab w:leader="none" w:pos="124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specific items of inventory or other goods (and the proceeds thereof) of any Person securing such Person’s obligations in respect of bankers’ acceptances issued or created for the account of such Person to facilitate the purchase, shipment or storage of such inventory or other goods;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38" w:name="page139"/>
    <w:bookmarkEnd w:id="138"/>
    <w:p>
      <w:pPr>
        <w:ind w:left="-20" w:right="4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61"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obligations under or in respect of Swap Agreements;</w:t>
      </w:r>
    </w:p>
    <w:p>
      <w:pPr>
        <w:spacing w:after="0" w:line="225" w:lineRule="exact"/>
        <w:rPr>
          <w:rFonts w:ascii="Times New Roman" w:cs="Times New Roman" w:eastAsia="Times New Roman" w:hAnsi="Times New Roman"/>
          <w:sz w:val="18"/>
          <w:szCs w:val="18"/>
          <w:color w:val="auto"/>
        </w:rPr>
      </w:pPr>
    </w:p>
    <w:p>
      <w:pPr>
        <w:ind w:left="-20" w:right="22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20" w:right="62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or inventory of the Parent or any Subsidiary granted in the ordinary course of business to the Parent’s or such Subsidiary’s supplier at which such equipment or inventory is located;</w:t>
      </w:r>
    </w:p>
    <w:p>
      <w:pPr>
        <w:spacing w:after="0" w:line="161" w:lineRule="exact"/>
        <w:rPr>
          <w:rFonts w:ascii="Times New Roman" w:cs="Times New Roman" w:eastAsia="Times New Roman" w:hAnsi="Times New Roman"/>
          <w:sz w:val="18"/>
          <w:szCs w:val="18"/>
          <w:color w:val="auto"/>
        </w:rPr>
      </w:pPr>
    </w:p>
    <w:p>
      <w:pPr>
        <w:ind w:left="-20" w:right="68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with respect to Capital Stock of any joint venture, minority investment or similar arrangement pursuant to any joint venture, shareholder, investor rights or similar agreement;</w:t>
      </w:r>
    </w:p>
    <w:p>
      <w:pPr>
        <w:spacing w:after="0" w:line="161" w:lineRule="exact"/>
        <w:rPr>
          <w:rFonts w:ascii="Times New Roman" w:cs="Times New Roman" w:eastAsia="Times New Roman" w:hAnsi="Times New Roman"/>
          <w:sz w:val="18"/>
          <w:szCs w:val="18"/>
          <w:color w:val="auto"/>
        </w:rPr>
      </w:pPr>
    </w:p>
    <w:p>
      <w:pPr>
        <w:ind w:left="-20" w:right="24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non-exclusive licenses or non-exclusive sublicenses granted to third parties entered into in the ordinary course of business which do not materially interfere with the conduct of the business of the Parent and the Subsidiaries and which do not secure any indebtedness;</w:t>
      </w:r>
    </w:p>
    <w:p>
      <w:pPr>
        <w:spacing w:after="0" w:line="161" w:lineRule="exact"/>
        <w:rPr>
          <w:rFonts w:ascii="Times New Roman" w:cs="Times New Roman" w:eastAsia="Times New Roman" w:hAnsi="Times New Roman"/>
          <w:sz w:val="18"/>
          <w:szCs w:val="18"/>
          <w:color w:val="auto"/>
        </w:rPr>
      </w:pPr>
    </w:p>
    <w:p>
      <w:pPr>
        <w:ind w:left="-20" w:right="180" w:firstLine="656"/>
        <w:spacing w:after="0" w:line="266"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on items in the course of collection and (b) attaching to commodity trading accounts or other commodities brokerage accounts incurred in the ordinary course of business, including Liens encumbering reasonable customary initial deposits and margin deposits;</w:t>
      </w:r>
    </w:p>
    <w:p>
      <w:pPr>
        <w:spacing w:after="0" w:line="175" w:lineRule="exact"/>
        <w:rPr>
          <w:rFonts w:ascii="Times New Roman" w:cs="Times New Roman" w:eastAsia="Times New Roman" w:hAnsi="Times New Roman"/>
          <w:sz w:val="18"/>
          <w:szCs w:val="18"/>
          <w:color w:val="auto"/>
        </w:rPr>
      </w:pPr>
    </w:p>
    <w:p>
      <w:pPr>
        <w:ind w:left="-20" w:right="10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Parent or any of its Subsidiaries are located and other Liens affecting the interest of any landlord (and any underlying landlord) of any real property leased by the Parent or any Subsidiary;</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contractual payments (contingent or otherwise) payable by the Parent or its Subsidiaries to a seller after the consummation of an acquisition of a product, business, license or other assets;</w:t>
      </w:r>
    </w:p>
    <w:p>
      <w:pPr>
        <w:spacing w:after="0" w:line="161" w:lineRule="exact"/>
        <w:rPr>
          <w:rFonts w:ascii="Times New Roman" w:cs="Times New Roman" w:eastAsia="Times New Roman" w:hAnsi="Times New Roman"/>
          <w:sz w:val="18"/>
          <w:szCs w:val="18"/>
          <w:color w:val="auto"/>
        </w:rPr>
      </w:pPr>
    </w:p>
    <w:p>
      <w:pPr>
        <w:ind w:left="-20" w:right="140" w:firstLine="656"/>
        <w:spacing w:after="0" w:line="266"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assets held by a Trustee (i) under any indenture or other debt instrument where the proceeds of the securities issued thereunder are held in escrow pursuant to customary escrow arrangements pending the release thereof, and (ii) under any indenture pursuant to customary discharge, redemption or defeasance provisions;</w:t>
      </w:r>
    </w:p>
    <w:p>
      <w:pPr>
        <w:spacing w:after="0" w:line="175" w:lineRule="exact"/>
        <w:rPr>
          <w:rFonts w:ascii="Times New Roman" w:cs="Times New Roman" w:eastAsia="Times New Roman" w:hAnsi="Times New Roman"/>
          <w:sz w:val="18"/>
          <w:szCs w:val="18"/>
          <w:color w:val="auto"/>
        </w:rPr>
      </w:pPr>
    </w:p>
    <w:p>
      <w:pPr>
        <w:jc w:val="both"/>
        <w:ind w:left="-20" w:right="40" w:firstLine="656"/>
        <w:spacing w:after="0" w:line="266" w:lineRule="auto"/>
        <w:tabs>
          <w:tab w:leader="none" w:pos="1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licensor under any lease, sublease, license or sublicense entered into by the Parent or any Subsidiary (A) existing on the Issue Date (but not created in contemplation hereof), (B) entered into in the ordinary course of its business or (C) entered into in connection with an acquisition;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39" w:name="page140"/>
    <w:bookmarkEnd w:id="139"/>
    <w:p>
      <w:pPr>
        <w:ind w:right="160" w:firstLine="656"/>
        <w:spacing w:after="0" w:line="266" w:lineRule="auto"/>
        <w:tabs>
          <w:tab w:leader="none" w:pos="12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Parent and its Subsidiaries in the ordinary course of business;</w:t>
      </w:r>
    </w:p>
    <w:p>
      <w:pPr>
        <w:spacing w:after="0" w:line="175" w:lineRule="exact"/>
        <w:rPr>
          <w:rFonts w:ascii="Times New Roman" w:cs="Times New Roman" w:eastAsia="Times New Roman" w:hAnsi="Times New Roman"/>
          <w:sz w:val="18"/>
          <w:szCs w:val="18"/>
          <w:color w:val="auto"/>
        </w:rPr>
      </w:pPr>
    </w:p>
    <w:p>
      <w:pPr>
        <w:ind w:right="560" w:firstLine="656"/>
        <w:spacing w:after="0" w:line="282" w:lineRule="auto"/>
        <w:tabs>
          <w:tab w:leader="none" w:pos="12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payments (contingent or otherwise) payable by the Parent or any of its Subsidiaries with respect to the settlement, satisfaction, compromise or resolution or judgments, litigation, arbitration or other disputes;</w:t>
      </w:r>
    </w:p>
    <w:p>
      <w:pPr>
        <w:spacing w:after="0" w:line="161" w:lineRule="exact"/>
        <w:rPr>
          <w:rFonts w:ascii="Times New Roman" w:cs="Times New Roman" w:eastAsia="Times New Roman" w:hAnsi="Times New Roman"/>
          <w:sz w:val="18"/>
          <w:szCs w:val="18"/>
          <w:color w:val="auto"/>
        </w:rPr>
      </w:pPr>
    </w:p>
    <w:p>
      <w:pPr>
        <w:ind w:right="100" w:firstLine="656"/>
        <w:spacing w:after="0" w:line="266" w:lineRule="auto"/>
        <w:tabs>
          <w:tab w:leader="none" w:pos="12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For Borrowed Money to the extent such Indebtedness For Borrowed Money, when taken together with all other Indebtedness For Borrowed Money secured by Liens incurred pursuant to this clause (32) that are at that time outstanding, do not exceed the greater of (a) $1,000.0 million and (b) 5% of Consolidated Total Assets of the Parent and its Subsidiaries as of the most recent balance sheet of the Parent;</w:t>
      </w:r>
    </w:p>
    <w:p>
      <w:pPr>
        <w:spacing w:after="0" w:line="175" w:lineRule="exact"/>
        <w:rPr>
          <w:rFonts w:ascii="Times New Roman" w:cs="Times New Roman" w:eastAsia="Times New Roman" w:hAnsi="Times New Roman"/>
          <w:sz w:val="18"/>
          <w:szCs w:val="18"/>
          <w:color w:val="auto"/>
        </w:rPr>
      </w:pPr>
    </w:p>
    <w:p>
      <w:pPr>
        <w:ind w:right="440" w:firstLine="656"/>
        <w:spacing w:after="0" w:line="266" w:lineRule="auto"/>
        <w:tabs>
          <w:tab w:leader="none" w:pos="12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options, calls and similar rights of, and restrictions for the benefit of, a third party with respect to Equity Interests held by the Parent or any Subsidiary in joint ventures;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Headquarters arising as a result of a Sale and Leaseback Transaction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the inclusion of any specific Lien in the definition of Permitted Liens shall not give rise to any implication that the obligations secured by such Lien constitute Indebtedness For Borrowed Money.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Parent may, in its sole discretion, classify or reclassify such item of Permitted Liens (or any portion thereof) in any manner that complies with this definition and the Parent may divide and classify a Lien in more than one of the types of Permitted Liens in one of the above clauses.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Receivables Factoring</w:t>
      </w:r>
      <w:r>
        <w:rPr>
          <w:rFonts w:ascii="Times New Roman" w:cs="Times New Roman" w:eastAsia="Times New Roman" w:hAnsi="Times New Roman"/>
          <w:sz w:val="18"/>
          <w:szCs w:val="18"/>
          <w:color w:val="auto"/>
        </w:rPr>
        <w:t>” means any transaction or series of transactions that may be entered into by the Parent or any Subsidiary pursuant to which the Parent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the Parent or any of its Subsidiaries to secure the Obligations shall not be deemed to be a Qualified Receivables Factoring.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Securitization Financing</w:t>
      </w:r>
      <w:r>
        <w:rPr>
          <w:rFonts w:ascii="Times New Roman" w:cs="Times New Roman" w:eastAsia="Times New Roman" w:hAnsi="Times New Roman"/>
          <w:sz w:val="18"/>
          <w:szCs w:val="18"/>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Parent and the Securitization Subsidiary as determined by the Parent in good faith and (b) all sales and/or contributions of Securitization Assets and related assets to the Securitization Subsidiary are made at fair market value as determined by the Parent in good faith. The grant of a security interest in any Securitization Assets of the Parent or any of its Subsidiaries (other than a Securitization Subsidiary) to secure Indebtedness For Borrowed Money under any indenture prior to engaging in any Securitization Financing shall not be deemed a Qualified Securitization Financing.</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under the Exchange Act selected by the Parent as a replacement agency for Fitch, Moody’s or S&amp;P, or all of them, as the case may be.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xml:space="preserve">” means (1) with respect to the 2027 Notes, the rating on the 2027 Notes is lowered by at least two of the three Rating Agencies and the 2027 Notes are rated below an Investment Grade Rating by at least two of the three Rating Agencies, (2) with respect to the 2029 Notes, the rating on the 2029 Notes is lowered by at least two of the three Rating Agencies and the 2029 Notes are rated below an Investment Grade Rating by at least two of the three Rating Agencies, and (3) with respect to the 2034 Notes, the rating on the 2034 Notes is lowered by at least two of the three Rating Agencies and the 2034 Notes are rated below an Investment Grade Rating by at least two of the three Rating Agencies, in each case, on any date from the date of the first public notice of an arrangement that could result in a Change of Control until the end of the 60-day period following such public notice of the occurrence of a Change of Control (which period shall be extended so long as the rating of the applicable Notes is under publicly announced consideration for possible downgrade by at least two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hereunder) if the Rating Agencies making the reduction in rating to which this definition would otherwise apply do not announce or publicly confirm or inform us that the reduction was the result, in whole or in part, of any event or circumstance comprised of or arising as a result of, or in respect of, the applicable Change of Control (whether or not the applicable Change of Control shall have occurred at the time of the Rating Event). The Trustee shall not be responsible for monitoring our rating status, making any request upon any Rating Agency, or determining whether any Rating Event with respect to the Notes has occurred.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1" w:name="page142"/>
    <w:bookmarkEnd w:id="1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Repurchase Obligation</w:t>
      </w:r>
      <w:r>
        <w:rPr>
          <w:rFonts w:ascii="Times New Roman" w:cs="Times New Roman" w:eastAsia="Times New Roman" w:hAnsi="Times New Roman"/>
          <w:sz w:val="18"/>
          <w:szCs w:val="18"/>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the Parent) for non-recourse receivables financings.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business unit of S&amp;P Global Inc., and any successor to its rating agency business.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“Notes” as defined in the Base Indenture.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Assets</w:t>
      </w:r>
      <w:r>
        <w:rPr>
          <w:rFonts w:ascii="Times New Roman" w:cs="Times New Roman" w:eastAsia="Times New Roman" w:hAnsi="Times New Roman"/>
          <w:sz w:val="18"/>
          <w:szCs w:val="18"/>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the Parent or any of its Subsidiaries pursuant to which the Parent or any of its Subsidiaries may sell, convey or otherwise transfer to (a) a Securitization Subsidiary (in the case of a transfer by the Parent or any of its Subsidiaries) or (b) any other Person (in the case of a transfer by a Securitization Subsidiary), or may grant a security interest in (which in either case may include a backup or precautionary grant) any Securitization Assets of the Parent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Subsidiary</w:t>
      </w:r>
      <w:r>
        <w:rPr>
          <w:rFonts w:ascii="Times New Roman" w:cs="Times New Roman" w:eastAsia="Times New Roman" w:hAnsi="Times New Roman"/>
          <w:sz w:val="18"/>
          <w:szCs w:val="18"/>
          <w:color w:val="auto"/>
        </w:rPr>
        <w:t>” means a wholly-owned Subsidiary of the Parent (or another Person formed for the purposes of engaging in a Qualified Securitization Financing in which the Parent or any Subsidiary of the Parent makes an investment and to which the Parent or any Subsidiary of the Parent transfers Securitization Assets and related assets) that engages in no activities other than in connection with the financing of Securitization Assets of the Parent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Agreement</w:t>
      </w:r>
      <w:r>
        <w:rPr>
          <w:rFonts w:ascii="Times New Roman" w:cs="Times New Roman" w:eastAsia="Times New Roman" w:hAnsi="Times New Roman"/>
          <w:sz w:val="18"/>
          <w:szCs w:val="18"/>
          <w:color w:val="auto"/>
        </w:rPr>
        <w:t>” means that certain U.S. Pledge and Security Agreement, to be entered into by and among each of the grantors party thereto and the Notes Collateral Agent.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2" w:name="page143"/>
    <w:bookmarkEnd w:id="1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means the revolving credit facility and term loan facilities under the Credit Agreement, dated as of July 1, 2021, as amended on November 29, 2022, May 2, 2023, March 14, 2024 and as further amended, restated, modified and supplemented from time to time,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replacements,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replace, exchange, refinance, renew or defease any part of the loans, notes, other credit facilities or commitments thereunder, including any such replacement, refunding, exchange or refinancing facility or indenture that increases the amount permitted to be borrowed or issued thereunder or alters the maturity thereof or adds “Restricted Subsidiaries” (as defined therein) as additional borrowers or guarantors thereunder and whether by the same or any other agent, Trustee, lender or group of lenders, investors, holders or otherwise.</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of First Priority Obligations</w:t>
      </w:r>
      <w:r>
        <w:rPr>
          <w:rFonts w:ascii="Times New Roman" w:cs="Times New Roman" w:eastAsia="Times New Roman" w:hAnsi="Times New Roman"/>
          <w:sz w:val="18"/>
          <w:szCs w:val="18"/>
          <w:color w:val="auto"/>
        </w:rPr>
        <w:t xml:space="preserve">” means (i) the Notes, (ii) the obligations under the Senior Secured Credit Facilities, (iii) the obligations under the Existing Notes and (iv) each other issuance or incurrence of indebtedness constituting First Priority Obligations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foregoing.</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Shared Collateral</w:t>
      </w:r>
      <w:r>
        <w:rPr>
          <w:rFonts w:ascii="Times New Roman" w:cs="Times New Roman" w:eastAsia="Times New Roman" w:hAnsi="Times New Roman"/>
          <w:sz w:val="18"/>
          <w:szCs w:val="18"/>
          <w:color w:val="auto"/>
        </w:rPr>
        <w:t>” means, at any time, Collateral in which the holders of two or more Series of First Priority Obligations (or their respective collateral agents) hold a valid and perfected security interest at such time. If more than two Series of First Priority Obligations are outstanding at any time and the holders of less than all Series of First Priority Obligations hold a valid and perfected security interest in any Collateral at such time, then such Collateral shall constitute Shared Collateral for those Series of First Priority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under the Securities Act.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Parent or any Subsidiary of the Parent that are customary (as determined by the Parent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18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For Borrowed Money, the date on which the payment of interest or principal was scheduled to be paid in the documentation governing such Indebtedness For Borrowed Money as of its date of issue, and will not include any contingent obligations to repay, redeem or repurchase any such interest or principal prior to the date originally scheduled for the payment thereof.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3" w:name="page144"/>
    <w:bookmarkEnd w:id="14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Swap Agreement</w:t>
      </w:r>
      <w:r>
        <w:rPr>
          <w:rFonts w:ascii="Times New Roman" w:cs="Times New Roman" w:eastAsia="Times New Roman" w:hAnsi="Times New Roman"/>
          <w:sz w:val="18"/>
          <w:szCs w:val="18"/>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Parent or its Subsidiaries shall be a Swap Agreement.</w:t>
      </w:r>
    </w:p>
    <w:p>
      <w:pPr>
        <w:spacing w:after="0" w:line="183" w:lineRule="exact"/>
        <w:rPr>
          <w:sz w:val="20"/>
          <w:szCs w:val="20"/>
          <w:color w:val="auto"/>
        </w:rPr>
      </w:pPr>
    </w:p>
    <w:p>
      <w:pPr>
        <w:ind w:right="240" w:firstLine="64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Management Arrangement</w:t>
      </w:r>
      <w:r>
        <w:rPr>
          <w:rFonts w:ascii="Times New Roman" w:cs="Times New Roman" w:eastAsia="Times New Roman" w:hAnsi="Times New Roman"/>
          <w:sz w:val="17"/>
          <w:szCs w:val="17"/>
          <w:color w:val="auto"/>
        </w:rPr>
        <w:t>” means any agreement or other arrangement governing the provision of treasury or cash management services, including deposit accounts, overdraft, credit or debit card, funds transfer, automated clearinghouse transfers, zero balance accounts, returned check concentration, controlled disbursement, lockbox, account reconciliation and reporting, trade finance services and other cash management services.</w:t>
      </w:r>
    </w:p>
    <w:p>
      <w:pPr>
        <w:spacing w:after="0" w:line="15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Corporate Subsidiary</w:t>
      </w:r>
      <w:r>
        <w:rPr>
          <w:rFonts w:ascii="Times New Roman" w:cs="Times New Roman" w:eastAsia="Times New Roman" w:hAnsi="Times New Roman"/>
          <w:sz w:val="18"/>
          <w:szCs w:val="18"/>
          <w:color w:val="auto"/>
        </w:rPr>
        <w:t>” means a Domestic Subsidiary of the Parent that is treated as a corporation for U.S. federal income tax purposes.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3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p>
        </w:tc>
        <w:tc>
          <w:tcPr>
            <w:tcW w:w="2400" w:type="dxa"/>
            <w:vAlign w:val="bottom"/>
          </w:tcPr>
          <w:p>
            <w:pPr>
              <w:spacing w:after="0"/>
              <w:rPr>
                <w:sz w:val="20"/>
                <w:szCs w:val="20"/>
                <w:color w:val="auto"/>
              </w:rPr>
            </w:pPr>
          </w:p>
        </w:tc>
      </w:tr>
      <w:tr>
        <w:trPr>
          <w:trHeight w:val="41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Defined in Section</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Lien Intercreditor Agreement</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3.02</w:t>
            </w: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w:t>
            </w:r>
          </w:p>
        </w:tc>
        <w:tc>
          <w:tcPr>
            <w:tcW w:w="24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3.01</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Rules of Construction.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420" w:hanging="521"/>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5540" w:right="2640" w:hanging="4641"/>
        <w:spacing w:after="0" w:line="485" w:lineRule="auto"/>
        <w:tabs>
          <w:tab w:leader="none" w:pos="143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4" w:name="page145"/>
    <w:bookmarkEnd w:id="144"/>
    <w:p>
      <w:pPr>
        <w:ind w:left="1420" w:hanging="521"/>
        <w:spacing w:after="0"/>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420" w:hanging="521"/>
        <w:spacing w:after="0"/>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420" w:hanging="521"/>
        <w:spacing w:after="0"/>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400" w:hanging="501"/>
        <w:spacing w:after="0"/>
        <w:tabs>
          <w:tab w:leader="none" w:pos="14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225" w:lineRule="exact"/>
        <w:rPr>
          <w:rFonts w:ascii="Times New Roman" w:cs="Times New Roman" w:eastAsia="Times New Roman" w:hAnsi="Times New Roman"/>
          <w:sz w:val="18"/>
          <w:szCs w:val="18"/>
          <w:color w:val="auto"/>
        </w:rPr>
      </w:pPr>
    </w:p>
    <w:p>
      <w:pPr>
        <w:ind w:left="260" w:right="340" w:firstLine="639"/>
        <w:spacing w:after="0" w:line="282" w:lineRule="auto"/>
        <w:tabs>
          <w:tab w:leader="none" w:pos="143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Luxembourg Terms.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Words in the English language used in this First Supplemental Indenture to describe Luxembourg law concepts only intend to describe such concepts and the consequences of the use of those words in English law or any other foreign law are to be disregarded.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Without prejudice to the generality of any provision of this First Supplemental Indenture, to the extent this First Supplemental Indenture relates to any Luxembourg Guarantor or any entity incorporated or existing under the laws of Luxembourg, a reference to: (a) a winding-up, administration or dissolution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liquidation,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 administrative sans liquidation</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xml:space="preserve">), out-of-court mutual agreement (réorganisation extra-judiciaire </w:t>
      </w:r>
      <w:r>
        <w:rPr>
          <w:rFonts w:ascii="Times New Roman" w:cs="Times New Roman" w:eastAsia="Times New Roman" w:hAnsi="Times New Roman"/>
          <w:sz w:val="18"/>
          <w:szCs w:val="18"/>
          <w:i w:val="1"/>
          <w:iCs w:val="1"/>
          <w:color w:val="auto"/>
        </w:rPr>
        <w:t>par accord amiable</w:t>
      </w:r>
      <w:r>
        <w:rPr>
          <w:rFonts w:ascii="Times New Roman" w:cs="Times New Roman" w:eastAsia="Times New Roman" w:hAnsi="Times New Roman"/>
          <w:sz w:val="18"/>
          <w:szCs w:val="18"/>
          <w:color w:val="auto"/>
        </w:rPr>
        <w:t>), judicial reorganisation in the form of a stay to enter into a mutual agreement (</w:t>
      </w:r>
      <w:r>
        <w:rPr>
          <w:rFonts w:ascii="Times New Roman" w:cs="Times New Roman" w:eastAsia="Times New Roman" w:hAnsi="Times New Roman"/>
          <w:sz w:val="18"/>
          <w:szCs w:val="18"/>
          <w:i w:val="1"/>
          <w:iCs w:val="1"/>
          <w:color w:val="auto"/>
        </w:rPr>
        <w:t>sursis en vue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la conclusion d’un accord amiable</w:t>
      </w:r>
      <w:r>
        <w:rPr>
          <w:rFonts w:ascii="Times New Roman" w:cs="Times New Roman" w:eastAsia="Times New Roman" w:hAnsi="Times New Roman"/>
          <w:sz w:val="18"/>
          <w:szCs w:val="18"/>
          <w:color w:val="auto"/>
        </w:rPr>
        <w:t>), judicial reorganisation by collective agreement(</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judicial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reorganisation by transfer of assets or activities (</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 (</w:t>
      </w:r>
      <w:r>
        <w:rPr>
          <w:rFonts w:ascii="Times New Roman" w:cs="Times New Roman" w:eastAsia="Times New Roman" w:hAnsi="Times New Roman"/>
          <w:sz w:val="18"/>
          <w:szCs w:val="18"/>
          <w:i w:val="1"/>
          <w:iCs w:val="1"/>
          <w:color w:val="auto"/>
        </w:rPr>
        <w:t>mesures en vue de préserver les entreprises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general settlement with creditors, reorganization or similar laws affecting the rights of creditors generally; (b) a receiver, administrative receiver, administrator, trustee, custodian, sequestrator, conservator or similar officer appointed for the reorganization or liquidation of the business of a Person includes, without limitation, a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mandataire judiciaire</w:t>
      </w:r>
      <w:r>
        <w:rPr>
          <w:rFonts w:ascii="Times New Roman" w:cs="Times New Roman" w:eastAsia="Times New Roman" w:hAnsi="Times New Roman"/>
          <w:sz w:val="18"/>
          <w:szCs w:val="18"/>
          <w:color w:val="auto"/>
        </w:rPr>
        <w:t xml:space="preserve">, conciliateur,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xml:space="preserve">; (c) a lien or security interest includes any </w:t>
      </w:r>
      <w:r>
        <w:rPr>
          <w:rFonts w:ascii="Times New Roman" w:cs="Times New Roman" w:eastAsia="Times New Roman" w:hAnsi="Times New Roman"/>
          <w:sz w:val="18"/>
          <w:szCs w:val="18"/>
          <w:i w:val="1"/>
          <w:iCs w:val="1"/>
          <w:color w:val="auto"/>
        </w:rPr>
        <w:t>hypothèque, nantissement, gage, privilège, sûreté réelle, droit de rétention</w:t>
      </w:r>
      <w:r>
        <w:rPr>
          <w:rFonts w:ascii="Times New Roman" w:cs="Times New Roman" w:eastAsia="Times New Roman" w:hAnsi="Times New Roman"/>
          <w:sz w:val="18"/>
          <w:szCs w:val="18"/>
          <w:color w:val="auto"/>
        </w:rPr>
        <w:t xml:space="preserve"> and any type of security in rem (</w:t>
      </w:r>
      <w:r>
        <w:rPr>
          <w:rFonts w:ascii="Times New Roman" w:cs="Times New Roman" w:eastAsia="Times New Roman" w:hAnsi="Times New Roman"/>
          <w:sz w:val="18"/>
          <w:szCs w:val="18"/>
          <w:i w:val="1"/>
          <w:iCs w:val="1"/>
          <w:color w:val="auto"/>
        </w:rPr>
        <w:t>sûreté réelle</w:t>
      </w:r>
      <w:r>
        <w:rPr>
          <w:rFonts w:ascii="Times New Roman" w:cs="Times New Roman" w:eastAsia="Times New Roman" w:hAnsi="Times New Roman"/>
          <w:sz w:val="18"/>
          <w:szCs w:val="18"/>
          <w:color w:val="auto"/>
        </w:rPr>
        <w:t xml:space="preserve">) or agreement or arrangement having a similar effect and any transfer of title by way of security; (d) a person being unable to pay its debts includes that person being in a state of </w:t>
      </w:r>
      <w:r>
        <w:rPr>
          <w:rFonts w:ascii="Times New Roman" w:cs="Times New Roman" w:eastAsia="Times New Roman" w:hAnsi="Times New Roman"/>
          <w:sz w:val="18"/>
          <w:szCs w:val="18"/>
          <w:i w:val="1"/>
          <w:iCs w:val="1"/>
          <w:color w:val="auto"/>
        </w:rPr>
        <w:t>cessation de paiements</w:t>
      </w:r>
      <w:r>
        <w:rPr>
          <w:rFonts w:ascii="Times New Roman" w:cs="Times New Roman" w:eastAsia="Times New Roman" w:hAnsi="Times New Roman"/>
          <w:sz w:val="18"/>
          <w:szCs w:val="18"/>
          <w:color w:val="auto"/>
        </w:rPr>
        <w:t>; (e) 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conservatory attachment (</w:t>
      </w:r>
      <w:r>
        <w:rPr>
          <w:rFonts w:ascii="Times New Roman" w:cs="Times New Roman" w:eastAsia="Times New Roman" w:hAnsi="Times New Roman"/>
          <w:sz w:val="18"/>
          <w:szCs w:val="18"/>
          <w:i w:val="1"/>
          <w:iCs w:val="1"/>
          <w:color w:val="auto"/>
        </w:rPr>
        <w:t>saisie conservatoire</w:t>
      </w:r>
      <w:r>
        <w:rPr>
          <w:rFonts w:ascii="Times New Roman" w:cs="Times New Roman" w:eastAsia="Times New Roman" w:hAnsi="Times New Roman"/>
          <w:sz w:val="18"/>
          <w:szCs w:val="18"/>
          <w:color w:val="auto"/>
        </w:rPr>
        <w:t>); (f) by-laws or constitutional documents includes its up-to-date (restated) articles of association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coordonnés</w:t>
      </w:r>
      <w:r>
        <w:rPr>
          <w:rFonts w:ascii="Times New Roman" w:cs="Times New Roman" w:eastAsia="Times New Roman" w:hAnsi="Times New Roman"/>
          <w:sz w:val="18"/>
          <w:szCs w:val="18"/>
          <w:color w:val="auto"/>
        </w:rPr>
        <w:t>) and (g) a director, a manager or officer includes an</w:t>
      </w:r>
      <w:r>
        <w:rPr>
          <w:rFonts w:ascii="Times New Roman" w:cs="Times New Roman" w:eastAsia="Times New Roman" w:hAnsi="Times New Roman"/>
          <w:sz w:val="18"/>
          <w:szCs w:val="18"/>
          <w:i w:val="1"/>
          <w:iCs w:val="1"/>
          <w:color w:val="auto"/>
        </w:rPr>
        <w:t xml:space="preserve"> administrateur </w:t>
      </w:r>
      <w:r>
        <w:rPr>
          <w:rFonts w:ascii="Times New Roman" w:cs="Times New Roman" w:eastAsia="Times New Roman" w:hAnsi="Times New Roman"/>
          <w:sz w:val="18"/>
          <w:szCs w:val="18"/>
          <w:color w:val="auto"/>
        </w:rPr>
        <w:t>or a</w:t>
      </w:r>
      <w:r>
        <w:rPr>
          <w:rFonts w:ascii="Times New Roman" w:cs="Times New Roman" w:eastAsia="Times New Roman" w:hAnsi="Times New Roman"/>
          <w:sz w:val="18"/>
          <w:szCs w:val="18"/>
          <w:i w:val="1"/>
          <w:iCs w:val="1"/>
          <w:color w:val="auto"/>
        </w:rPr>
        <w:t xml:space="preserve"> gérant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Creation of Notes; Designations.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Section 2.01 of the Base Indenture, the Issuer hereby creates three Series of Notes issued pursuant to the Indenture. The Notes of these Series shall be known and designated as the “5.809% Senior Secured Notes due 2027”, “5.849% Senior Secured Notes due 2029” and “6.000% Senior Secured Notes due 2034”, respectively, of the Issuer. The Notes of each Series shall be entitled to the benefits of the Note Guarantee of each Guarantor signatory hereto, or that may hereafter execute a supplemental indenture in accordance with Section 10.03 of the Base Indenture, each such Note Guarantee to be governed by Article 10 of the Base Indenture (including, without limitation, the provisions for release of such Note Guarantee in respect of the Notes of these Series pursuant to Section 10.04 of the Base Indenture, as supplemented by Article 5 of this First Supplemental Indenture).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Forms Generally.</w:t>
      </w:r>
    </w:p>
    <w:p>
      <w:pPr>
        <w:spacing w:after="0" w:line="227" w:lineRule="exact"/>
        <w:rPr>
          <w:sz w:val="20"/>
          <w:szCs w:val="20"/>
          <w:color w:val="auto"/>
        </w:rPr>
      </w:pPr>
    </w:p>
    <w:p>
      <w:pPr>
        <w:ind w:right="40" w:firstLine="656"/>
        <w:spacing w:after="0" w:line="258" w:lineRule="auto"/>
        <w:tabs>
          <w:tab w:leader="none" w:pos="116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2027 Notes and the Trustee’s certificate of authentication with respect to the 2027 Notes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2029 Notes and the Trustee’s certificate of authentication with respect to the 2029 Notes will be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The 2034 Notes and the Trustee’s certificate of authentication with respect to the 2034 Notes will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Notes of each Series may have notations, legends or endorsements required by law, stock exchange rule or usage. Each Note of each Series will be dated the date of its authentication. The Notes of each Series shall be in minimum denominations of $200,000 and integral multiples of $1,000.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of each Series will constitute, and are hereby expressly made, a part of this First Supplemental Indenture and the Issuer, the Guarantors and the Trustee, by their execution and delivery of this First Supplemental Indenture, expressly agree to such terms and provisions and to be bound thereby. However, to the extent any provision of any such Note conflicts with the express provisions of this First Supplemental Indenture, the provisions of this First Supplemental Indenture shall govern and be controlling.</w:t>
      </w:r>
    </w:p>
    <w:p>
      <w:pPr>
        <w:spacing w:after="0" w:line="180" w:lineRule="exact"/>
        <w:rPr>
          <w:sz w:val="20"/>
          <w:szCs w:val="20"/>
          <w:color w:val="auto"/>
        </w:rPr>
      </w:pPr>
    </w:p>
    <w:p>
      <w:pPr>
        <w:jc w:val="both"/>
        <w:ind w:firstLine="656"/>
        <w:spacing w:after="0" w:line="252" w:lineRule="auto"/>
        <w:tabs>
          <w:tab w:leader="none" w:pos="129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xml:space="preserve">. The 2027 Notes issued in global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Global Note Legend thereon and the “Schedule of Exchanges of Interests in the Global Note” attached thereto). The 2027 Notes issued in definitive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(but without the Global Note Legend thereon and without the “Schedule of Exchanges of Interests in the Global Note” attached thereto). The 2029 Notes issued in global form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Global Note Legend thereon and the “Schedule of Exchanges of Interests in the Global Note” attached thereto). The 2029 Notes issued in definitive form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(but without the Global Note Legend thereon and without the “Schedule of Exchanges of Interests in the Global Note” attached thereto). The 2034 Notes issued in global form will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Global Note Legend thereon and the “Schedule of Exchanges of Interests in the Global Note” attached thereto). The 2034 Notes issued in definitive form will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(but without the Global Note Legend thereon and without the “Schedule of Exchanges of Interests in the Global Note” attached thereto). Each Global Note will represent such of the outstanding Notes of each Series as will be specified therein and each shall provide that it represents the aggregate principal amount of outstanding Notes of each Series from time to time endorsed thereon and that the aggregate principal amount of outstanding Notes of each Series represented thereby may from time to time be reduced or increased, as appropriate, to reflect exchanges and redemptions. Any endorsement of a Global Note to reflect the amount of any increase or decrease in the aggregate principal amount of outstanding Notes of each Series represented thereby will be made by the Trustee or the Notes Custodian, at the direction of the Trustee, in accordance with instructions given by the Holder thereof.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Title and Terms of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principal amount of (i) 2027 Notes which shall be authenticated and delivered on the Issue Date under the Indenture shall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(ii) 2029 Notes which shall be authenticated and delivered on the Issue Date under the Indenture shall be $750,000,000 and (iii) 2034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which shall be authenticated and delivered on the Issue Date under the Indenture shall be $500,000,000;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Issuer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giving notice to or seeking the consent of the Holders of Notes of any Series, may issue additional notes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of a Series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having the same terms as Notes of such Series in all respects, except for the issue date, the issue price and the initial interest payment date.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Additional Notes shall be authenticated by the Trustee upon receipt of an Authentication Order to that effect, and when so authenticated,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for all purposes of the Indenture and will (together with all other Notes of such Series issued under the Indenture) constitute a single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Series of Notes of such Series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of such Series for U.S.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purposes, as applicable, as determined by the Issuer, such Additional Notes may have a separate CUSIP number.</w:t>
      </w:r>
    </w:p>
    <w:p>
      <w:pPr>
        <w:spacing w:after="0" w:line="207" w:lineRule="exact"/>
        <w:rPr>
          <w:sz w:val="20"/>
          <w:szCs w:val="20"/>
          <w:color w:val="auto"/>
        </w:rPr>
      </w:pPr>
    </w:p>
    <w:p>
      <w:pPr>
        <w:jc w:val="both"/>
        <w:ind w:right="360" w:firstLine="656"/>
        <w:spacing w:after="0" w:line="266" w:lineRule="auto"/>
        <w:tabs>
          <w:tab w:leader="none" w:pos="11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2027 Notes issued on the Issue Date will be issued at an issue price of 100.000% of the principal amount thereof, (ii) the 2029 Notes issued on the Issue Date will be issued at an issue price of 100.000% of the principal amount thereof and (iii) the 2034 Notes issued on the Issue Date will be issued at an issue price of 99.896% of the principal amount thereof.</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11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of the 2027 Notes is due and payable in full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principal amount of the 2029 Notes is due and payable in full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principal amount of the 2034 Notes is due and payable in full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40" w:firstLine="656"/>
        <w:spacing w:after="0" w:line="261" w:lineRule="auto"/>
        <w:tabs>
          <w:tab w:leader="none" w:pos="11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or rates at which the Notes of each Series shall bear interest, the date or dates from which such interest shall accrue, the interest payment dates on which any such interest shall be payable and the regular record date for any interest payable on any interest payment date, in each case, shall be as set forth in the form of the Note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the case of 2027 Notes),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the case of 2029 Notes)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(in the case of 2034 Notes).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1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provided in Article 3 of this First Supplemental Indenture and Article 3 of the Base Indenture, the Notes of each Series issued hereunder shall not be redeemable.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47" w:name="page148"/>
    <w:bookmarkEnd w:id="147"/>
    <w:p>
      <w:pPr>
        <w:ind w:right="280" w:firstLine="656"/>
        <w:spacing w:after="0" w:line="282" w:lineRule="auto"/>
        <w:tabs>
          <w:tab w:leader="none" w:pos="116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each Series will initially be evidenced by one or more Global Notes issued in the name of Cede &amp; Co., as nominee of The Depository Trust Company.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Collateral Documents; Intercreditor Agreements.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By their acceptance of the Notes, each Holder of Notes hereby authorize and direct the Trustee and the Notes Collateral Agent, as the case may be, to execute and deliver a joinder to the First Lien Intercreditor Agreement, the Junior Lien Intercreditor Agreement, if any, and any other Collateral Documents in which the Trustee or the Notes Collateral Agent, as applicable, is named as a party, including any Collateral Documents executed on or after the Issue Date.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the First Lien Intercreditor Agreement, the Junior Lien Intercreditor Agreement, if any, or any other Collateral Documents, the Trustee and the Notes Collateral Agent each shall have all of the rights, privileges, benefits, immunities, indemnities and other protections granted to it under the Indenture (in addition to those that may be granted to it under the terms of such other agreement or agreements).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Prior to the applicable Par Call Date with respect to each Series of Notes, the Issuer may redeem the Notes of such Series at its option, in whole or in part, at any time and from time to time, at a redemption price (expressed as a percentage of principal amount and rounded to three decimal places) equal to the greater of:</w:t>
      </w:r>
    </w:p>
    <w:p>
      <w:pPr>
        <w:spacing w:after="0" w:line="176" w:lineRule="exact"/>
        <w:rPr>
          <w:sz w:val="20"/>
          <w:szCs w:val="20"/>
          <w:color w:val="auto"/>
        </w:rPr>
      </w:pPr>
    </w:p>
    <w:p>
      <w:pPr>
        <w:ind w:right="80" w:firstLine="656"/>
        <w:spacing w:after="0" w:line="258" w:lineRule="auto"/>
        <w:tabs>
          <w:tab w:leader="none" w:pos="11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(as defined below) plus 15 basis points in the case of the 2027 Notes, 20 basis points in the case of the 2029 Notes and 25 basis points in the case of the 2034 Notes, less unpaid interest accrued to the date of redemption (any excess of the amount described in this bullet point over the amount described in Section 3.01(b), the “</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as calculated by the Issuer, which the Trustee shall not be required to review, investigate or verify.</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with respect to each Series of Notes, the Issuer may redeem the Notes of such Series, in whole or in part, at any time or from time to time, at a redemption price equal to 100% of the principal amount of the Notes being redeemed plus accrued and unpaid interest thereon to, but not including, the redemption date.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8" w:name="page149"/>
    <w:bookmarkEnd w:id="148"/>
    <w:p>
      <w:pPr>
        <w:jc w:val="both"/>
        <w:ind w:right="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with respect to the 2027 Notes, April 8, 2027 (one month prior to the maturity date of the 2027 Notes), (ii) with respect to the 2029 Notes, April 8, 2029 (one month prior to the maturity date of the 2029 Notes) and (iii) with respect to the 2034 Notes, February 8, 2034 (three months prior to the maturity date of the 2034 Notes).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or sinking fund payments with respect to the Notes.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Optional Redemption for Changes in Taxes.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Issuer may redeem the Notes of any Series, in whole but not in part, at its discretion at any time upon giving not less than 10 nor more than 60 days’ notice to the Holders thereof (which notice shall be irrevocable and given in accordance with the procedures described in Sections 3.02 and 3.03 of the Base Indenture), at a redemption price equal to 100% of the principal amount of Notes redeemed, plus accrued and unpaid interest to, but not including, the date of redemption (a “</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 and all Additional Amounts (if any) then due and that may become due on the Tax Redemption Date as a result of the redemption or otherwise (subject to the right of Holders of such Notes on the relevant record date to receive interest due on the relevant interest payment date and Additional Amounts (if any) in respect thereof if such Notes have not been redeemed or repurchased prior to such date), if, as a result of any change in, or amendment to, the laws, regulations, rulings or treaties of any relevant Tax Jurisdiction affecting taxation, or any change in, or amendment to, the official position regarding the application, administration or interpretation of such laws, regulations, rulings or treaties (including by virtue of a holding, judgment or order by a court of competent jurisdiction or a change in official administrative practice), which change or amendment has not been publicly announced before, and which becomes effective after, the Issue Date (or, if the relevant Tax Jurisdiction became a Tax Jurisdiction on a date after the Issue Date, such later date):</w:t>
      </w:r>
    </w:p>
    <w:p>
      <w:pPr>
        <w:spacing w:after="0" w:line="192" w:lineRule="exact"/>
        <w:rPr>
          <w:sz w:val="20"/>
          <w:szCs w:val="20"/>
          <w:color w:val="auto"/>
        </w:rPr>
      </w:pPr>
    </w:p>
    <w:p>
      <w:pPr>
        <w:jc w:val="both"/>
        <w:ind w:firstLine="656"/>
        <w:spacing w:after="0" w:line="261" w:lineRule="auto"/>
        <w:tabs>
          <w:tab w:leader="none" w:pos="12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date on which any amount would be payable in respect of such Notes, the Issuer or any Guarantor is or would be required to pay Additional Amounts, and the Issuer or such Guarantor (but, in the case of a Guarantor, only if the payment giving rise to such requirement cannot be made by the Issuer or another Guarantor without the obligation to pay Additional Amounts) cannot avoid any such payment obligation by taking reasonable measures available to them (including, for the avoidance of doubt, the appointment of a new Paying Agent); or</w:t>
      </w:r>
    </w:p>
    <w:p>
      <w:pPr>
        <w:spacing w:after="0" w:line="179" w:lineRule="exact"/>
        <w:rPr>
          <w:rFonts w:ascii="Times New Roman" w:cs="Times New Roman" w:eastAsia="Times New Roman" w:hAnsi="Times New Roman"/>
          <w:sz w:val="18"/>
          <w:szCs w:val="18"/>
          <w:color w:val="auto"/>
        </w:rPr>
      </w:pPr>
    </w:p>
    <w:p>
      <w:pPr>
        <w:ind w:right="240" w:firstLine="656"/>
        <w:spacing w:after="0" w:line="261" w:lineRule="auto"/>
        <w:tabs>
          <w:tab w:leader="none" w:pos="117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any of its Subsidiaries would have to deduct or withhold any Tax on any payment to the Issuer to enable the Issuer to make any payment of principal, interest or other amounts on any such Notes and such withholding tax obligation cannot be avoided by the use of reasonable measures available to the Parent or its Affiliates (including, for the avoidance of doubt, the appointment of a new Paying Agent or, if reasonable, the making of any such intercompany payment via a loan or other available means).</w:t>
      </w:r>
    </w:p>
    <w:p>
      <w:pPr>
        <w:spacing w:after="0" w:line="180"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The Issuer will not give any such notice of redemption earlier than 60 days prior to the earliest date on which the Issuer or the applicable Guarantor would be obligated to make such payment, deduction or withholding if a payment in respect of the Notes were then due and at the time such notice is given, the obligation to pay Additional Amounts or to make a withholding or deduction, as applicable must remain in effect. Prior to the publication or, where relevant, mailing of any notice of redemption of the Notes of any Series pursuant to the foregoing, the Issuer will deliver to the Trustee an opinion of independent tax counsel of recognized standing (which counsel shall be reasonably acceptable to the Trustee) attesting to the effect that the conditions for redemption specified above have been satisfied (which opinion, for the avoidance of doubt, shall not be required to include an opinion as to whether “reasonable efforts” could be undertaken to avoid the otherwise applicable obligations). In addition, before the Issuer publishes or mails notice of redemption of the Notes pursuant to the forgoing, it will deliver to the Trustee an Officer’s Certificate to the effect that it cannot avoid the obligation to pay Additional Amounts or to deduct or withhold, as applicable, by taking reasonable measures available to 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0" w:name="page151"/>
    <w:bookmarkEnd w:id="150"/>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Trustee will accept and shall be entitled to conclusively rely on such Officer’s Certificate and opinion of counsel as sufficient evidence of the existence and satisfaction of the conditions as described above, in which event it will be conclusive and binding on all of the holders.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Optional Redemption Procedures.</w:t>
      </w:r>
    </w:p>
    <w:p>
      <w:pPr>
        <w:spacing w:after="0" w:line="227"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provisions of Article 3 of the Base Indenture shall apply in the case of a redemption pursuant to Article 3 of this First Supplemental Indenture solely for the benefit of the Holders of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Section 3.04 shall not become part of the terms of any other Series of Securities:</w:t>
      </w:r>
    </w:p>
    <w:p>
      <w:pPr>
        <w:spacing w:after="0" w:line="140" w:lineRule="exact"/>
        <w:rPr>
          <w:sz w:val="20"/>
          <w:szCs w:val="20"/>
          <w:color w:val="auto"/>
        </w:rPr>
      </w:pPr>
    </w:p>
    <w:p>
      <w:pPr>
        <w:ind w:left="1180" w:hanging="524"/>
        <w:spacing w:after="0"/>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language shall be added after the end of the final paragraph of Section 3.03 of the Base Indenture:</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“Notice of any redemption of the Notes of a Series in connection with a corporate transaction may, at the Issuer’s discretion, be given prior to the completion thereof and any such redemption or notice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or offer to purchase was sent) as any or all such conditions shall be satisfied (or waived by the Issuer in its sole discretion), or such redemption or purchase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Offer to Purchase.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pursuant to Section 4.02 hereof, the Issuer is required to commence an Offer to Purchase, it will follow the procedures specified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any Offer to Purchase, the Issuer will mail a notice to each Holder describing the transaction or transactions that give rise to such Offer to Purchase and offering to repurchase Notes on the date specified in the notice (the “</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which date will be no earlier than 10 days and no later than 60 days from the date such notice is mailed. The purchase price for the Offer to Purchase shall be as set forth in Section 4.02; provided that if the Purchase Date is on or after an interest record date and on or before the related interest payment date, any accrued and unpaid interest will be paid to the Person in whose name a Note is registered at the close of business on such record date.</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notice will contain all instructions and materials necessary to enable such Holders to tender Notes pursuant to the Offer to Purchase. The notice, which will govern the terms of the Offer to Purchase, will state:</w:t>
      </w:r>
    </w:p>
    <w:p>
      <w:pPr>
        <w:spacing w:after="0" w:line="162" w:lineRule="exact"/>
        <w:rPr>
          <w:sz w:val="20"/>
          <w:szCs w:val="20"/>
          <w:color w:val="auto"/>
        </w:rPr>
      </w:pPr>
    </w:p>
    <w:p>
      <w:pPr>
        <w:ind w:right="120" w:firstLine="656"/>
        <w:spacing w:after="0" w:line="282" w:lineRule="auto"/>
        <w:tabs>
          <w:tab w:leader="none" w:pos="116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Offer to Purchase is being made pursuant to this Section 3.05 and Section 4.02 hereof and the length of time the Offer to Purchase will remain open;</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and the Purchase Date;</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will continue to accrete or accrue interest;</w:t>
      </w:r>
    </w:p>
    <w:p>
      <w:pPr>
        <w:spacing w:after="0" w:line="225" w:lineRule="exact"/>
        <w:rPr>
          <w:rFonts w:ascii="Times New Roman" w:cs="Times New Roman" w:eastAsia="Times New Roman" w:hAnsi="Times New Roman"/>
          <w:sz w:val="18"/>
          <w:szCs w:val="18"/>
          <w:color w:val="auto"/>
        </w:rPr>
      </w:pPr>
    </w:p>
    <w:p>
      <w:pPr>
        <w:ind w:right="380" w:firstLine="656"/>
        <w:spacing w:after="0" w:line="282" w:lineRule="auto"/>
        <w:tabs>
          <w:tab w:leader="none" w:pos="11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Offer to Purchase will cease to accrete or accrue interest after the Purchase Date;</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116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 Offer to Purchase may elect to have Notes purchased in denominations of $200,000 or an integral multiple of $1,000 in excess thereof;</w:t>
      </w:r>
    </w:p>
    <w:p>
      <w:pPr>
        <w:spacing w:after="0" w:line="161" w:lineRule="exact"/>
        <w:rPr>
          <w:rFonts w:ascii="Times New Roman" w:cs="Times New Roman" w:eastAsia="Times New Roman" w:hAnsi="Times New Roman"/>
          <w:sz w:val="18"/>
          <w:szCs w:val="18"/>
          <w:color w:val="auto"/>
        </w:rPr>
      </w:pPr>
    </w:p>
    <w:p>
      <w:pPr>
        <w:ind w:right="220" w:firstLine="656"/>
        <w:spacing w:after="0" w:line="266" w:lineRule="auto"/>
        <w:tabs>
          <w:tab w:leader="none" w:pos="114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Notes purchased pursuant to any Offer to Purchase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1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applicable Purchase Date, the Issuer will, to the extent lawful:</w:t>
      </w:r>
    </w:p>
    <w:p>
      <w:pPr>
        <w:spacing w:after="0" w:line="225" w:lineRule="exact"/>
        <w:rPr>
          <w:sz w:val="20"/>
          <w:szCs w:val="20"/>
          <w:color w:val="auto"/>
        </w:rPr>
      </w:pPr>
    </w:p>
    <w:p>
      <w:pPr>
        <w:ind w:left="1180" w:hanging="524"/>
        <w:spacing w:after="0"/>
        <w:tabs>
          <w:tab w:leader="none" w:pos="1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Offer to Purchase;</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purchase price in respect of all Notes or portions of Notes properly tendered; and</w:t>
      </w:r>
    </w:p>
    <w:p>
      <w:pPr>
        <w:spacing w:after="0" w:line="225" w:lineRule="exact"/>
        <w:rPr>
          <w:rFonts w:ascii="Times New Roman" w:cs="Times New Roman" w:eastAsia="Times New Roman" w:hAnsi="Times New Roman"/>
          <w:sz w:val="18"/>
          <w:szCs w:val="18"/>
          <w:color w:val="auto"/>
        </w:rPr>
      </w:pPr>
    </w:p>
    <w:p>
      <w:pPr>
        <w:ind w:right="340" w:firstLine="656"/>
        <w:spacing w:after="0" w:line="266" w:lineRule="auto"/>
        <w:tabs>
          <w:tab w:leader="none" w:pos="11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 pursuant to this Section 3.05 and a written order to cancel those Notes (in accordance with the Trustee’s procedures).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Issuer, the Depositary or the Paying Agent, as the case may be, will promptly deliver to each Holder of Notes properly tendered the purchase price for such Notes, and the Trustee will promptly authenticate and mail (or cause to be transferred by book entry) to each Holder a new Note equal in principal amount to any unpurchased portion of the Notes surrendered, if any. The Issuer will publicly announce the results of the Offer to Purchase on or as soon as practicable after the Purchase Date.</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those laws and regulations are applicable in connection with each repurchase of Notes pursuant to an Offer to Purchase. To the extent that the provisions of any securities laws or regulations conflict with the provisions of the Indenture governing such Offer to Purchase, the Issuer will comply with the applicable securities laws and regulations and will not be deemed to have breached its obligations under such provisions of the Indenture by virtue of such compliance.</w:t>
      </w:r>
    </w:p>
    <w:p>
      <w:pPr>
        <w:spacing w:after="0" w:line="18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provisions under this First Supplemental Indenture relative to the Issuer’s obligation to make any Offer to Purchase may be waived or modified with the consent of the Holders of a majority in principal amount of the Notes.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CERTAIN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noted, the following covenants will apply to the Notes in addition to the covenants in Article 4 of the Base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ind w:left="260" w:firstLine="639"/>
        <w:spacing w:after="0" w:line="258" w:lineRule="auto"/>
        <w:tabs>
          <w:tab w:leader="none" w:pos="142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and will not permit any of its Subsidiaries to, directly or indirectly, create, incur, assume or permit to exist any Lien on any of its assets (including Equity Interests of a Subsidiary), whether owned at the Issue Date or thereafter acquired, securing Indebtedness For Borrowed Money, other than Permitted Liens, without effectively providing that the Notes shall be secured, equally and ratably, on such assets of the Parent or such Subsidiary with (or senior or prior to) the Indebtedness For Borrowed Money so secured for so long as such Indebtedness For Borrowed Money is so secured.</w:t>
      </w:r>
    </w:p>
    <w:p>
      <w:pPr>
        <w:spacing w:after="0" w:line="183" w:lineRule="exact"/>
        <w:rPr>
          <w:rFonts w:ascii="Times New Roman" w:cs="Times New Roman" w:eastAsia="Times New Roman" w:hAnsi="Times New Roman"/>
          <w:sz w:val="18"/>
          <w:szCs w:val="18"/>
          <w:color w:val="auto"/>
        </w:rPr>
      </w:pPr>
    </w:p>
    <w:p>
      <w:pPr>
        <w:ind w:left="260" w:right="280" w:firstLine="639"/>
        <w:spacing w:after="0" w:line="266" w:lineRule="auto"/>
        <w:tabs>
          <w:tab w:leader="none" w:pos="143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for the benefit of the Holders of the Notes pursuant to clause (a) immediately above shall provide by its terms that such Lien shall be automatically and unconditionally released and discharged upon the release and discharge of the Lien that gave rise to such Lien created for the benefit of the Holders of the Notes.</w:t>
      </w:r>
    </w:p>
    <w:p>
      <w:pPr>
        <w:spacing w:after="0" w:line="175" w:lineRule="exact"/>
        <w:rPr>
          <w:rFonts w:ascii="Times New Roman" w:cs="Times New Roman" w:eastAsia="Times New Roman" w:hAnsi="Times New Roman"/>
          <w:sz w:val="18"/>
          <w:szCs w:val="18"/>
          <w:color w:val="auto"/>
        </w:rPr>
      </w:pPr>
    </w:p>
    <w:p>
      <w:pPr>
        <w:jc w:val="both"/>
        <w:ind w:left="260" w:right="80" w:firstLine="639"/>
        <w:spacing w:after="0" w:line="261" w:lineRule="auto"/>
        <w:tabs>
          <w:tab w:leader="none" w:pos="142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prior to a Collateral Release Event, the Parent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Notes shall be secured equally and ratably on the assets of the Parent or such Subsidiary with (or senior or prior to) the Equally and Ratably Secured Indebtedness so secured for so long as such indebtedness is so secured.</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3" w:name="page154"/>
    <w:bookmarkEnd w:id="153"/>
    <w:p>
      <w:pPr>
        <w:jc w:val="both"/>
        <w:ind w:left="240" w:firstLine="639"/>
        <w:spacing w:after="0" w:line="266" w:lineRule="auto"/>
        <w:tabs>
          <w:tab w:leader="none" w:pos="14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for the benefit of the Holders of the Notes pursuant to clause (c) immediately above will provide by its terms that such Lien will be automatically and unconditionally released and discharged upon the release and discharge of the Lien that gave rise to such Lien created for the benefit of the Holders of the Notes.</w:t>
      </w:r>
    </w:p>
    <w:p>
      <w:pPr>
        <w:spacing w:after="0" w:line="175" w:lineRule="exact"/>
        <w:rPr>
          <w:rFonts w:ascii="Times New Roman" w:cs="Times New Roman" w:eastAsia="Times New Roman" w:hAnsi="Times New Roman"/>
          <w:sz w:val="18"/>
          <w:szCs w:val="18"/>
          <w:color w:val="auto"/>
        </w:rPr>
      </w:pPr>
    </w:p>
    <w:p>
      <w:pPr>
        <w:ind w:left="240" w:right="360" w:firstLine="639"/>
        <w:spacing w:after="0" w:line="282" w:lineRule="auto"/>
        <w:tabs>
          <w:tab w:leader="none" w:pos="140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4.01 requires only equal and ratable treatment in the application of proceeds of Collateral and does not require that the trustee have any ability to control the Collateral or the enforcement of remedies.</w:t>
      </w:r>
    </w:p>
    <w:p>
      <w:pPr>
        <w:spacing w:after="0" w:line="161" w:lineRule="exact"/>
        <w:rPr>
          <w:rFonts w:ascii="Times New Roman" w:cs="Times New Roman" w:eastAsia="Times New Roman" w:hAnsi="Times New Roman"/>
          <w:sz w:val="18"/>
          <w:szCs w:val="18"/>
          <w:color w:val="auto"/>
        </w:rPr>
      </w:pPr>
    </w:p>
    <w:p>
      <w:pPr>
        <w:ind w:left="240" w:firstLine="639"/>
        <w:spacing w:after="0" w:line="282" w:lineRule="auto"/>
        <w:tabs>
          <w:tab w:leader="none" w:pos="138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assets in clauses (a) and (c) above means the assets of the Parent or any Subsidiary at the time of creation, incurrence or assumption of the Lien.</w:t>
      </w:r>
    </w:p>
    <w:p>
      <w:pPr>
        <w:spacing w:after="0" w:line="161" w:lineRule="exact"/>
        <w:rPr>
          <w:rFonts w:ascii="Times New Roman" w:cs="Times New Roman" w:eastAsia="Times New Roman" w:hAnsi="Times New Roman"/>
          <w:sz w:val="18"/>
          <w:szCs w:val="18"/>
          <w:color w:val="auto"/>
        </w:rPr>
      </w:pPr>
    </w:p>
    <w:p>
      <w:pPr>
        <w:ind w:left="240" w:right="100" w:firstLine="639"/>
        <w:spacing w:after="0" w:line="258" w:lineRule="auto"/>
        <w:tabs>
          <w:tab w:leader="none" w:pos="14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restrictions do not apply to extensions, renewals or replacements of any Indebtedness For Borrowed Money (and any successive extensions, renewals or replacements of such Indebtedness For Borrowed Money) secured by the foregoing types of Liens, so long as the principal amount of Indebtedness For Borrowed Money secured thereby shall not exceed the amount of such Indebtedness For Borrowed Money secured by the foregoing Liens existing at the time of such extension, renewal or replacement (plus an amount equal to any premiums, accrued interest, fees, expenses or other costs payable in connection therewith).</w:t>
      </w:r>
    </w:p>
    <w:p>
      <w:pPr>
        <w:spacing w:after="0" w:line="183" w:lineRule="exact"/>
        <w:rPr>
          <w:rFonts w:ascii="Times New Roman" w:cs="Times New Roman" w:eastAsia="Times New Roman" w:hAnsi="Times New Roman"/>
          <w:sz w:val="18"/>
          <w:szCs w:val="18"/>
          <w:color w:val="auto"/>
        </w:rPr>
      </w:pPr>
    </w:p>
    <w:p>
      <w:pPr>
        <w:ind w:left="240" w:right="140" w:firstLine="639"/>
        <w:spacing w:after="0" w:line="256" w:lineRule="auto"/>
        <w:tabs>
          <w:tab w:leader="none" w:pos="14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 increase in the amount of Indebtedness For Borrowed Money in connection with any accrual of interest, accretion of accreted value, amortization of original issue discount, payment of interest in the form of additional Indebtedness For Borrowed Money with the same terms, and accretion of original issue discount and increases in the amount of Indebtedness For Borrowed Money outstanding solely as a result of fluctuations in the exchange rate of currencies or increases in the value of property securing Indebtedness For Borrowed Money, shall not constitute an incurrence or assumption for the purposes of this covenant, so long as the original Liens securing such Indebtedness For Borrowed Money were permitted under the indenture.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Offer to Repurchase Upon Change of Control Triggering Event.</w:t>
      </w:r>
    </w:p>
    <w:p>
      <w:pPr>
        <w:spacing w:after="0" w:line="227" w:lineRule="exact"/>
        <w:rPr>
          <w:sz w:val="20"/>
          <w:szCs w:val="20"/>
          <w:color w:val="auto"/>
        </w:rPr>
      </w:pPr>
    </w:p>
    <w:p>
      <w:pPr>
        <w:ind w:left="-20" w:right="20" w:firstLine="656"/>
        <w:spacing w:after="0" w:line="255" w:lineRule="auto"/>
        <w:tabs>
          <w:tab w:leader="none" w:pos="114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unless the Issuer has previously or concurrently delivered a redemption notice with respect to all the outstanding Notes pursuant to Section 3.01, within 30 days following such Change of Control Triggering Event, the Issuer will make an Offer to Purchase all of the Notes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on the terms set forth in the Indenture and in compliance with Section 3.05. In the Change of Control Offer, the Issuer will offer to purchase all of the Notes at a purchase price in cash equal to 101% of the aggregate principal amount of Notes repurchased, plus accrued and unpaid interest on the Notes repurchased to, but not including, the date of purchase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 if the Notes have not been redeemed or repurchased prior to such 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54" w:name="page155"/>
    <w:bookmarkEnd w:id="154"/>
    <w:p>
      <w:pPr>
        <w:ind w:right="20" w:firstLine="656"/>
        <w:spacing w:after="0" w:line="255" w:lineRule="auto"/>
        <w:tabs>
          <w:tab w:leader="none" w:pos="117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4.02, the Issuer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Issuer and purchases all Notes properly tendered and not withdrawn under the Change of Control Offer, (2) in connection with or in contemplation of any Change of Control, the Issuer (or any Affiliate of the Issuer) has made an offer to purchase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xml:space="preserve"> any and all Notes validly tendered at a cash price equal to or higher than the Change of Control Payment and has purchased all Notes properly tendered in accordance with the terms of the Alternate Offer or (3) notice of redemption has been given pursuant to Section 3.07 under the Indenture, unless and until there is a default in payment of the applicable redemption price.</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 Change of Control Offer or Alternate Offer may be made in advance of a Change of Control Triggering Event, which may be conditioned upon the consummation of such Change of Control Triggering Event, if a definitive agreement is in place for the Change of Control Triggering Event at the time the Change of Control Offer or Alternate Offer is made.</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Change of Control Offer or Alternate Offer may be made at the same time as consents are solicited with respect to an amendment, supplement or waiver of the Indenture, the Notes, the Note Guarantees and/or the Collateral Documents (but the Change of Control Offer may not condition tenders on the delivery of such consents).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Additional Note Guarantees.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the occurrence of a Collateral Release Event, if any direct or indirect Subsidiary of the Parent that is not a Guarantor (other than an Excluded Subsidiary or the Issuer) becomes a guarantor or obligor in respect of the Senior Secured Credit Facilities, within 60 days of such event the Parent will, subject to applicable law and the Agreed Guarantee and Security Principles, cause such Subsidiary to enter into (i) a supplemental indenture pursuant to which such Subsidiary shall agree to Guarantee the Issuer’s Obligations under the Notes, fully and unconditionally and on a senior secured basis and (ii) supplements or joinders to the Collateral Documents or new Collateral Documents together with any other filings, actions and agreements required by the Collateral Documents to create or perfect the security interests for the benefit of the Holders of the Notes in the Collateral of such Subsidiary subject to the Agreed Guarantee and Security Principles. The Parent also may, at any time, cause a Subsidiary to become a Guarantor by executing and delivering a supplemental indenture providing for the Guarantee of payment of the Notes by such Subsidiary on the basis provided in the Indenture. Any such supplemental indenture may be in the form of such supplemental indenture attached as Exhibit D hereto or such other form as agreed between the Issuer, the applicable Guarantor and the Trustee.</w:t>
      </w:r>
    </w:p>
    <w:p>
      <w:pPr>
        <w:spacing w:after="0" w:line="194"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If any Guarantor becomes an Excluded Subsidiary, the Parent shall have the right, by execution and delivery of a supplemental indenture to the Trustee, to cause such Excluded Subsidiary to cease to be a Guarantor, subject to the requirement described in the first paragraph above that such Subsidiary shall be required to become a Guarantor if it ceases to be an Excluded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such Excluded Subsidiary that ceased to be a Guarantor pursuant to the foregoing shall not be permitted to Guarantee the Senior Secured Credit Facilities, unless it again becomes a Guarantor.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Additional Amounts.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First Supplemental Indenture, Sections 4.06(i) and (j) of the Base Indenture shall be amended and restated as follows, with other information in the Base Indenture deemed to have changed to the extent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4.04 shall not become part of the terms of any other Series of Securities: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 any (i) Luxembourg withholding tax due under the so-called Luxembourg Relibi Law dated 23 December 2005 by the Grand-Duchy of Luxembourg or (ii) Luxembourg registration duties (droits d’enregistrement) payable due to a registration, submission or filing by any holder or beneficial owner of any Note or Note Guarantee thereof, except if such registration, submission or filing is required to maintain, establish, enforce or preserve the rights of such holder or beneficial owner under such Note or Note Guarantee thereof; or</w:t>
      </w:r>
    </w:p>
    <w:p>
      <w:pPr>
        <w:spacing w:after="0" w:line="180" w:lineRule="exact"/>
        <w:rPr>
          <w:sz w:val="20"/>
          <w:szCs w:val="20"/>
          <w:color w:val="auto"/>
        </w:rPr>
      </w:pPr>
    </w:p>
    <w:p>
      <w:pPr>
        <w:ind w:left="660" w:right="5460" w:hanging="4"/>
        <w:spacing w:after="0" w:line="500" w:lineRule="auto"/>
        <w:tabs>
          <w:tab w:leader="none" w:pos="11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combination of the foregoing clauses (a) through (i) above.” Section 4.05 </w:t>
      </w:r>
      <w:r>
        <w:rPr>
          <w:rFonts w:ascii="Times New Roman" w:cs="Times New Roman" w:eastAsia="Times New Roman" w:hAnsi="Times New Roman"/>
          <w:sz w:val="18"/>
          <w:szCs w:val="18"/>
          <w:i w:val="1"/>
          <w:iCs w:val="1"/>
          <w:color w:val="auto"/>
        </w:rPr>
        <w:t>After-Acquired Property.</w:t>
      </w:r>
    </w:p>
    <w:p>
      <w:pPr>
        <w:spacing w:after="0" w:line="2" w:lineRule="exact"/>
        <w:rPr>
          <w:sz w:val="20"/>
          <w:szCs w:val="20"/>
          <w:color w:val="auto"/>
        </w:rPr>
      </w:pPr>
    </w:p>
    <w:p>
      <w:pPr>
        <w:jc w:val="both"/>
        <w:ind w:firstLine="656"/>
        <w:spacing w:after="0" w:line="253" w:lineRule="auto"/>
        <w:tabs>
          <w:tab w:leader="none" w:pos="9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foregoing, prior to a Collateral Release Event, if property that is intended to be Collateral (other than Excluded Assets) is acquired by the Issuer or a Guarantor (including property of a Person that becomes a new Guarantor) after the Issue Date and is not automatically subject to a perfected security interest under the Collateral Documents, then the Issuer or such Guarantor will provide a lien over such property consistent with the Liens granted over similar property in the applicable jurisdiction (or in the case of any jurisdiction where no liens were previously granted, to the extent in a Covered Jurisdiction and consistent with the Agreed Guarantee and Security Principles) (or, in the case of a new Guarantor, such of its property consistent with the Liens granted over similar property in the applicable jurisdiction (or in the case of any jurisdiction where no liens were previously granted, to the extent in a Covered Jurisdiction and consistent with the Agreed Guarantee and Security Principles)) in favor of the Notes Collateral Agent and deliver certain agreements, documents, security instruments and certificates in respect thereof, all as and to the extent required by the Indenture, the First Lien Intercreditor Agreement or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Opinions of Counsel will be required to be provided;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while any obligations under the Senior Secured Credit Facilities are outstanding, this paragraph shall only apply to Collateral that is also pledged to secure the obligations under the Senior Secured Credit Facilities (including property of a Person that becomes a new Guarantor) after the Issue Date.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Indenture or the Collateral Documents to the contrary, in addition to the other exceptions and limitations described in the Collateral Documents, and notwithstanding any action that is taken in favor of the lenders under the Senior Secured Credit Facilities, none of the Issuer or any Guarantor shall have any obligation to (A) enter into control agreements with respect to any security interest or lien in any Deposit Account or Securities Account (in each case, as defined in the UCC) included in the Collateral or provide fixed security over bank accounts, (B)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 (E) pledge Equity Interests of any partnership, joint venture or non-wholly-owned Subsidiary which are not permitted to be pledged pursuant to the terms of such partnership’s, joint venture’s or non-wholly-owned Subsidiary’s organizational, joint venture or equivalent documents (after giving effect to the applicable anti-assignment provisions of the UCC or other applicable law) or (F) enter into any Collateral Documents or take any perfection steps outside of the jurisdiction of organization of such Issuer or Guarantor (other than the recordation of patent, trademark and copyright security agreements in the United States Patent and Trademark Office and the United States Copyright Office).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No Impairment of the Security Interests.</w:t>
      </w:r>
    </w:p>
    <w:p>
      <w:pPr>
        <w:spacing w:after="0" w:line="227"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Except as otherwise permitted under this First Supplemental Indenture (including, for the avoidance of doubt, pursuant to a transaction otherwise permitted by this First Supplemental Indenture), the First Lien Intercreditor Agreement and the Collateral Documents, none of the Issuer nor any of the Guarantors shall be permitted to take any action, or knowingly omit to take any action, which action or omission would have the result of materially impairing the security interest with respect to the Collateral for the benefit of the Trustee, the Notes Collateral Agent and the Holders of the Notes.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 GUARANTEES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Article 10 of the Base Indenture shall apply to the Notes for the benefit of the Holders of the Notes. The Notes of each Series issued pursuant to this First Supplemental Indenture shall have the benefit of Guarantees by the Subsidiary Guarantors party to this First Supplemental Indenture, including any Subsidiary that becomes a Guarantor pursuant to Section 4.03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5.01 shall not become part of the terms of any other Series of Securities.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Release of Guarantees.</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Note Guarantee of the Parent shall be released in accordance with Section 10.04 of the Base Indenture. Any Subsidiary Guarantor of each Series of Notes under this First Supplemental Indenture will be automatically and unconditionally released from all obligations under its Note Guarantee for such Series, and such Note Guarantee shall thereupon terminate and be discharged and of no further force and effect:</w:t>
      </w:r>
    </w:p>
    <w:p>
      <w:pPr>
        <w:spacing w:after="0" w:line="176" w:lineRule="exact"/>
        <w:rPr>
          <w:sz w:val="20"/>
          <w:szCs w:val="20"/>
          <w:color w:val="auto"/>
        </w:rPr>
      </w:pPr>
    </w:p>
    <w:p>
      <w:pPr>
        <w:ind w:left="260" w:firstLine="639"/>
        <w:spacing w:after="0" w:line="266" w:lineRule="auto"/>
        <w:tabs>
          <w:tab w:leader="none" w:pos="142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sale, exchange, disposition or transfer (by merger or otherwise) of any Capital Stock, or all or substantially all assets, of such Guarantor in accordance with the applicable provisions of the Indenture following which such Guarantor is no longer a Subsidiary of the Parent or ceases to be organized in a Covered Jurisdiction;</w:t>
      </w:r>
    </w:p>
    <w:p>
      <w:pPr>
        <w:spacing w:after="0" w:line="175" w:lineRule="exact"/>
        <w:rPr>
          <w:rFonts w:ascii="Times New Roman" w:cs="Times New Roman" w:eastAsia="Times New Roman" w:hAnsi="Times New Roman"/>
          <w:sz w:val="18"/>
          <w:szCs w:val="18"/>
          <w:color w:val="auto"/>
        </w:rPr>
      </w:pPr>
    </w:p>
    <w:p>
      <w:pPr>
        <w:ind w:left="1420" w:hanging="521"/>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all Guarantors (other than the Parent), at the time of any Collateral Release Event;</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157" w:name="page158"/>
    <w:bookmarkEnd w:id="157"/>
    <w:p>
      <w:pPr>
        <w:ind w:left="260" w:right="320" w:firstLine="639"/>
        <w:spacing w:after="0" w:line="282" w:lineRule="auto"/>
        <w:tabs>
          <w:tab w:leader="none" w:pos="142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Covenant Defeasance or satisfaction and discharge of this First Supplemental Indenture as to such Series of Notes as provided in Articles 8 and 11 of the Base Indenture; or</w:t>
      </w:r>
    </w:p>
    <w:p>
      <w:pPr>
        <w:spacing w:after="0" w:line="161" w:lineRule="exact"/>
        <w:rPr>
          <w:rFonts w:ascii="Times New Roman" w:cs="Times New Roman" w:eastAsia="Times New Roman" w:hAnsi="Times New Roman"/>
          <w:sz w:val="18"/>
          <w:szCs w:val="18"/>
          <w:color w:val="auto"/>
        </w:rPr>
      </w:pPr>
    </w:p>
    <w:p>
      <w:pPr>
        <w:ind w:left="260" w:right="20" w:firstLine="639"/>
        <w:spacing w:after="0" w:line="282" w:lineRule="auto"/>
        <w:tabs>
          <w:tab w:leader="none" w:pos="14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or consolidation of any Subsidiary Guarantor with an into the Parent, the Issuer or another Subsidiary Guarantor or upon the liquidation, dissolution or winding up of such Subsidiary Guarantor;</w:t>
      </w:r>
    </w:p>
    <w:p>
      <w:pPr>
        <w:spacing w:after="0" w:line="161" w:lineRule="exact"/>
        <w:rPr>
          <w:rFonts w:ascii="Times New Roman" w:cs="Times New Roman" w:eastAsia="Times New Roman" w:hAnsi="Times New Roman"/>
          <w:sz w:val="18"/>
          <w:szCs w:val="18"/>
          <w:color w:val="auto"/>
        </w:rPr>
      </w:pPr>
    </w:p>
    <w:p>
      <w:pPr>
        <w:ind w:left="260" w:right="20" w:firstLine="639"/>
        <w:spacing w:after="0" w:line="282" w:lineRule="auto"/>
        <w:tabs>
          <w:tab w:leader="none" w:pos="151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release of such Subsidiary Guarantor from its guarantee under the Senior Secured Credit Facilities (except in the case of a release from the repayment in full of the Senior Secured Credit Facilities); or</w:t>
      </w:r>
    </w:p>
    <w:p>
      <w:pPr>
        <w:spacing w:after="0" w:line="161" w:lineRule="exact"/>
        <w:rPr>
          <w:rFonts w:ascii="Times New Roman" w:cs="Times New Roman" w:eastAsia="Times New Roman" w:hAnsi="Times New Roman"/>
          <w:sz w:val="18"/>
          <w:szCs w:val="18"/>
          <w:color w:val="auto"/>
        </w:rPr>
      </w:pPr>
    </w:p>
    <w:p>
      <w:pPr>
        <w:ind w:left="1400" w:hanging="501"/>
        <w:spacing w:after="0"/>
        <w:tabs>
          <w:tab w:leader="none" w:pos="14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Subsidiary Guarantor becoming an Excluded Subsidiary.</w:t>
      </w:r>
    </w:p>
    <w:p>
      <w:pPr>
        <w:spacing w:after="0" w:line="2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Upon any occurrence giving rise to a release of a Note Guarantee, as specified in this Section 5.02, the Trustee, upon receipt of an Officer’s Certificate from the Issuer in accordance with the provisions of Section 9.02 hereof, which the Trustee shall be entitled to rely on absolutely and without further inquiry, will take all necessary actions at the reasonable request and cost of the Issuer, to effectuate any release of a Note Guarantee in accordance with these provisions, subject to customary protections and indemnifications. Each of the releases set forth above shall be effected by the Trustee without the consent of the Holders and will not require any other action or consent on the part of the Trustee. None of the Issuer, the Trustee or any Guarantor will be required to make a notation on the Notes to reflect any such release, termination or discharge. The Issuer may in its sole discretion, and without prejudice to any future election in relation thereto, elect to have any Note Guarantee remain in place as opposed to being released.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Guarantor not released from its obligations under its Note Guarantee as provided in this Section 5.02 will remain liable for the full amount of principal of, premium on, if any, and interest on, the Notes for such Series and for the other obligations of any Guarantor under the Indenture as provided in Article 10 of the Base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Luxembourg Guarantee Limitation Language.</w:t>
      </w:r>
    </w:p>
    <w:p>
      <w:pPr>
        <w:spacing w:after="0" w:line="227" w:lineRule="exact"/>
        <w:rPr>
          <w:sz w:val="20"/>
          <w:szCs w:val="20"/>
          <w:color w:val="auto"/>
        </w:rPr>
      </w:pPr>
    </w:p>
    <w:p>
      <w:pPr>
        <w:jc w:val="both"/>
        <w:ind w:left="260" w:firstLine="639"/>
        <w:spacing w:after="0" w:line="266" w:lineRule="auto"/>
        <w:tabs>
          <w:tab w:leader="none" w:pos="149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First Supplemental Indenture, the aggregate obligations and exposure of a Luxembourg Guarantor in respect of the Note Guarantees for the obligations of the Issuer shall be limited at any time to an aggregate amount not exceeding 95% of the greater of:</w:t>
      </w:r>
    </w:p>
    <w:p>
      <w:pPr>
        <w:spacing w:after="0" w:line="173" w:lineRule="exact"/>
        <w:rPr>
          <w:rFonts w:ascii="Times New Roman" w:cs="Times New Roman" w:eastAsia="Times New Roman" w:hAnsi="Times New Roman"/>
          <w:sz w:val="18"/>
          <w:szCs w:val="18"/>
          <w:color w:val="auto"/>
        </w:rPr>
      </w:pPr>
    </w:p>
    <w:p>
      <w:pPr>
        <w:jc w:val="both"/>
        <w:ind w:left="820" w:firstLine="646"/>
        <w:spacing w:after="0" w:line="256" w:lineRule="auto"/>
        <w:tabs>
          <w:tab w:leader="none" w:pos="210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the Luxembourg Guarantor’s net assets (</w:t>
      </w:r>
      <w:r>
        <w:rPr>
          <w:rFonts w:ascii="Times New Roman" w:cs="Times New Roman" w:eastAsia="Times New Roman" w:hAnsi="Times New Roman"/>
          <w:sz w:val="18"/>
          <w:szCs w:val="18"/>
          <w:i w:val="1"/>
          <w:iCs w:val="1"/>
          <w:color w:val="auto"/>
        </w:rPr>
        <w:t>capitaux propres</w:t>
      </w:r>
      <w:r>
        <w:rPr>
          <w:rFonts w:ascii="Times New Roman" w:cs="Times New Roman" w:eastAsia="Times New Roman" w:hAnsi="Times New Roman"/>
          <w:sz w:val="18"/>
          <w:szCs w:val="18"/>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Times New Roman" w:cs="Times New Roman" w:eastAsia="Times New Roman" w:hAnsi="Times New Roman"/>
          <w:sz w:val="18"/>
          <w:szCs w:val="18"/>
          <w:i w:val="1"/>
          <w:iCs w:val="1"/>
          <w:color w:val="auto"/>
        </w:rPr>
        <w:t>Own Funds</w:t>
      </w:r>
      <w:r>
        <w:rPr>
          <w:rFonts w:ascii="Times New Roman" w:cs="Times New Roman" w:eastAsia="Times New Roman" w:hAnsi="Times New Roman"/>
          <w:sz w:val="18"/>
          <w:szCs w:val="18"/>
          <w:color w:val="auto"/>
        </w:rPr>
        <w:t>”), as amended and its subordinated debt (</w:t>
      </w:r>
      <w:r>
        <w:rPr>
          <w:rFonts w:ascii="Times New Roman" w:cs="Times New Roman" w:eastAsia="Times New Roman" w:hAnsi="Times New Roman"/>
          <w:sz w:val="18"/>
          <w:szCs w:val="18"/>
          <w:i w:val="1"/>
          <w:iCs w:val="1"/>
          <w:color w:val="auto"/>
        </w:rPr>
        <w:t>dettes subordonnées</w:t>
      </w:r>
      <w:r>
        <w:rPr>
          <w:rFonts w:ascii="Times New Roman" w:cs="Times New Roman" w:eastAsia="Times New Roman" w:hAnsi="Times New Roman"/>
          <w:sz w:val="18"/>
          <w:szCs w:val="18"/>
          <w:color w:val="auto"/>
        </w:rPr>
        <w:t>), as reflected in the financial information of the Luxembourg Guarantor publicly available at the date of this First Supplemental Indenture (or its accession as a Luxembourg Guarantor, as the case may be), including, without limitation, its most recently and duly approved financial statements (</w:t>
      </w:r>
      <w:r>
        <w:rPr>
          <w:rFonts w:ascii="Times New Roman" w:cs="Times New Roman" w:eastAsia="Times New Roman" w:hAnsi="Times New Roman"/>
          <w:sz w:val="18"/>
          <w:szCs w:val="18"/>
          <w:i w:val="1"/>
          <w:iCs w:val="1"/>
          <w:color w:val="auto"/>
        </w:rPr>
        <w:t>comptes annuels)</w:t>
      </w:r>
      <w:r>
        <w:rPr>
          <w:rFonts w:ascii="Times New Roman" w:cs="Times New Roman" w:eastAsia="Times New Roman" w:hAnsi="Times New Roman"/>
          <w:sz w:val="18"/>
          <w:szCs w:val="18"/>
          <w:color w:val="auto"/>
        </w:rPr>
        <w:t xml:space="preserve"> and any (unaudited) interim financial statements signed by its board of managers (</w:t>
      </w:r>
      <w:r>
        <w:rPr>
          <w:rFonts w:ascii="Times New Roman" w:cs="Times New Roman" w:eastAsia="Times New Roman" w:hAnsi="Times New Roman"/>
          <w:sz w:val="18"/>
          <w:szCs w:val="18"/>
          <w:i w:val="1"/>
          <w:iCs w:val="1"/>
          <w:color w:val="auto"/>
        </w:rPr>
        <w:t>gérants</w:t>
      </w:r>
      <w:r>
        <w:rPr>
          <w:rFonts w:ascii="Times New Roman" w:cs="Times New Roman" w:eastAsia="Times New Roman" w:hAnsi="Times New Roman"/>
          <w:sz w:val="18"/>
          <w:szCs w:val="18"/>
          <w:color w:val="auto"/>
        </w:rPr>
        <w:t>) or directors (</w:t>
      </w:r>
      <w:r>
        <w:rPr>
          <w:rFonts w:ascii="Times New Roman" w:cs="Times New Roman" w:eastAsia="Times New Roman" w:hAnsi="Times New Roman"/>
          <w:sz w:val="18"/>
          <w:szCs w:val="18"/>
          <w:i w:val="1"/>
          <w:iCs w:val="1"/>
          <w:color w:val="auto"/>
        </w:rPr>
        <w:t>administrateurs</w:t>
      </w:r>
      <w:r>
        <w:rPr>
          <w:rFonts w:ascii="Times New Roman" w:cs="Times New Roman" w:eastAsia="Times New Roman" w:hAnsi="Times New Roman"/>
          <w:sz w:val="18"/>
          <w:szCs w:val="18"/>
          <w:color w:val="auto"/>
        </w:rPr>
        <w:t>) (as the case may be); and</w:t>
      </w:r>
    </w:p>
    <w:p>
      <w:pPr>
        <w:spacing w:after="0" w:line="182" w:lineRule="exact"/>
        <w:rPr>
          <w:rFonts w:ascii="Times New Roman" w:cs="Times New Roman" w:eastAsia="Times New Roman" w:hAnsi="Times New Roman"/>
          <w:sz w:val="18"/>
          <w:szCs w:val="18"/>
          <w:color w:val="auto"/>
        </w:rPr>
      </w:pPr>
    </w:p>
    <w:p>
      <w:pPr>
        <w:jc w:val="both"/>
        <w:ind w:left="820" w:firstLine="646"/>
        <w:spacing w:after="0" w:line="261" w:lineRule="auto"/>
        <w:tabs>
          <w:tab w:leader="none" w:pos="208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the Luxembourg Guarantor’s Own Funds and its subordinated debt (</w:t>
      </w:r>
      <w:r>
        <w:rPr>
          <w:rFonts w:ascii="Times New Roman" w:cs="Times New Roman" w:eastAsia="Times New Roman" w:hAnsi="Times New Roman"/>
          <w:sz w:val="18"/>
          <w:szCs w:val="18"/>
          <w:i w:val="1"/>
          <w:iCs w:val="1"/>
          <w:color w:val="auto"/>
        </w:rPr>
        <w:t>dettes subordonnées</w:t>
      </w:r>
      <w:r>
        <w:rPr>
          <w:rFonts w:ascii="Times New Roman" w:cs="Times New Roman" w:eastAsia="Times New Roman" w:hAnsi="Times New Roman"/>
          <w:sz w:val="18"/>
          <w:szCs w:val="18"/>
          <w:color w:val="auto"/>
        </w:rPr>
        <w:t>), as reflected in the financial information of the Luxembourg Guarantor available as at the date the guarantee is called, including, without limitation, its most recently and duly approved financial statements (</w:t>
      </w:r>
      <w:r>
        <w:rPr>
          <w:rFonts w:ascii="Times New Roman" w:cs="Times New Roman" w:eastAsia="Times New Roman" w:hAnsi="Times New Roman"/>
          <w:sz w:val="18"/>
          <w:szCs w:val="18"/>
          <w:i w:val="1"/>
          <w:iCs w:val="1"/>
          <w:color w:val="auto"/>
        </w:rPr>
        <w:t>comptes annuels</w:t>
      </w:r>
      <w:r>
        <w:rPr>
          <w:rFonts w:ascii="Times New Roman" w:cs="Times New Roman" w:eastAsia="Times New Roman" w:hAnsi="Times New Roman"/>
          <w:sz w:val="18"/>
          <w:szCs w:val="18"/>
          <w:color w:val="auto"/>
        </w:rPr>
        <w:t>) and any (unaudited) interim financial statements signed by its board of managers (</w:t>
      </w:r>
      <w:r>
        <w:rPr>
          <w:rFonts w:ascii="Times New Roman" w:cs="Times New Roman" w:eastAsia="Times New Roman" w:hAnsi="Times New Roman"/>
          <w:sz w:val="18"/>
          <w:szCs w:val="18"/>
          <w:i w:val="1"/>
          <w:iCs w:val="1"/>
          <w:color w:val="auto"/>
        </w:rPr>
        <w:t>gérants</w:t>
      </w:r>
      <w:r>
        <w:rPr>
          <w:rFonts w:ascii="Times New Roman" w:cs="Times New Roman" w:eastAsia="Times New Roman" w:hAnsi="Times New Roman"/>
          <w:sz w:val="18"/>
          <w:szCs w:val="18"/>
          <w:color w:val="auto"/>
        </w:rPr>
        <w:t>) or directors (</w:t>
      </w:r>
      <w:r>
        <w:rPr>
          <w:rFonts w:ascii="Times New Roman" w:cs="Times New Roman" w:eastAsia="Times New Roman" w:hAnsi="Times New Roman"/>
          <w:sz w:val="18"/>
          <w:szCs w:val="18"/>
          <w:i w:val="1"/>
          <w:iCs w:val="1"/>
          <w:color w:val="auto"/>
        </w:rPr>
        <w:t>administrateurs</w:t>
      </w:r>
      <w:r>
        <w:rPr>
          <w:rFonts w:ascii="Times New Roman" w:cs="Times New Roman" w:eastAsia="Times New Roman" w:hAnsi="Times New Roman"/>
          <w:sz w:val="18"/>
          <w:szCs w:val="18"/>
          <w:color w:val="auto"/>
        </w:rPr>
        <w:t>) (as the case may be).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ind w:left="260" w:firstLine="639"/>
        <w:spacing w:after="0" w:line="282" w:lineRule="auto"/>
        <w:tabs>
          <w:tab w:leader="none" w:pos="14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set forth at paragraph (a) above shall not apply to any amounts received under the Notes and made available, in any form whatsoever, to such Luxembourg Guarantor or any of its direct or indirect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jc w:val="both"/>
        <w:ind w:right="260" w:firstLine="648"/>
        <w:spacing w:after="0" w:line="315"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xml:space="preserve">. Section 6.01 of the Base Indenture shall be superseded in its entirety by the following language with respect to, and solely for the benefit of the Holders of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Section 6.01 shall not become part of the terms of any other Series of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180" w:hanging="524"/>
        <w:spacing w:after="0"/>
        <w:tabs>
          <w:tab w:leader="none" w:pos="11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 of any Series;</w:t>
      </w:r>
    </w:p>
    <w:p>
      <w:pPr>
        <w:spacing w:after="0" w:line="22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maturity, upon redemption or otherwise) of the principal of, or premium, if any, on the Notes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right="20" w:firstLine="656"/>
        <w:spacing w:after="0" w:line="261" w:lineRule="auto"/>
        <w:tabs>
          <w:tab w:leader="none" w:pos="11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the Guarantors to comply with any of the other agreements in the Indenture (other than a failure that is the subject of clause (1) or (2)) for 60 days after receipt by the Parent of written notice of such failure from the Trustee (or receipt by the Parent and the Trustee of written notice of such failure from the Holders of at least 25% in aggregate principal amount of the then-outstanding Notes of such Series voting as a single class);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ind w:left="-20" w:right="20" w:firstLine="656"/>
        <w:spacing w:after="0" w:line="252" w:lineRule="auto"/>
        <w:tabs>
          <w:tab w:leader="none" w:pos="115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defaults shall have occurred under any of the agreements, indentures or instruments under which the Parent, the Issuer or any Significant Subsidiary has outstanding Indebtedness For Borrowed Money in excess of $250.0 million, individually or in the aggregate, and either (a) such default results from the failure to pay such Indebtedness For Borrowed Money at its stated final maturity and such default has not been cured or the Indebtedness For Borrowed Money repaid in full within 60 days of the default or (b) such default or defaults have resulted in the acceleration of the maturity of such Indebtedness For Borrowed Money and such acceleration has not been rescinded or such Indebtedness For Borrowed Money repaid in full within 60 days of the acceleration;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(4) shall not apply to (i) secured Indebtedness For Borrowed Money that becomes due as a result of the voluntary sale or transfer of the property or assets securing such Indebtedness For Borrowed Money, (ii) any redemption, repurchase, conversion, exchange or settlement with respect to any debt securities or other Indebtedness For Borrowed Money, the terms of which provide for conversion into, or exchange for, Equity Interests of the Parent, cash in lieu thereof or a combination of Equity Interests and cash in lieu thereof pursuant to its terms unless such redemption, repurchase, conversion, exchange or settlement results from a default thereunder or an event of the type that constitutes an Event of Default, (iii) any early payment requirement or unwinding or termination with respect to any Hedge Agreement (other than any such payment requirement or termination resulting from a default by Parent or any Subsidiary) or (iv) Indebtedness For Borrowed Money of any Person whose Equity Interests are being acquired in a transaction otherwise permitted under the Indenture and which Indebtedness For Borrowed Money becomes due because of such transaction;</w:t>
      </w:r>
    </w:p>
    <w:p>
      <w:pPr>
        <w:spacing w:after="0" w:line="197" w:lineRule="exact"/>
        <w:rPr>
          <w:rFonts w:ascii="Times New Roman" w:cs="Times New Roman" w:eastAsia="Times New Roman" w:hAnsi="Times New Roman"/>
          <w:sz w:val="18"/>
          <w:szCs w:val="18"/>
          <w:color w:val="auto"/>
        </w:rPr>
      </w:pPr>
    </w:p>
    <w:p>
      <w:pPr>
        <w:ind w:left="-20" w:firstLine="656"/>
        <w:spacing w:after="0" w:line="266" w:lineRule="auto"/>
        <w:tabs>
          <w:tab w:leader="none" w:pos="115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by the Parent or a Significant Subsidiary shall for any reason cease to be, or shall for any reason be held in any judicial proceeding not to be, or asserted in writing by the Parent or such Significant Subsidiary not to be, in full force and effect and enforceable in accordance with its terms, except to the extent contemplated by the Indenture and any such Note Guarantee, and any such default continues for 10 days;</w:t>
      </w:r>
    </w:p>
    <w:p>
      <w:pPr>
        <w:spacing w:after="0" w:line="175" w:lineRule="exact"/>
        <w:rPr>
          <w:rFonts w:ascii="Times New Roman" w:cs="Times New Roman" w:eastAsia="Times New Roman" w:hAnsi="Times New Roman"/>
          <w:sz w:val="18"/>
          <w:szCs w:val="18"/>
          <w:color w:val="auto"/>
        </w:rPr>
      </w:pPr>
    </w:p>
    <w:p>
      <w:pPr>
        <w:ind w:left="1160" w:hanging="524"/>
        <w:spacing w:after="0"/>
        <w:tabs>
          <w:tab w:leader="none" w:pos="11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the Issuer or any Significant Subsidiary:</w:t>
      </w:r>
    </w:p>
    <w:p>
      <w:pPr>
        <w:spacing w:after="0" w:line="225" w:lineRule="exact"/>
        <w:rPr>
          <w:rFonts w:ascii="Times New Roman" w:cs="Times New Roman" w:eastAsia="Times New Roman" w:hAnsi="Times New Roman"/>
          <w:sz w:val="18"/>
          <w:szCs w:val="18"/>
          <w:color w:val="auto"/>
        </w:rPr>
      </w:pPr>
    </w:p>
    <w:p>
      <w:pPr>
        <w:ind w:left="2500" w:hanging="568"/>
        <w:spacing w:after="0"/>
        <w:tabs>
          <w:tab w:leader="none" w:pos="25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insolvency proceeding,</w:t>
      </w:r>
    </w:p>
    <w:p>
      <w:pPr>
        <w:spacing w:after="0" w:line="225" w:lineRule="exact"/>
        <w:rPr>
          <w:rFonts w:ascii="Times New Roman" w:cs="Times New Roman" w:eastAsia="Times New Roman" w:hAnsi="Times New Roman"/>
          <w:sz w:val="18"/>
          <w:szCs w:val="18"/>
          <w:color w:val="auto"/>
        </w:rPr>
      </w:pPr>
    </w:p>
    <w:p>
      <w:pPr>
        <w:ind w:left="2480" w:hanging="548"/>
        <w:spacing w:after="0"/>
        <w:tabs>
          <w:tab w:leader="none" w:pos="24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insolvency proceeding,</w:t>
      </w:r>
    </w:p>
    <w:p>
      <w:pPr>
        <w:spacing w:after="0" w:line="225" w:lineRule="exact"/>
        <w:rPr>
          <w:rFonts w:ascii="Times New Roman" w:cs="Times New Roman" w:eastAsia="Times New Roman" w:hAnsi="Times New Roman"/>
          <w:sz w:val="18"/>
          <w:szCs w:val="18"/>
          <w:color w:val="auto"/>
        </w:rPr>
      </w:pPr>
    </w:p>
    <w:p>
      <w:pPr>
        <w:ind w:left="2480" w:hanging="548"/>
        <w:spacing w:after="0"/>
        <w:tabs>
          <w:tab w:leader="none" w:pos="24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Bankruptcy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500" w:hanging="568"/>
        <w:spacing w:after="0"/>
        <w:tabs>
          <w:tab w:leader="none" w:pos="25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3" w:lineRule="exact"/>
        <w:rPr>
          <w:sz w:val="20"/>
          <w:szCs w:val="20"/>
          <w:color w:val="auto"/>
        </w:rPr>
      </w:pPr>
    </w:p>
    <w:p>
      <w:pPr>
        <w:ind w:left="1280"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liquidation of any Restricted Subsidiary into another Restricted Subsidiary, other than as part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reorganization, shall not constitute an Event of Default under this Section 6.01(6);</w:t>
      </w:r>
    </w:p>
    <w:p>
      <w:pPr>
        <w:spacing w:after="0" w:line="160" w:lineRule="exact"/>
        <w:rPr>
          <w:sz w:val="20"/>
          <w:szCs w:val="20"/>
          <w:color w:val="auto"/>
        </w:rPr>
      </w:pPr>
    </w:p>
    <w:p>
      <w:pPr>
        <w:ind w:left="1160" w:hanging="524"/>
        <w:spacing w:after="0"/>
        <w:tabs>
          <w:tab w:leader="none" w:pos="11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and</w:t>
      </w:r>
    </w:p>
    <w:p>
      <w:pPr>
        <w:spacing w:after="0" w:line="225" w:lineRule="exact"/>
        <w:rPr>
          <w:rFonts w:ascii="Times New Roman" w:cs="Times New Roman" w:eastAsia="Times New Roman" w:hAnsi="Times New Roman"/>
          <w:sz w:val="18"/>
          <w:szCs w:val="18"/>
          <w:color w:val="auto"/>
        </w:rPr>
      </w:pPr>
    </w:p>
    <w:p>
      <w:pPr>
        <w:ind w:left="2500" w:hanging="568"/>
        <w:spacing w:after="0"/>
        <w:tabs>
          <w:tab w:leader="none" w:pos="25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Parent, the Issuer or any Significant Subsidiary in an involuntary insolvency proceeding;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60" w:name="page161"/>
    <w:bookmarkEnd w:id="160"/>
    <w:p>
      <w:pPr>
        <w:ind w:left="1300" w:right="120" w:firstLine="652"/>
        <w:spacing w:after="0" w:line="282" w:lineRule="auto"/>
        <w:tabs>
          <w:tab w:leader="none" w:pos="250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Bankruptcy Custodian of the Parent, the Issuer or any Significant Subsidiary for all or substantially all of the property of the Parent, the Issuer or any Significant Subsidiary; or</w:t>
      </w:r>
    </w:p>
    <w:p>
      <w:pPr>
        <w:spacing w:after="0" w:line="161" w:lineRule="exact"/>
        <w:rPr>
          <w:rFonts w:ascii="Times New Roman" w:cs="Times New Roman" w:eastAsia="Times New Roman" w:hAnsi="Times New Roman"/>
          <w:sz w:val="18"/>
          <w:szCs w:val="18"/>
          <w:color w:val="auto"/>
        </w:rPr>
      </w:pPr>
    </w:p>
    <w:p>
      <w:pPr>
        <w:ind w:left="1300" w:right="240" w:firstLine="652"/>
        <w:spacing w:after="0" w:line="282" w:lineRule="auto"/>
        <w:tabs>
          <w:tab w:leader="none" w:pos="250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Parent, the Issuer or any Significant Subsidiary; and the order or decree remains unstayed and in effect for 90 consecutive days.</w:t>
      </w:r>
    </w:p>
    <w:p>
      <w:pPr>
        <w:spacing w:after="0" w:line="161" w:lineRule="exact"/>
        <w:rPr>
          <w:rFonts w:ascii="Times New Roman" w:cs="Times New Roman" w:eastAsia="Times New Roman" w:hAnsi="Times New Roman"/>
          <w:sz w:val="18"/>
          <w:szCs w:val="18"/>
          <w:color w:val="auto"/>
        </w:rPr>
      </w:pPr>
    </w:p>
    <w:p>
      <w:pPr>
        <w:ind w:firstLine="656"/>
        <w:spacing w:after="0" w:line="261" w:lineRule="auto"/>
        <w:tabs>
          <w:tab w:leader="none" w:pos="117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Liens have been released in accordance with the provisions of the Collateral Document, liens with respect to all or substantially all of the Collateral cease to be valid or enforceable, or the Issuer shall assert or any Guarantor shall assert, in any pleading in any court of competent jurisdiction, that any such security interest are invalid or unenforceable and, in the case of any such Guarantor, the Issuer fails to cause such Guarantor to rescind such assertions within 30 days after the Issuer has actual knowledge of such assertions.</w:t>
      </w:r>
    </w:p>
    <w:p>
      <w:pPr>
        <w:spacing w:after="0" w:line="17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xml:space="preserve"> Section 6.04 of the Base Indenture shall be amended by adding the following paragraph at the end thereof, with respect to, and solely for the benefit of the Holders of, the Notes; provided that this Section 6.02 shall not become part of the terms of any other Series of Securities:</w:t>
      </w:r>
    </w:p>
    <w:p>
      <w:pPr>
        <w:spacing w:after="0" w:line="1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Event of Default specified in Section 6.01(4) of the First Supplemental Indenture, such Event of Default and all consequences thereof (excluding any resulting payment default, other than as a result of acceleration of the Notes) shall be annulled, waived and rescinded, automatically and without any action by the Trustee or the Holders, if after such Event of Default arose:</w:t>
      </w:r>
    </w:p>
    <w:p>
      <w:pPr>
        <w:spacing w:after="0" w:line="176" w:lineRule="exact"/>
        <w:rPr>
          <w:sz w:val="20"/>
          <w:szCs w:val="20"/>
          <w:color w:val="auto"/>
        </w:rPr>
      </w:pPr>
    </w:p>
    <w:p>
      <w:pPr>
        <w:ind w:left="1180" w:hanging="524"/>
        <w:spacing w:after="0"/>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For Borrowed Money or guarantee that is the basis for such Event of Default has been discharged;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8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number of Holders thereof have rescinded or waived the acceleration, notice or action (as the case may be) giving rise to such Event of Default; or</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that is the basis for such Event of Default has been cured.”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COLLATERAL</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Collateral Documents</w:t>
      </w:r>
    </w:p>
    <w:p>
      <w:pPr>
        <w:spacing w:after="0" w:line="227" w:lineRule="exact"/>
        <w:rPr>
          <w:sz w:val="20"/>
          <w:szCs w:val="20"/>
          <w:color w:val="auto"/>
        </w:rPr>
      </w:pPr>
    </w:p>
    <w:p>
      <w:pPr>
        <w:jc w:val="both"/>
        <w:ind w:firstLine="656"/>
        <w:spacing w:after="0" w:line="251" w:lineRule="auto"/>
        <w:tabs>
          <w:tab w:leader="none" w:pos="89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Collateral Release Event, the due and punctual payment of the principal of, premium and interest (including Additional Amounts, if any) on the Notes of each Series when and as the same shall be due and payable, whether on an interest payment date, at maturity, by acceleration, repurchase, redemption or otherwise, and interest on the overdue principal of, premium and interest on the Notes of such Series and performance of all other Obligations of the Issuer and the Guarantors to the Holders or the Trustee under the Indenture, the Notes, the Note Guarantees and the Collateral Documents, according to the terms hereunder or thereunder, shall be secured as provided in the Collateral Documents, which define the terms of the Liens that secure the Obligations, subject to the terms of the First Lien Intercreditor Agreement. The Trustee and the Issuer hereby acknowledge and agree that the Notes Collateral Agent hold the Collateral in trust for the benefit of the Holders and the Trustee and pursuant to the terms of this First Supplemental Indenture, the Collateral Documents and the First Lien Intercreditor Agreement. Each Holder, by accepting a Note of such Series, and each beneficial owner of an interest in a Note, consents and agrees to the terms of the Collateral Documents (including the provisions providing for the possession, use, release and foreclosure of Collateral) and the First Lien Intercreditor Agreement as the same may be in effect or may be amended from time to time in accordance with their terms and this First Supplemental Indenture and the First Lien Intercreditor Agreement, and authorizes and directs the Notes Collateral Agent to enter into the Collateral Documents and the First Lien Intercreditor Agreement and to perform its obligations and exercise its rights thereunder in accordance therewith. Subject to the Agreed Guarantee and Security Principles, the Issuer shall deliver to the Notes Collateral Agent copies of all documents required to be filed pursuant to the Collateral Documents to which the Notes Collateral Agent is a party, and will do or cause to be done all such acts and things as may be reasonably required by the next sentence of this Section 7.01, to provide to the Notes Collateral Agent the security interest in the Collateral contemplated hereby and/or by the Collateral Documents or any part thereof, as from time to time constituted, so as to render the same available for the security and benefit of this First Supplemental Indenture and of the Notes of each Series secured hereby, according to the intent and purposes herein expressed. Subject to the Agreed Guarantee and Security Principles, the Issuer and the Guarantors shall take any and all actions and make all filings (including the filing of UCC financing statements, continuation statements and amendments thereto (or analogous procedures under the applicable laws in the relevant Covered Jurisdiction)) required to cause the Collateral Documents to create and maintain, as security for the First Priority Notes Obligations of the Issuer and the Guarantors to the First Lien Notes Secured Parties, a valid and enforceable perfected Lien and security interest in and on all of the Collateral (subject to the terms of the First Lien Intercreditor Agreement and the Collateral Documents), in favor of the Notes Collateral Agent for the benefit of the First Lien Notes Secured Parties subject to no Liens other than Permitted Liens.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both"/>
        <w:ind w:firstLine="656"/>
        <w:spacing w:after="0" w:line="254" w:lineRule="auto"/>
        <w:tabs>
          <w:tab w:leader="none" w:pos="90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assets owned by the Issuer or any Guarantor on the Issue Date (other than Excluded Assets) may not subject to a valid Lien in favor of the Notes Collateral Agent on or prior to the Issue Date or subject to a Lien in favor of the Notes Collateral Agent that is not granted or perfected on or prior to the Issue Date, the Issuer and the Guarantors shall use their commercially reasonable efforts to enter into Collateral Documents to create such Liens (including all Collateral Documents governed by the laws of each Covered Jurisdiction, except where pursuant to laws governing such assets or local practice applicable to such assets, such assets that were pledged to the Credit Agreement Administrative Agent are not capable of being pledged to the Notes Collateral Agent at the same time) and have all such Liens and any Liens created but not perfected (including by appropriate filings with the United States Patent and Trademark Office and United States Copyright Office) on or prior to the Issue Date perfected, subject to any limitations set forth in this First Supplemental Indenture and the Collateral Documents, including the Agreed Guarantee and Security Principles, within 120 days (subject to extension to be reasonably agreed upon by the Notes Collateral Agent), after the Issue 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ind w:left="4"/>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Release of Collateral</w:t>
      </w:r>
    </w:p>
    <w:p>
      <w:pPr>
        <w:spacing w:after="0" w:line="227" w:lineRule="exact"/>
        <w:rPr>
          <w:sz w:val="20"/>
          <w:szCs w:val="20"/>
          <w:color w:val="auto"/>
        </w:rPr>
      </w:pPr>
    </w:p>
    <w:p>
      <w:pPr>
        <w:jc w:val="both"/>
        <w:ind w:left="-656" w:firstLine="656"/>
        <w:spacing w:after="0" w:line="255" w:lineRule="auto"/>
        <w:tabs>
          <w:tab w:leader="none" w:pos="27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securing the Notes of each Series, as applicable, will be automatically released, all without delivery of any instrument or performance of any act by any party, at any time and from time to time as provided by this Section 7.02. Upon such release, subject to the terms of the Collateral Documents, all rights in the released Collateral securing First Priority Notes Obligations shall revert to the Issuer and the Guarantors, as applicable. The Collateral securing the Notes of any Series shall be released from the Lien and security interest created by the Collateral Documents and the Notes Collateral Agent (subject to its receipt of an Officer’s Certificate as provided below) shall execute documents evidencing such release, and the Trustee shall instruct the Notes Collateral Agent in writing to execute, as applicable, the same at the Issuer’s sole cost and expense, under one or more of the following circumstances: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in whole upon:</w:t>
      </w:r>
    </w:p>
    <w:p>
      <w:pPr>
        <w:spacing w:after="0" w:line="225" w:lineRule="exact"/>
        <w:rPr>
          <w:sz w:val="20"/>
          <w:szCs w:val="20"/>
          <w:color w:val="auto"/>
        </w:rPr>
      </w:pPr>
    </w:p>
    <w:p>
      <w:pPr>
        <w:jc w:val="both"/>
        <w:ind w:left="-656" w:firstLine="656"/>
        <w:spacing w:after="0" w:line="261" w:lineRule="auto"/>
        <w:tabs>
          <w:tab w:leader="none" w:pos="28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the principal of, together with accrued and unpaid interest (including Additional Amounts, if any) in respect of the Notes of such Series and all other Obligations under the Indenture, the Note Guarantees and the Collateral Documents (for the avoidance of doubt, other than contingent Obligations in respect of which no claims have been made) that are due and payable at or prior to the time such principal, together with accrued and unpaid interest, are paid with respect to such Series of Notes;</w:t>
      </w:r>
    </w:p>
    <w:p>
      <w:pPr>
        <w:spacing w:after="0" w:line="179"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and discharge of the Indenture with respect to such Series of Notes as set forth under Section 11.01 of the Base Indenture;</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2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Defeasance or Covenant Defeasance of the Indenture with respect to such Series of Notes as set forth under Sections 8.02 or 8.03 of the Base Indenture, as applicable; or</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Collateral Release Event;</w:t>
      </w:r>
    </w:p>
    <w:p>
      <w:pPr>
        <w:spacing w:after="0" w:line="225" w:lineRule="exact"/>
        <w:rPr>
          <w:sz w:val="20"/>
          <w:szCs w:val="20"/>
          <w:color w:val="auto"/>
        </w:rPr>
      </w:pPr>
    </w:p>
    <w:p>
      <w:pPr>
        <w:ind w:left="-656" w:firstLine="656"/>
        <w:spacing w:after="0" w:line="282" w:lineRule="auto"/>
        <w:tabs>
          <w:tab w:leader="none" w:pos="27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with the consent of Holders of the Notes of such Series in accordance with Article 9 of the Base Indenture including consents obtained in connection with a tender offer or exchange offer for, or purchase of, such Notes;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as to any asset:</w:t>
      </w:r>
    </w:p>
    <w:p>
      <w:pPr>
        <w:spacing w:after="0" w:line="225" w:lineRule="exact"/>
        <w:rPr>
          <w:sz w:val="20"/>
          <w:szCs w:val="20"/>
          <w:color w:val="auto"/>
        </w:rPr>
      </w:pPr>
    </w:p>
    <w:p>
      <w:pPr>
        <w:jc w:val="both"/>
        <w:ind w:left="-656" w:firstLine="656"/>
        <w:spacing w:after="0" w:line="258" w:lineRule="auto"/>
        <w:tabs>
          <w:tab w:leader="none" w:pos="2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constituting Collateral that is sold or otherwise disposed of by the Issuer or any of the Guarantors to any Person that is not the Issuer or a Guarantor (or to a Person that is an Issuer or a Guarantor, in any jurisdiction outside of the United States, where, in order to effect a Disposition of such Collateral, the Lien on such assets is required to be released (provided that in the case of such Disposition to a Person that is the Issuer or a Guarantor outside of the United States, such other Person shall concurrently (or on such later date after the use of commercially reasonable efforts) grant a security interest on the released Collateral)), or</w:t>
      </w:r>
    </w:p>
    <w:p>
      <w:pPr>
        <w:spacing w:after="0" w:line="183" w:lineRule="exact"/>
        <w:rPr>
          <w:sz w:val="20"/>
          <w:szCs w:val="20"/>
          <w:color w:val="auto"/>
        </w:rPr>
      </w:pPr>
    </w:p>
    <w:p>
      <w:pPr>
        <w:ind w:left="4884" w:right="2600" w:hanging="4884"/>
        <w:spacing w:after="0" w:line="485" w:lineRule="auto"/>
        <w:tabs>
          <w:tab w:leader="none" w:pos="29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constituting Shared Collateral, in accordance with the provisions of the First Lien Intercreditor Agreement,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-99060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5" w:right="339" w:bottom="1440" w:gutter="0" w:footer="0" w:header="0"/>
        </w:sectPr>
      </w:pPr>
    </w:p>
    <w:bookmarkStart w:id="163" w:name="page164"/>
    <w:bookmarkEnd w:id="163"/>
    <w:p>
      <w:pPr>
        <w:ind w:left="940" w:hanging="284"/>
        <w:spacing w:after="0"/>
        <w:tabs>
          <w:tab w:leader="none" w:pos="9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a Guarantor that ceases to be a Guarantor in accordance with the terms of this First Supplemental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becomes Excluded Assets, including any asset that is not pledged to secure obligations arising in respect of the Senior Secured Credit Facilities (whether pursuant to the terms of the Senior Secured Credit Facilities (and any related documents) or as a result of any determination made thereunder, or by amendment, waiver or otherwise (other than releases in connection with the payment in full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5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otherwise released in accordance with, and as expressly provided for by the terms of, this First Supplemental Indenture, the First Lien Intercreditor Agreement and the Collateral Documents,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4.01(b) and (d),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Issuer or a Guarantor that is a Securitization Asset subject to a Qualified Securitization Financing or a Qualified Receivables Factoring.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provided that, in the case of clause (iii)(A)(II), the proceeds of such Shared Collateral shall be applied in accordance with the First Lien Intercreditor Agreement.</w:t>
      </w:r>
    </w:p>
    <w:p>
      <w:pPr>
        <w:spacing w:after="0" w:line="162" w:lineRule="exact"/>
        <w:rPr>
          <w:sz w:val="20"/>
          <w:szCs w:val="20"/>
          <w:color w:val="auto"/>
        </w:rPr>
      </w:pPr>
    </w:p>
    <w:p>
      <w:pPr>
        <w:jc w:val="both"/>
        <w:ind w:firstLine="656"/>
        <w:spacing w:after="0" w:line="253" w:lineRule="auto"/>
        <w:tabs>
          <w:tab w:leader="none" w:pos="129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release of Collateral or release of the Series of the Notes from the Liens securing such Notes, upon receipt of an Officer’s Certificate stating that all conditions precedent under this First Supplemental Indenture and the Collateral Documents and the First Lien Intercreditor Agreement, as applicable, to such release have been met and that it is permitted for the Trustee and/or the Notes Collateral Agent to execute and deliver the documents requested by the Issuer in connection with such release, and any necessary or proper instruments of termination, satisfaction, discharge or release prepared by the Issuer, the Trustee shall, or shall cause the Notes Collateral Agent to, execute, deliver or acknowledge (at the Issuer’s expense) such instruments or releases (whether electronically or in writing) to evidence, and shall do or cause to be done all other acts reasonably necessary to effect, in each case as soon as reasonably practicable, the release and discharge of any Collateral or any Notes of such Series permitted to be released pursuant to this First Supplemental Indenture or the Collateral Documents or the First Lien Intercreditor Agreement. Neither the Trustee nor the Notes Collateral Agent shall be liable for any such release undertaken in reliance upon any such Officer’s Certificate, and notwithstanding any term hereof or in any Collateral Document or in the First Lien Intercreditor Agreement to the contrary, but without limiting any automatic release provided hereunder or under any Collateral Document, the Trustee and the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or opinion required by Trust Indenture Act § 314(d) in connection with obtaining the release of Collateral may be made by an Officer of the Parent, except in cases where Trust Indenture Act § 314(d) requires that such certificate or opinion be made by an independent engineer, appraiser or other expert.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Section 7.02, the Parent and its Subsidiaries will not be required to comply with all or any portion of Trust Indenture Act § 314(d) if they determine in good faith, based on the advice of counsel, that under the terms of that section and/or any interpretation or guidance as to the meaning thereof of the SEC and its staff, including “no action” letters or exemptive orders, all or the relevant portion of Trust Indenture Act § 314(d) is inapplicable to the released Collateral.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Without limiting the generality of the foregoing, certain “no action” letters issued by the SEC have permitted the release of Liens on collateral securing indebtedness issued under an indenture qualified under the Trust Indenture Act without requiring the issuer to provide certificates and other documents under Trust Indenture Act § 314(d) where such release occurs as a result of the release of such collateral from Liens securing a credit facility or other indebtedness. In addition, certain “no action” letters issued by the SEC have permitted the release of collateral from Liens securing indebtedness issued under an indenture qualified under the Trust Indenture Act resulting from transactions in the ordinary course of the Issuer’s business without requiring the issuer to provide such certificates and other documents.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Suits to Protect the Collateral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Article 7 of the Base Indenture and the Collateral Documents and the First Lien Intercreditor Agreement, the Trustee, without the consent of the Holders of such Series, on behalf of the Holders, following the occurrence of an Event of Default that is continuing, may or may instruct the Notes Collateral Agent in writing to take all actions it reasonably determines are necessary in order to:</w:t>
      </w:r>
    </w:p>
    <w:p>
      <w:pPr>
        <w:spacing w:after="0" w:line="176" w:lineRule="exact"/>
        <w:rPr>
          <w:sz w:val="20"/>
          <w:szCs w:val="20"/>
          <w:color w:val="auto"/>
        </w:rPr>
      </w:pPr>
    </w:p>
    <w:p>
      <w:pPr>
        <w:ind w:left="900" w:hanging="244"/>
        <w:spacing w:after="0"/>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terms of the Collateral Documents;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any and all amounts payable in respect of the Obligations 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Collateral Documents and the First Lien Intercreditor Agreement, the Trustee and the Notes Collateral Agent shall have power to institute and to maintain such suits and proceedings as the Trustee may deem expedient to prevent any impairment of the Collateral by any acts which may be unlawful or in violation of any of the Collateral Documents or this First Supplemental Indenture, and such suits and proceedings as the Trustee may determine to preserve or protect its interests and the interests of the Holders in the Collateral. Nothing in this Section 7.03 shall be considered to impose any such duty or obligation to act on the part of the Trustee or the Notes Collateral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Authorization of Receipt of Funds by the Trustee Under the Collateral Documents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First Lien Intercreditor Agreement, the Trustee is authorized to receive any funds for the benefit of the Holders of any Series of Notes distributed under the Collateral Documents, and to make further distributions of such funds to the Holders of such Series of Notes according to the provisions of this First Supplemental Indenture.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Purchaser Protected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any purchaser or other transferee in good faith of any property or asset purported to be released hereunder be bound to ascertain the authority of the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asset or rights permitted by this Article 7 to be sold be under any obligation to ascertain or inquire into the authority of the Issuer or the applicable Guarantor to make any such sale or other transfer.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Powers Exercisable by Receiver or Trustee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the Collateral shall be in the possession of a receiver or trustee, lawfully appointed, the powers conferred in this Article 7 upon the Issuer or a Guarantor with respect to the release, sale or other disposition of such property or asset may be exercised by such receiver or trustee, and an instrument signed by such receiver or trustee shall be deemed the equivalent of any similar instrument of the Issuer or a Guarantor or of any Officer or Officers thereof required by the provisions of this Article 7; and if the Trustee shall be in the possession of the Collateral under any provision of this First Supplemental Indenture, then such powers may be exercised by the Trustee.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Release Upon Termination of the Issuer’s Obligations.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Issuer delivers to the Trustee an Officer’s Certificate certifying that (i) payment in full of the principal of, together with accrued and unpaid interest on, any Series of the Notes and all other First Priority Notes Obligations that are due and payable at or prior to the time such principal, together with accrued and unpaid interest, are paid or (ii) the Issuer shall have exercised its Legal Defeasance option or their Covenant Defeasance option, in each case in compliance with the provisions of Section 8.02 or 8.03 of the Base Indenture, as applicable, and an Officer’s Certificate stating that all conditions precedent to the execution and delivery of such notice by the Trustee have been satisfied, the Trustee shall deliver to the Issuer and the Notes Collateral Agent a notice, in form reasonably satisfactory to the Notes Collateral Agent, stating that the Trustee, on behalf of the Holders of such Series of Notes, disclaims and gives up any and all rights it has in or to the Collateral solely on behalf of the Holders of such Series the Notes without representation, warranty or recourse (other than with respect to funds held by the Trustee pursuant to Section 8.02 or 8.03 of the Base Indenture, as applicable), and any rights it has under the Collateral Documents solely on behalf of the Holders of the Notes and upon receipt by the Notes Collateral Agent of such notice, the Notes Collateral Agent shall be deemed not to hold a Lien in the Collateral on behalf of the Trustee and shall execute and deliver all documents and do or cause to be done (at the expense of the Issuer) all acts reasonably requested by the Issuer to release and discharge such Lien as soon as is reasonably practicable.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Notes Collateral Agent.</w:t>
      </w:r>
    </w:p>
    <w:p>
      <w:pPr>
        <w:spacing w:after="0" w:line="227" w:lineRule="exact"/>
        <w:rPr>
          <w:sz w:val="20"/>
          <w:szCs w:val="20"/>
          <w:color w:val="auto"/>
        </w:rPr>
      </w:pPr>
    </w:p>
    <w:p>
      <w:pPr>
        <w:jc w:val="both"/>
        <w:ind w:firstLine="656"/>
        <w:spacing w:after="0" w:line="251" w:lineRule="auto"/>
        <w:tabs>
          <w:tab w:leader="none" w:pos="89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Holders of each Series of Notes by acceptance of the Notes of such Series, and each beneficial owner of an interest in a Note, hereby designates and appoints the Notes Collateral Agent as its agent under this First Supplemental Indenture, the Collateral Documents and the First Lien Intercreditor Agreement and the Issuer directs and authorizes and each of the Holders of each Series of Notes by acceptance of the Notes of such Series hereby irrevocably authorizes the Notes Collateral Agent to take such action on its behalf under the provisions of this First Supplemental Indenture, the Collateral Documents and the First Lien Intercreditor Agreement and to exercise such powers and perform such duties as are expressly delegated to the Notes Collateral Agent by the terms of this First Supplemental Indenture, the Collateral Documents and the First Lien Intercreditor Agreement, and consents and agrees to the terms of the First Lien Intercreditor Agreement and each Collateral Document, as the same may be in effect or may be amended, restated, supplemented or otherwise modified from time to time in accordance with their respective terms or the terms of the Base Indenture. The Notes Collateral Agent agrees to act as such on the express conditions contained in this Section 7.08. The provisions of this Section 7.08 are solely for the benefit of the Notes Collateral Agent and none of the Trustee, any of the Holders of such Series of Notes nor any of the Guarantors shall have any rights as a third party beneficiary of any of the provisions contained herein. Each Holder agrees that any action taken by the Notes Collateral Agent in accordance with the provision of this First Supplemental Indenture, the First Lien Intercreditor Agreement and/or the applicable Collateral Documents, and the exercise by the Notes Collateral Agent of any rights or remedies set forth herein and therein shall be authorized and binding upon all Holders of such Series of Notes. Notwithstanding any provision to the contrary contained elsewhere in this First Supplemental Indenture, the Collateral Documents and the First Lien Intercreditor Agreement, the duties of the Notes Collateral Agent shall be ministerial and administrative in nature, and the Notes Collateral Agent shall not have any duties or responsibilities, except those expressly set forth herein and in the other Notes Documents to which the Notes Collateral Agent is a party, nor shall the Notes Collateral Agent have or be deemed to have any trust or other fiduciary relationship with the Trustee, any Holder or any Guarantor of such Series of Notes, and no implied covenants, functions, responsibilities, duties, obligations or liabilities shall be read into this First Supplemental Indenture, the Collateral Documents and the First Lien Intercreditor Agreement or otherwise exist against the Notes Collateral Agent. Without limiting the generality of the foregoing sentence, the use of the term “agent” in this First Supplemental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66" w:name="page167"/>
    <w:bookmarkEnd w:id="166"/>
    <w:p>
      <w:pPr>
        <w:jc w:val="both"/>
        <w:ind w:firstLine="656"/>
        <w:spacing w:after="0" w:line="255" w:lineRule="auto"/>
        <w:tabs>
          <w:tab w:leader="none" w:pos="91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may perform any of its duties with respect to each Series of Notes under this First Supplemental Indenture, the Collateral Documents or the First Lien Intercreditor Agreement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18"/>
          <w:szCs w:val="18"/>
          <w:i w:val="1"/>
          <w:iCs w:val="1"/>
          <w:color w:val="auto"/>
        </w:rPr>
        <w:t>Related Person</w:t>
      </w:r>
      <w:r>
        <w:rPr>
          <w:rFonts w:ascii="Times New Roman" w:cs="Times New Roman" w:eastAsia="Times New Roman" w:hAnsi="Times New Roman"/>
          <w:sz w:val="18"/>
          <w:szCs w:val="18"/>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attorney-in-fact or Related Person that it selects as long as such selection was made in good faith.</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9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Notes Collateral Agent nor any of its Related Persons shall (i) be liable for any action taken or omitted to be taken by any of them under or in connection with this First Supplemental Indenture or the transactions contemplated hereby (except for its own gross negligence or willful misconduct) or under or in connection with any Collateral Document or the First Lien Intercreditor Agreement or the transactions contemplated thereby (except for its own gross negligence or willful misconduct), or (ii) be responsible in any manner to any of the Trustee or any Holder for any recital, statement, representation, warranty, covenant or agreement made by the Issuer or any other Guarantor or Affiliate of any Guarantor, or any Officer or Related Person thereof, contained in this First Supplemental Indenture, or any other Notes Documents, or the validity, effectiveness, genuineness, enforceability or sufficiency of this First Supplemental Indenture, the Collateral Documents or the First Lien Intercreditor Agreement, or for any failure of any Guarantor or any other party to this First Supplemental Indenture, the Collateral Documents or the First Lien Intercreditor Agreement to perform its obligations hereunder or thereunder. Neither the Notes Collateral Agent nor any of its Related Persons shall be under any obligation to the Trustee or any Holder to ascertain or to inquire as to the observance or performance of any of the agreements contained in, or conditions of, this First Supplemental Indenture, the Collateral Documents or the First Lien Intercreditor Agreement or to inspect the properties, books, or records of any Guarantor or any Guarantor’s Affiliates.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jc w:val="both"/>
        <w:ind w:firstLine="656"/>
        <w:spacing w:after="0" w:line="252" w:lineRule="auto"/>
        <w:tabs>
          <w:tab w:leader="none" w:pos="92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Collateral Agent shall be entitled (in the absence of bad faith)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other Guarantor), independent accountants and/or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Unless otherwise expressly required hereunder or pursuant to any Collateral Document, the Notes Collateral Agent shall be fully justified in failing or refusing to take any action under this First Supplemental Indenture, the Collateral Documents or the First Lien Intercreditor Agreement unless it shall first receive such written advice or concurrence of the Trustee or the Holders of a majority in aggregate principal amount of such Series of Notes of the Notes of such Series as it determines and, if it so requests, it shall first be indemnified and/or secured to its satisfaction by the Holders of such Series of Notes against any and all liability and expense which may be incurred by it by reason of taking or continuing to take any such action. The Notes Collateral Agent shall in all cases be fully protected from claims by any Holders of such Series of Notes in acting, or in refraining from acting, under this First Supplemental Indenture, the Collateral Documents or the First Lien Intercreditor Agreement in accordance with a request, direction, instruction or consent of the Trustee or the Holders of a majority in aggregate principal amount of the then outstanding Notes of such Series and such request and any action taken or failure to act pursuant thereto shall be binding upon all of the Holders of such Series of Notes. The Notes Collateral Agent shall be entitled to seek directions, instructions and clarifications from any instructing party and is entitled to refrain from acting in the absence of such instructions and/or clarifications. The Notes Collateral Agent will not incur any liability for any action it takes or refrains from taking on such instructions of an instructing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Notes Collateral Agent may not be relieved from liabilities for its own grossly negligent action, its own grossly negligent failure to act, or its own willful misconduct.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jc w:val="both"/>
        <w:ind w:firstLine="656"/>
        <w:spacing w:after="0" w:line="258" w:lineRule="auto"/>
        <w:tabs>
          <w:tab w:leader="none" w:pos="9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be deemed to have knowledge or notice of the occurrence of any Default or Event of Default, unless a Responsible Officer of the Notes Collateral Agent shall have received written notice from the Trustee or the Issuer referring to this First Supplemental Indenture, describing such Default or Event of Default and stating that such notice is a “notice of default.” The Notes Collateral Agent shall take such action with respect to such Default or Event of Default as may be requested by the Trustee in accordance with Article 6 of the Base Indenture or the Holders of a majority in aggregate principal amount of the Notes of such Series (subject to this Section 7.08).</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may resign at any time by notice to the Trustee and the Issuer, such resignation to be effective upon the acceptance of a successor agent to its appointment as Notes Collateral Agent. If the Notes Collateral Agent resigns under this First Supplemental Indenture, the Issuer shall appoint a successor collateral agent. If no successor collateral agent is appointed prior to the intended effective date of the resignation of the Notes Collateral Agent (as stated in the notice of resignation), the Notes Collateral Agent may appoint, subject to the consent of the Issuer (which shall not be unreasonably withheld and which shall not be required during a continuing Event of Default), a successor collateral agent.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a Notes Collateral Agent shall be terminated. After the retiring Notes Collateral Agent’s resignation hereunder, the provisions of this Section 7.08 (and Section 7.08 of the Base Indenture) shall continue to inure to its benefit and the retiring Notes Collateral Agent shall not by reason of such resignation be deemed to be released from liability as to any actions taken or omitted to be taken by it while it was a Notes Collateral Agent under this First Supplemental Indenture.</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2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Holders of each Series of Note by its acceptance of the Notes of such Series, and each beneficial owner of an interest in a Note of such Series, hereby authorizes the Trustee and the Notes Collateral Agent, respectively, to appoint sub-agents (and, in each case, appointment of such person shall be reflected in documentation, which the Trustee and the Notes Collateral Agent are hereby authorized to enter into). Except as otherwise explicitly provided herein or in the Collateral Documents or the First Lien Intercreditor Agreement, no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9" w:name="page170"/>
    <w:bookmarkEnd w:id="169"/>
    <w:p>
      <w:pPr>
        <w:jc w:val="both"/>
        <w:ind w:firstLine="656"/>
        <w:spacing w:after="0" w:line="258" w:lineRule="auto"/>
        <w:tabs>
          <w:tab w:leader="none" w:pos="91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is authorized and directed to (i) enter into the Collateral Documents to which it is party, whether executed on or after the Issue Date, (ii) enter into the First Lien Intercreditor Agreement and the Junior Lien Intercreditor Agreement, (iii) make the representations of the Holders of each Series of Notes set forth in the Collateral Documents and First Lien Intercreditor Agreement, (iv) bind the Holders of each Series of Notes on the terms as set forth in the Collateral Documents and the First Lien Intercreditor Agreement and (v) perform and observe its obligations under the Collateral Documents and the First Lien Intercreditor Agreement.</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Notes Collateral Agent is each Holder’s of each Series of Notes agent for the purpose of perfecting such Holders’ security interest in assets which, in accordance with Article 9 of the UCC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have any obligation whatsoever to the Trustee or any of the Holders of any Series of Notes to assure that the Collateral exists or is owned by any Guarantor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the Guarantor’s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First Supplemental Indenture, any Collateral Document or the First Lien Intercreditor Agreement other than pursuant to the instructions of the Trustee or the Holders of a majority in aggregate principal amount of the Notes of such Series or as otherwise provided in the Collateral Documents, it being understood and agreed that in respect of the Collateral, or any act, omission, or event related thereto, the Notes Collateral Agent shall not have any other duty or liability whatsoever to the Trustee or any Holder of such Series of Notes or any other Notes Collateral Agent as to any of the foregoing.</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7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 incurs any obligations in respect of First Priority Obligations at any time when no First Lien Intercreditor Agreement is in effect or at any time when Indebtedness constituting First Priority Obligations entitled to the benefit of an existing First Lien Intercreditor Agreement is concurrently retired, or incurs any other obligations permitted hereunder and required to be subject to an intercreditor agreement, and (ii) delivers to the Notes Collateral Agent an Officer’s Certificate so stating and requesting the Notes Collateral Agent to enter into an intercreditor agreement (on substantially the same terms as the First Lien Intercreditor Agreement) in favor of a designated agent or representative for the holders of the First Priority Obligations so incurred, or on reasonable and customary terms with respect to any other such intercreditor agreement, the Notes Collateral Agent and the Trustee (as applicable) shall (and are hereby authorized and directed to) enter into such intercreditor agreement (at the sole expense and cost of the Issuer, including legal fees and expenses of the Notes Collateral Agent), bind the Holders of such Series of Notes on the terms set forth therein and perform and observe its obligations thereunder.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ind w:left="960" w:hanging="304"/>
        <w:spacing w:after="0"/>
        <w:tabs>
          <w:tab w:leader="none" w:pos="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 incurs any obligations in respect of Indebtedness on which a junior lien on the Collateral is to be granted, and</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9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delivers to the Notes Collateral Agent an Officer’s Certificate so stating and requesting the Notes Collateral Agent to enter into an intercreditor agreement (including any Junior Lien Intercreditor Agreement) with a designated agent or representative for the holders of such Indebtedness or other obligations so incurred, and stating that such intercreditor agreement is on customary terms (as determined by the Issuer), the Notes Collateral Agent and the Trustee (as applicable) shall (and are hereby authorized and directed to) enter into such intercreditor agreement (including any Junior Lien Intercreditor Agreement) (at the sole expense and cost of the Issuer, including legal fees and expenses of the Notes Collateral Agent), bind the Holders of such Series of Notes on the terms set forth therein and perform and observe its obligations thereunder.</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91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First Supplemental Indenture, the First Lien Intercreditor Agreement or any Collateral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of such Series of Notes (or the Trustee in the case of the Notes Collateral Agent) unless it shall have first received indemnity and/or security satisfactory to the Notes Collateral Agent against potential costs and liabilities incurred by the Notes Collateral Agent relating thereto. Notwithstanding anything to the contrary contained in this First Supplemental Indenture, the First Lien Intercreditor Agreement or the Collateral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unless the Notes Collateral Agent has received security and/or indemnity from the Holders of such Series of Notes in an amount and in a form all satisfactory to the Notes Collateral Agent in its sole discretion, protecting the Notes Collateral Agent from all such liability. The Notes Collateral Agent shall at any time be entitled to cease taking any action described in this paragraph (n) if it no longer reasonably deems any indemnity, security or undertaking from the Issuer or the Holders of such Series of Notes to be sufficient. For the avoidance of doubt, in commencing any such proceeding or taking any other action, the Notes Collateral Agent shall not be responsible or liable (i) for the payment of any taxes or stamp duty as a result of holding and/or enforcing against the Collateral, (ii) for deducting or withholding taxes in respect of any amounts paid from enforcement proceeds and (iii) for paying premiums in respect of any insurance policies.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1" w:name="page172"/>
    <w:bookmarkEnd w:id="171"/>
    <w:p>
      <w:pPr>
        <w:jc w:val="both"/>
        <w:ind w:firstLine="656"/>
        <w:spacing w:after="0" w:line="253" w:lineRule="auto"/>
        <w:tabs>
          <w:tab w:leader="none" w:pos="91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 shall not be liable for any action taken or omitted to be taken by it in connection with this First Supplemental Indenture, the First Lien Intercreditor Agreement and the Collateral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 (and money held in trust by the Notes Collateral Agent need (a) shall be held uninvested without liability for interest, unless otherwise agreed in writing, (b) shall be held in a non-interest bearing trust account and (c)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 For the avoidance of doubt, in commencing any such proceeding or taking any other action, the Notes Collateral Agent shall not be responsible or liable (i) for the payment of any taxes or stamp duty as a result of holding and/or enforcing against the Collateral, (ii) for deducting or withholding taxes in respect of any amounts paid from enforcement proceeds and (iii) for paying premiums in respect of any insurance policies.</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assume any responsibility for any failure or delay in performance or any breach by the Issuer or any other Guarantor under this First Supplemental Indenture, the First Lien Intercreditor Agreement and the Collateral Documents. The Notes Collateral Agent shall not be responsible to the Holders of such Series of Notes or any other Person for any recitals, statements, information, representations or warranties contained in any Notes Documents or in any certificate, report, statement, or other document referred to or provided for in, or received by the Notes Collateral Agent under or in connection with, this First Supplemental Indenture, the First Lien Intercreditor Agreement or any Collateral Document; the execution, validity, genuineness, effectiveness or enforceability of the First Lien Intercreditor Agreement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First Supplemental Indenture, the First Lien Intercreditor Agreement and the Collateral Documents. The Notes Collateral Agent shall not have any obligation to any Holder of such Series of Notes or any other Person to ascertain or inquire into the existence of any Default or Event of Default, the observance or performance by any obligor of any terms of this First Supplemental Indenture, the First Lien Intercreditor Agreement, the Credit Agreement or the Collateral Documents, or the satisfaction of any conditions precedent contained in this First Supplemental Indenture, the First Lien Intercreditor Agreement or any Collateral Documents. The Notes Collateral Agent shall not be required to initiate or conduct any litigation or collection or other proceeding under this First Supplemental Indenture, the First Lien Intercreditor Agreement and the Collateral Documents unless expressly set forth hereunder or thereunder. Without limiting its obligations as expressly set forth herein, the Notes Collateral Agent shall have the right at any time to seek instructions from the Holders of such Series of Notes with respect to the administration of the Notes Documents.</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both"/>
        <w:ind w:firstLine="656"/>
        <w:spacing w:after="0" w:line="252" w:lineRule="auto"/>
        <w:tabs>
          <w:tab w:leader="none" w:pos="87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and the Holders of each Series of Notes hereby agree and acknowledge that the Notes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First Supplemental Indenture, the First Lien Intercreditor Agreement, the Collateral Documents or any actions taken pursuant hereto or thereto. Further, the parties hereto and the Holders of such Series of Notes hereby agree and acknowledge that in the exercise of its rights under this First Supplemental Indenture, the First Lien Intercreditor Agreement and the Collateral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However, if the Notes Collateral Agent is required to acquire title to an asset pursuant to this First Supplemental Indenture which in the Notes Collateral Agent’s reasonable discretion may cause the Notes Collateral Agent to be considered an “owner or operator” under the provisions of the Comprehensive Environmental Response, Compensation and Liability Act (“CERCLA”), 42 U.S.C. §9601, et seq., or otherwise cause the Notes Collateral Agent to incur liability under CERCLA or any equivalent federal, state or local law, the Notes Collateral Agent reserves the right, instead of taking such action, to either resign as the Notes Collateral Agent or arrange for the transfer of the title or control of the asset to a court-appointed receiver.</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8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receipt by the Notes Collateral Agent of an Officer’s Certificate, the Notes Collateral Agent is hereby authorized to execute and enter into, and shall execute and enter into, without the further consent of any Holder of such Series of Notes or the Trustee, any Collateral Document to be executed after the Issue Date. Such Officer’s Certificate shall (i) state that it is being delivered to the Notes Collateral Agent pursuant to this Section 7.08(s), and (ii) instruct the Notes Collateral Agent to execute and enter into such Collateral Document. Any such execution of a Collateral Document shall be at the direction and expense of the Issuer, upon delivery to the Notes Collateral Agent of an Officer’s Certificate stating that all conditions precedent (if any) to the execution and delivery of the Collateral Document have been satisfied. The Holders of such Series of Notes, by their acceptance of the Notes of such Series, hereby authorize and direct the Notes Collateral Agent to execute such Collateral Documents.</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firstLine="656"/>
        <w:spacing w:after="0" w:line="255" w:lineRule="auto"/>
        <w:tabs>
          <w:tab w:leader="none" w:pos="88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Collateral Documents and the First Lien Intercreditor Agreement, each Holder of such Series of Notes, by acceptance of the Notes of such Series, agrees that the Notes Collateral Agent shall execute and deliver the First Lien Intercreditor Agreement and the Collateral Documents to which it is a party and all agreements, documents and instruments incidental thereto (including any releases permitted hereunder), and act in accordance with the terms thereof. For the avoidance of doubt, the Notes Collateral Agent shall not be required to exercise discretion under this First Supplemental Indenture, the First Lien Intercreditor Agreement or the Collateral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Collateral Document.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the Trustee may direct the Notes Collateral Agent in connection with any action required or permitted by this First Supplemental Indenture, the Collateral Documents or the First Lien Intercreditor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is authorized to receive any funds for the benefit of itself, the Trustee and the Holders of such Series of Notes distributed under the Collateral Documents or the First Lien Intercreditor Agreement or Junior Lien Intercreditor Agreement and to the extent not prohibited under the First Lien Intercreditor Agreement, for turnover to the Trustee to make further distributions of such funds to itself, the Trustee and the Holders of such Series of Notes in accordance with the provisions of Section 6.10 of the Base Indenture and the other provisions of this First Supplemental Indenture.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Collateral Documents, in each case that the Notes Collateral Agent may or is required hereunder or under any other Notes Document to take any action (an “</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including without limitation to make any determination, to give consents, to exercise rights, powers or remedies, to release or sell Collateral or otherwise to act hereunder or under any other Notes Document, the Notes Collateral Agent may seek direction from the Holders of a majority in aggregate principal amount of the then outstanding Notes of such Series. The Notes Collateral Agent shall not be liable with respect to any Action taken or omitted to be taken by it in accordance with the direction from the Holders of a majority in aggregate principal amount of the then outstanding Notes of such Series. Subject to the terms of the Collateral Documents, if the Notes Collateral Agent shall request direction from the Holders of a majority in aggregate principal amount of the then outstanding Notes of such Series with respect to any Action, the Notes Collateral Agent shall be entitled to refrain from such Action unless and until the Notes Collateral Agent shall have received direction from the Holders of a majority in aggregate principal amount of Notes of such Series of the then outstanding Notes of such Series, and the Notes Collateral Agent shall not incur liability to any Person by reason of so refraining.</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92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First Supplemental Indenture or any other Notes Document, in no event shall the Notes Collateral Agent or the Trustee be responsible for, or have any duty or obligation with respect to, the recording, filing, registering, perfection, protection or maintenance of the security interests or Liens intended to be created by this First Supplemental Indenture or the other Notes Documents (including without limitation the filing or continuation of any UCC financing or continuation statements or similar documents or instruments (or analogous procedures under the applicable laws in the relevant Covered Jurisdiction), nor shall the Notes Collateral Agent or the Trustee be responsible for, and neither the Notes Collateral Agent nor the Trustee makes any representation regarding, the validity, effectiveness or priority of any of the Collateral Documents or the security interests or Liens intended to be created thereby.</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firstLine="656"/>
        <w:spacing w:after="0" w:line="266" w:lineRule="auto"/>
        <w:tabs>
          <w:tab w:leader="none" w:pos="90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Notes Collateral Agent acts or refrains from acting in each case at the request or direction of the Issuer, the Note Guarantors, or the Trustee, it may require an Officer’s Certificate and an Opinion of Counsel, which shall conform to the provisions of Section 12.05 of the Base Indenture. The Notes Collateral Agent shall not be liable for any action it takes or omits to take in good faith in reliance on such certificate or opinion.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Notes Collateral Agent shall act pursuant to the instructions of the Holders of such Series of Notes and/or the Trustee solely with respect to the Collateral Documents and the Collateral.</w:t>
      </w:r>
    </w:p>
    <w:p>
      <w:pPr>
        <w:spacing w:after="0" w:line="162" w:lineRule="exact"/>
        <w:rPr>
          <w:sz w:val="20"/>
          <w:szCs w:val="20"/>
          <w:color w:val="auto"/>
        </w:rPr>
      </w:pPr>
    </w:p>
    <w:p>
      <w:pPr>
        <w:jc w:val="both"/>
        <w:ind w:firstLine="656"/>
        <w:spacing w:after="0" w:line="266" w:lineRule="auto"/>
        <w:tabs>
          <w:tab w:leader="none" w:pos="97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pay compensation to, reimburse expenses of and indemnify the Notes Collateral Agent in accordance with Section 7.07 of the Base Indenture. Accordingly, the reference to the “Trustee” in Section 6.10, Section 7.07 and Section 7.08 of the Base Indenture shall be deemed to include the reference to the Notes Collateral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Holders of each Series of Notes by acceptance of the Notes of such Series acknowledges and directs that the benefits, indemnities, privileges, protections, and rights of the Notes Collateral Agent shall extend to (and may be claimed directly or by the Notes Collateral Agent on behalf of) each sub-agent, as the case may be.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and entities associated with the Notes Collateral Agent shall be permitted to engage in business/contractual relationships with the Issuer and its affiliates and subsidiaries and profit therefrom without being obliged to account for such profits.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Guarantor shall promptly, at the reasonable request of the Notes Collateral Agent, and at the expense of the Issuer, do all such acts and things reasonably necessary or desirable to assist the Notes Collateral Agent in carrying out its duties and obligations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i w:val="1"/>
          <w:iCs w:val="1"/>
          <w:color w:val="auto"/>
        </w:rPr>
        <w:t>Amendments Without Consent of Holders.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purposes of this First Supplemental Indenture, the following provisions shall be included in Section 9.01 of the Base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8.01 shall not become part of the terms of any other Series of Securities:</w:t>
      </w:r>
    </w:p>
    <w:p>
      <w:pPr>
        <w:spacing w:after="0" w:line="1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 to make any amendment to the provisions of the indenture relating to the transfer and legending of notes as permitted by the indenture, including to facilitate the issuance and administration of notes; provided, however, that such amendment does not adversely affect the rights of holders to transfer notes in any material respect;</w:t>
      </w:r>
    </w:p>
    <w:p>
      <w:pPr>
        <w:spacing w:after="0" w:line="176" w:lineRule="exact"/>
        <w:rPr>
          <w:sz w:val="20"/>
          <w:szCs w:val="20"/>
          <w:color w:val="auto"/>
        </w:rPr>
      </w:pPr>
    </w:p>
    <w:p>
      <w:pPr>
        <w:ind w:left="5520" w:right="4060" w:hanging="4864"/>
        <w:spacing w:after="0" w:line="485" w:lineRule="auto"/>
        <w:tabs>
          <w:tab w:leader="none" w:pos="118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Note Guarantees or to add additional assets as Collateral;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firstLine="656"/>
        <w:spacing w:after="0" w:line="282" w:lineRule="auto"/>
        <w:tabs>
          <w:tab w:leader="none" w:pos="122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Collateral Document, include therein any legend required to be set forth therein pursuant to the First Lien Intercreditor Agreement or to modify any such legend as required by the First Lien Intercreditor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hypothecate or grant (including by entry into additional Collateral Documents) any other Lien in favor of the Trustee or the Notes Collateral Agent for the benefit of the Holders, as additional security for the payment and performance of all or any portion of the Obligations in respect of the Notes and the Note Guarantees, in any property or assets, including any which are required to be mortgaged, pledged or hypothecated, or in which a Lien is required to be granted to or for the benefit of the Trustee or the Notes Collateral Agent pursuant to this Indenture, any of the Collateral Documents or otherwise;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succession of any parties to the Collateral Documents (and other amendments that are administrative or ministerial in nature) in connection with an amendment, renewal, extension, substitution, refinancing, restructuring, replacement, supplementing or other modification from time to time of the Senior Secured Credit Facilities, the Existing Notes or any other agreement that is not prohibited by this Indenture;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4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Collateral from the Lien pursuant to this Indenture, the Collateral Documents and the First Lien Intercreditor Agreement when permitted or required by this Indenture, the Collateral Documents or the First Lien Intercreditor Agreement;</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Issuer, the Trustee and the Notes Collateral Agent may amend the First Lien Intercreditor Agreement and the Collateral Documents to provide for the addition of any creditors to such agreements to the extent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for the benefit of such creditor is permitted by the terms of this Indenture and may enter into a junior lien intercreditor agreement with creditors for whom a junior lien on the Collateral is to be granted (a “</w:t>
      </w:r>
      <w:r>
        <w:rPr>
          <w:rFonts w:ascii="Times New Roman" w:cs="Times New Roman" w:eastAsia="Times New Roman" w:hAnsi="Times New Roman"/>
          <w:sz w:val="18"/>
          <w:szCs w:val="18"/>
          <w:i w:val="1"/>
          <w:iCs w:val="1"/>
          <w:color w:val="auto"/>
        </w:rPr>
        <w:t>Junior Lien Intercreditor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Issuer delivers an Officer’s Certificate to the Trustee and the Notes Collateral Agent certifying that such agreement is substantially in the form of the junior lien intercreditor agreement attached to the Senior Secured Credit Facilities (with such changes that are not materially adverse to the senior creditors thereunder) or the terms thereof are customary and that the Trustee and the Notes Collateral Agent are authorized to enter into the Junior Lien Intercreditor Agreement.”</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Amendments With Consent of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First Supplemental Indenture, the following changes shall be made to Section 9.02 of the Base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8.02 shall not become part of the terms of any other Series of Securities:</w:t>
      </w:r>
    </w:p>
    <w:p>
      <w:pPr>
        <w:spacing w:after="0" w:line="207" w:lineRule="exact"/>
        <w:rPr>
          <w:sz w:val="20"/>
          <w:szCs w:val="20"/>
          <w:color w:val="auto"/>
        </w:rPr>
      </w:pPr>
    </w:p>
    <w:p>
      <w:pPr>
        <w:ind w:left="1180" w:hanging="524"/>
        <w:spacing w:after="0"/>
        <w:tabs>
          <w:tab w:leader="none" w:pos="1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(b) of the fourth paragraph of Section 9.02 of the Base Indenture shall be amended to add the following language at the end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the redemption of such Notes”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both"/>
        <w:ind w:left="660" w:right="1840" w:hanging="4"/>
        <w:spacing w:after="0" w:line="530" w:lineRule="auto"/>
        <w:tabs>
          <w:tab w:leader="none" w:pos="118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(c) of the fourth paragraph of Section 9.02 of the Base Indenture shall be amended and restated as follows: “reduce the rate of or change the time for payment of interest, including default interest, on any Note of any such Series;”</w:t>
      </w:r>
    </w:p>
    <w:p>
      <w:pPr>
        <w:ind w:left="1180" w:hanging="524"/>
        <w:spacing w:after="0"/>
        <w:tabs>
          <w:tab w:leader="none" w:pos="11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(f) of the fourth paragraph of Section 9.02 of the Base Indenture shall be superseded by the following language:</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Notes to receive payments of principal of, premium on, if any, or interest on, the Notes”</w:t>
      </w:r>
    </w:p>
    <w:p>
      <w:pPr>
        <w:spacing w:after="0" w:line="162" w:lineRule="exact"/>
        <w:rPr>
          <w:sz w:val="20"/>
          <w:szCs w:val="20"/>
          <w:color w:val="auto"/>
        </w:rPr>
      </w:pPr>
    </w:p>
    <w:p>
      <w:pPr>
        <w:ind w:left="660" w:right="1440" w:hanging="4"/>
        <w:spacing w:after="0" w:line="530" w:lineRule="auto"/>
        <w:tabs>
          <w:tab w:leader="none" w:pos="118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clauses (h) and (i) shall be added to the end of the fourth paragraph of Section 9.02 of the Base Indenture: “(h) waive a redemption payment with respect to any Note (other than a payment required by Section 4.02 hereof); or</w:t>
      </w:r>
    </w:p>
    <w:p>
      <w:pPr>
        <w:spacing w:after="0" w:line="1" w:lineRule="exact"/>
        <w:rPr>
          <w:sz w:val="20"/>
          <w:szCs w:val="20"/>
          <w:color w:val="auto"/>
        </w:rPr>
      </w:pPr>
    </w:p>
    <w:p>
      <w:pPr>
        <w:ind w:left="880" w:hanging="224"/>
        <w:spacing w:after="0"/>
        <w:tabs>
          <w:tab w:leader="none" w:pos="8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obligations under its Note Guarantee or this Indenture, except in accordance with the terms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1180" w:hanging="524"/>
        <w:spacing w:after="0"/>
        <w:tabs>
          <w:tab w:leader="none" w:pos="11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paragraph shall be added immediately before the final paragraph of Section 9.02 of the Base Indenture: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without the consent of Holders of at least 66 2/3% in aggregate principal amount of the applicable Series of Notes then outstanding (including, without limitation, Additional Notes, if any) (including, without limitation, consents obtained in connection with a purchase of, or tender offer or exchange offer for, Notes), no amendment or supplement may modify any Collateral Documents or the provisions in this Indenture dealing with Collateral or the Collateral Documents to the extent that such amendment or supplement would have the effect of releasing all or substantially all of the Liens securing the Notes of such Series (except as permitted by the terms of this Indenture and the Collateral Documents) or change or alter the priority of the security interests in the Collateral securing such Series of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DEFEASANCE</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Covenant Defeasance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8.03 of the Base Indenture shall be superseded in its entirety by the following language with respect to, and solely for the benefit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Notes; provided that this Section 9.01 shall not become part of the terms of any other Series of Securities:</w:t>
      </w:r>
    </w:p>
    <w:p>
      <w:pPr>
        <w:spacing w:after="0" w:line="20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Upon the Issuer’s exercise under Section 8.01 of the Base Indenture of the option applicable to this Section 9.01, the Issuer and each of the Guarantors will, with respect to the Notes of any Series and subject to the satisfaction of the conditions set forth in Section 8.04 of the Base Indenture, be released from each of their obligations under Sections 3.05, 4.01 and 4.02, 4.03, 4.05 of this First Supplemental Indenture and Section 4.03 and clauses (a)</w:t>
      </w:r>
    </w:p>
    <w:p>
      <w:pPr>
        <w:spacing w:after="0" w:line="1" w:lineRule="exact"/>
        <w:rPr>
          <w:sz w:val="20"/>
          <w:szCs w:val="20"/>
          <w:color w:val="auto"/>
        </w:rPr>
      </w:pPr>
    </w:p>
    <w:p>
      <w:pPr>
        <w:ind w:firstLine="8"/>
        <w:spacing w:after="0" w:line="251" w:lineRule="auto"/>
        <w:tabs>
          <w:tab w:leader="none" w:pos="2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(c)(3) of Section 5.01 of the Base Indenture with respect to the outstanding Notes of such Series and have Liens on the Collateral securing such Notes and Note Guarantees released, in each case, on and after the date the conditions set forth in Section 8.04 of the Base Indenture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this First Supplemental Indenture and outstanding Notes of a Series and related Note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of this First Supplemental Indenture, but, except as specified above, the remainder of the Indenture and such Notes and Note Guarantees will be unaffected thereby. In addition, upon the Issuer’s exercise under Section 8.01 of the Base Indenture of the option applicable to this Section 8.03, subject to the satisfaction of the conditions set forth in Section 8.04 of this , Sections 6.01(3), (4), (5), (6) (only as such clause 7 applies to Significant Subsidiaries) and (7) (only as such clause 7 applies to Significant Subsidiaries) of this First Supplemental Indenture will not constitute Events of Default.</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center"/>
        <w:ind w:right="-1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Effect of the First Supplemental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First Supplemental Indenture is a supplemental indenture within the meaning of Section 2.02 of the Base Indenture, and the Base Indenture shall (notwithstanding Section 12.12 thereof or Section 6.04 hereof) be read together with this First Supplemental Indenture and shall have the same effect over the Notes of each Series, in the same manner as if the provisions of the Base Indenture and this First Supplemental Indenture were contained in the same instrument.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Article 7 of the Base Indenture is hereby incorporated by reference herein, </w:t>
      </w:r>
      <w:r>
        <w:rPr>
          <w:rFonts w:ascii="Times New Roman" w:cs="Times New Roman" w:eastAsia="Times New Roman" w:hAnsi="Times New Roman"/>
          <w:sz w:val="18"/>
          <w:szCs w:val="18"/>
          <w:i w:val="1"/>
          <w:iCs w:val="1"/>
          <w:color w:val="auto"/>
        </w:rPr>
        <w:t>mutatis mutandis.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This First Supplemental Indenture may not be used to interpret any other indenture, loan or debt agreement of the Parent or its Subsidiaries or of any other Person. Any such indenture, loan or debt agreement may not be used to interpret this First Supplemental Indenture.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agreements of the Parent, the Issuer and the other Guarantors in this First Supplemental Indenture and the Notes will bind its successors. All agreements of the Trustee in this First Supplemental Indenture will bind its successors. All agreements of each Guarantor in this First Supplemental Indenture will bind its successors, except as otherwise provided in Section 10.04 of the Base Indenture.</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First Supplemental Indenture or in the Notes is invalid, illegal or unenforceable, the validity, legality and enforceability of the remaining provisions will not in any way be affected or impaired thereby.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Table of Contents, Headings, etc.</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First Supplemental Indenture have been inserted for convenience of reference only, are not to be considered a part of this First Supplemental Indenture and will in no way modify or restrict any of the terms or provisions hereof.</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Beneficiaries of this First Supplemental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Nothing in this First Supplemental Indenture or in the Notes of any Series offered hereby, expressed or implied, shall give to any Person, other than the parties hereto and their successors hereunder, and the Holders of the Notes of such Series, any benefit or any legal or equitable right, remedy or claim under this First Supplemental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Governing Law; Waiver of Jury Trial;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12.09 of the Base Indenture is hereby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Dated as of May 8,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ICON INVESTMENTS SIX DESIGNATED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ACTIVITY 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Diarmaid Cunningham</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ACCELLACARE LIMITED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DOCS RESOURCING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GLOBAL TREASURY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RESEARCH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HOLDINGS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INTERNATIONAL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CLINICAL RESEARCH PROPERTY DEVELOPMENT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(IRELAND)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OPERATIONAL HOLDINGS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OPERATIONAL FINANCING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INVESTMENTS FOUR UNLIMITED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ICON CLINICAL GLOBAL HOLDINGS UNLIMITED COMPANY</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80" w:name="page181"/>
    <w:bookmarkEnd w:id="180"/>
    <w:p>
      <w:pPr>
        <w:ind w:left="4500"/>
        <w:spacing w:after="0"/>
        <w:rPr>
          <w:sz w:val="20"/>
          <w:szCs w:val="20"/>
          <w:color w:val="auto"/>
        </w:rPr>
      </w:pPr>
      <w:r>
        <w:rPr>
          <w:rFonts w:ascii="Times New Roman" w:cs="Times New Roman" w:eastAsia="Times New Roman" w:hAnsi="Times New Roman"/>
          <w:sz w:val="18"/>
          <w:szCs w:val="18"/>
          <w:b w:val="1"/>
          <w:bCs w:val="1"/>
          <w:color w:val="auto"/>
        </w:rPr>
        <w:t>PRA HEALTH SCIENCES,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US HOLDINGS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BEACON BIOSCIENCE,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CLINICAL RESEARCH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LABORATORY SERVICES,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PRICESPECTIVE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EARLY PHASE SERVICES,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MOLECULARMD CORP.</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DOCS GLOBAL,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ACCELLACARE US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CLINICAL RESOURCE NETWORK,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CRN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RESEARCH PHARMACEUTICAL SERVICES,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SOURCE HEALTHCARE ANALYTICS,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SYMPHONY HEALTH SOLUTIONS CORPORATION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PHARMACEUTICAL RESEARCH ASSOCIATES, INC.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PRA HOLDINGS,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PRA INTERNATIONAL,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RPS GLOBAL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RPS PARENT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ROY RPS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ICON CLINICAL INVESTMENTS,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Simon Hollywood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Simon Hollywood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ICON LUXEMBOURG S.À R.L.</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Emer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Emer Lyons</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1" w:name="page182"/>
    <w:bookmarkEnd w:id="181"/>
    <w:p>
      <w:pPr>
        <w:ind w:left="4520"/>
        <w:spacing w:after="0"/>
        <w:rPr>
          <w:sz w:val="20"/>
          <w:szCs w:val="20"/>
          <w:color w:val="auto"/>
        </w:rPr>
      </w:pPr>
      <w:r>
        <w:rPr>
          <w:rFonts w:ascii="Times New Roman" w:cs="Times New Roman" w:eastAsia="Times New Roman" w:hAnsi="Times New Roman"/>
          <w:sz w:val="18"/>
          <w:szCs w:val="18"/>
          <w:b w:val="1"/>
          <w:bCs w:val="1"/>
          <w:color w:val="333333"/>
        </w:rPr>
        <w:t>CITIBANK,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333333"/>
        </w:rPr>
        <w:t>as Trustee</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Eva 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Eva Waite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Trust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333333"/>
        </w:rPr>
        <w:t>CITIBANK, N.A., LONDON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333333"/>
        </w:rPr>
        <w:t>as Notes Collateral Agent</w:t>
      </w:r>
    </w:p>
    <w:p>
      <w:pPr>
        <w:spacing w:after="0" w:line="207"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Rebecca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Rebecca Clear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AGREED GUARANTEE AND SECURITY PRINCIPLES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used herein and defined in the Indenture to which this Annex A is attached (the “</w:t>
      </w:r>
      <w:r>
        <w:rPr>
          <w:rFonts w:ascii="Times New Roman" w:cs="Times New Roman" w:eastAsia="Times New Roman" w:hAnsi="Times New Roman"/>
          <w:sz w:val="18"/>
          <w:szCs w:val="18"/>
          <w:i w:val="1"/>
          <w:iCs w:val="1"/>
          <w:color w:val="auto"/>
        </w:rPr>
        <w:t>Indentur</w:t>
      </w:r>
      <w:r>
        <w:rPr>
          <w:rFonts w:ascii="Times New Roman" w:cs="Times New Roman" w:eastAsia="Times New Roman" w:hAnsi="Times New Roman"/>
          <w:sz w:val="18"/>
          <w:szCs w:val="18"/>
          <w:color w:val="auto"/>
        </w:rPr>
        <w:t>e”) or the Security Agreement (as defined in the Indenture), are used herein as defined in the Indenture or the Security Agreement, as applicable.</w:t>
      </w:r>
    </w:p>
    <w:p>
      <w:pPr>
        <w:spacing w:after="0" w:line="158"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(x) what Liens will be granted by the Foreign Grantors or in respect of Foreign Assets to secure the Secured Obligations, (y) any limitations on the amount or scope of Guarantees by the Foreign Grantors of the Secured Obligations and (z) any limitations on the amount or scope of the Secured Obligations to be secured by any Foreign Assets, the following matters will be taken into account. For the avoidance of doubt, these Agreed Guarantee and Security Principles shall not apply to the Guarantees or grants of security provided by any Domestic Subsidiary of Parent that is a Guarantor. Liens shall not be created or perfected to the extent that they would: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corporate benefit, financial assistance, related or connected person transaction, fraudulent preference, thin capitalisation laws, capital maintenance rules, general statutory limitations, retention of title claims, “earnings stripping,” “controlled foreign corporation”, minority shareholder protection/equal treatment of shareholder rules or the laws or regulations (or analogous restrictions) of any applicable jurisdiction or any similar principles which may limit the ability of any Foreign Grantor to provide a guarantee or security or may require that that the guarantee or security be limited by an amount or scope or otherwise;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(x) risk to the officers of the relevant grantor of Liens of contravention of any legal prohibition, statutory duty in such capacity or their fiduciary duties and/or (y) risk to the officers of the relevant grantor of Liens of personal, civil or criminal liability (in each case, other than arising from fraud, gross negligence or willful misconduct of the relevant officer);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costs that are disproportionate to the benefit obtained by the First Priority Notes Secured Parties by reference to the costs of providing the Guarantee or creating or perfecting the lien versus the value of the assets being secured, as reasonably determined by the Parent;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undue administration burden on, or material inconvenience to the ordinary course of operations of, the provider of the Lien, in each case which is disproportionate to the benefit obtained by the beneficiary of the Lien, as reasonably determined by the Issuer;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over any assets subject to third party arrangements which are permitted by the Notes Documents to the extent (and for so long as) such arrangements prevent those assets from being charged and so long as such arrangements are not overridden by applicable law;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consent of any works council of the applicable subsidiary or similar employee body or regulatory authority in the jurisdiction of any Foreign Grantor.</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3" w:name="page184"/>
    <w:bookmarkEnd w:id="183"/>
    <w:p>
      <w:pPr>
        <w:jc w:val="both"/>
        <w:ind w:left="660" w:hanging="652"/>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Agreed Guarantee and Security Principles embody recognition by all parties that there may be certain legal, regulatory and practical difficulties (including those in paragraph 1 above) in obtaining security and/or Guarantees from all Foreign Grantors or Foreign Assets in every jurisdiction in which Foreign Grantors or Foreign Assets are located, in particular: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Grantor will use commercially reasonable efforts to ensure perfection of liens, when required, and other legal formalities will be completed within the time periods specified in the Notes Documents or (if earlier or to the extent no such time periods are specified in the Notes Documents) within the time periods specified by applicable law in order to ensure due perfection, in each case subject to such longer period as may be agreed by the Credit Agreement Administrative Agent under the Senior Secured Credit Facilities. Perfection of security will not be required if it would have a material adverse effect on the ability of the relevant Foreign Grantor to conduct its operations and business in the ordinary course as otherwise permitted by the Notes Documents;</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granted or secured amount may be limited to minimize stamp duty, notarization, registration or other applicable fees, taxes and duties where the benefit of increasing the granted or secured amount is disproportionate to the level of such fees, taxes and duties;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class of assets to be secured includes material and immaterial assets, if the costs of granting security over the immaterial assets is disproportionate to the benefit of such security, security will be granted over the material assets only.</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avoidance of doubt, in these Agreed Guarantee and Security Principles, “cost” includes, but is not limited to, income tax cost, registration taxes payable on the creation or enforcement or for the continuance of any Liens, stamp duties, the cost of maintaining capital for regulatory purposes, out-of-pocket expenses, and other fees and expenses directly incurred by the relevant grantor of Liens or any of its direct or indirect owners, subsidiaries or Affiliates.</w:t>
      </w:r>
    </w:p>
    <w:p>
      <w:pPr>
        <w:spacing w:after="0" w:line="176"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 to be Guaranteed and Secured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Subject to paragraph (A) above, the obligations to be secured are the Secured Obligations. The Liens are to be granted in favor of the Notes Collateral Agent on behalf of each First Priority Notes Secured Party (or equivalent local procedure and unless otherwise necessary in any jurisdictions). Subject to paragraph (A) above, the obligations to be guaranteed by Foreign Grantors are the Secured Obligations.</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4" w:name="page185"/>
    <w:bookmarkEnd w:id="18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ease of reference, the definitions of the “Secured Obligations” and “First Priority Notes Secured Parties” set forth in the Security Agreement should, where relevant and to the extent legally possible, be incorporated into each other Collateral Document (with the capitalized terms used in them having the meaning given to them in the Indenture or Security Agreement, as applicable).</w:t>
      </w:r>
    </w:p>
    <w:p>
      <w:pPr>
        <w:spacing w:after="0" w:line="172"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appropriate, defined terms in the Collateral Documents should mirror those in the Indenture and the Security Agreement, as applicable.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the Indenture agree to negotiate the form of each Collateral Document in good faith in a manner consistent with these Agreed Guarantee and Security Principles. The form of supplemental indenture is set forth as Exhibit E to the Indenture and, with respect to any Foreign Grantor, shall be subject to any limitations as set out in any supplemental indenture applicable to such Foreign Grantor as may be required in order to comply with local laws in accordance with these Agreed Guarantee and Security Principles.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granted by any Foreign Grantor in favor of the Notes Collateral Agent on behalf of each First Priority Notes Secured Party shall, to the extent possible under local law, be enforceable only upon the acceleration of any of the Obligations under the Indenture and the Notes pursuant to Article 6 thereof or non-payment of the Obligations on the maturity date thereof (an “Enforcement Event”).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no event shall (1) deposit or securities account control agreements or control, lockbox or similar arrangements be required with respect to deposit accounts, securities accounts or commodities accounts, (2) landlord, mortgagee and bailee waivers or subordination agreements be required, or (3) notices be required to be sent to account debtors or other contractual third parties unless an Enforcement Event has occurred and is continuing, except for (i) notices to be sent to any debtors under a Luxembourg receivables pledge agreement and (ii) notices to be sent to any account bank under a Luxembourg account pledge agreement.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Foreign Grantor shall be required to (1) grant Liens over any Excluded Assets or (2) enter into any Collateral Documents or take any perfection steps outside of the jurisdiction of organization of such Foreign Grantor (other than in Covered Jurisdictions, including the recordation of patent, trademark and copyright security agreements in the United States Patent and Trademark Office and the United States Copyright Office).</w:t>
      </w:r>
    </w:p>
    <w:p>
      <w:pPr>
        <w:spacing w:after="0" w:line="176"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Covenants/Representations and Warranties</w:t>
      </w:r>
    </w:p>
    <w:p>
      <w:pPr>
        <w:spacing w:after="0" w:line="2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representations, warranties or covenants which are required to be included in any Collateral Document shall reflect (to the extent to which the subject matter of such representation, warranty and covenant is the same as the corresponding representation, warranty and undertaking in the Indenture) the commercial deal set out in the Indenture and the Security Agreement (except to the extent that the Parent’s and the Notes Collateral Agent’s, as applicable, local counsel agree that it is necessary to include any further provisions (or deviate from those contained in the Indenture or the Security Agreement) in order to create, protect or preserve the Liens granted to the Notes Collateral Agent on behalf of each First Priority Notes Secured Party). Accordingly, the Collateral Documents shall not include, repeat or extend clauses set out in the Indenture including the representations or undertakings in respect of insurance, maintenance of assets, information, indemnities or the payment of costs or impose additional affirmative or negative covenants, in each case, unless applicable local counsel advise it necessary in order to ensure the validity of any Collateral Document or the perfection of any Lien granted thereunder.</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 over Equity Interests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and (C) above, equitable share charges (or the equivalent in local jurisdictions) will be made over Equity Interests in Foreign Grantors that are not Immaterial Subsidiaries to the extent provided to the Credit Agreement Collateral Agent under the Senior Secured Credit Facilities.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and (C) above, any equitable share charges (or the equivalent in local jurisdictions) over Equity Interests in Foreign Grantors will be granted pursuant to which the Notes Collateral Agent on behalf of each First Priority Notes Secured Party will be entitled, subject to local laws, to transfer the Equity Interests and satisfy the Secured Obligations out of the proceeds of such sale upon enforcement of the Lien.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and (C) above, to the extent permitted under local law, share pledges should contain provisions to ensure that, unless an Enforcement Event has occurred and is continuing, the grantor of the Lien is entitled to receive dividends and exercise voting rights in any shareholders’ meeting of the relevant company (except if exercise would be materially adverse to the validity or enforceability of the Lien created or would materially impair the value of the shares charged) and if an Enforcement Event has occurred and is continuing the voting and dividend receipt rights may only be exercised by the Trustee or the Notes Collateral Agent, as applicable, on behalf of each First Priority Notes Secured Party, it being understood that if such Enforcement Event is subsequently remedied or waived, the right to receive dividends and the voting rights in any shareholders’ meeting of the relevant company shall return to the grantor of the Lien.</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over Equity Interests will, where possible, automatically charge further Equity Interests issued or otherwise contemplate a procedure for the extension (at the cost of the relevant Issuer or Guarantor) of Liens over newly-issued shares.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will not be created over minority shareholdings or Equity Interests in joint ventures which are not permitted to be pledged pursuant to the terms of such joint venture’s organizational, joint venture or equivalent documents (after giving effect to the applicable anti-assignment provisions of the UCC or other applicable law).</w:t>
      </w:r>
    </w:p>
    <w:p>
      <w:pPr>
        <w:spacing w:after="0" w:line="172"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 over Receivables of Foreign Grantors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 Enforcement Event has occurred and is continuing, unless necessary to ensure the creation of valid and/or perfected security interests, (and notwithstanding that the Lien may be expressed as a first fixed charge) the proceeds of Receivables shall not be paid into a nominated account unless the relevant Foreign Grantor is able freely to withdraw such money and the Foreign Grantor shall be free to deal with those receivables in the course of its business.</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jc w:val="both"/>
        <w:ind w:left="660" w:hanging="652"/>
        <w:spacing w:after="0" w:line="258"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Foreign Grantor shall not be required to notify third party debtors to any contracts that have been assigned and/or charged under a Collateral Document unless so required by the Notes Collateral Agent if an Enforcement Event has occurred and is continuing, other than with respect to a Luxembourg receivables pledge agreement which shall be notified to the relevant debtors in accordance with its provisions. The Trustee or Notes Collateral Agent, as applicable, shall however be entitled to give such notice if an Enforcement Event has occurred and is continuing.</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 will be granted under local law over any Receivables to the extent (and for so long as) such Receivable cannot be secured under the terms of the relevant contract (unless such prohibition is overridden by applicable law).</w:t>
      </w:r>
    </w:p>
    <w:p>
      <w:pPr>
        <w:spacing w:after="0" w:line="158"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and (C) above, proceeds of material insurance policies owned by each relevant Foreign Grantor (excluding third party liability insurance policies) are to be assigned by way of security or pledged to the Notes Collateral Agent on behalf of each First Priority Notes Secured Party. Proceeds of insurance shall be collected and retained by the relevant Foreign Grantor (without the further consent of the First Priority Notes Secured Parties) (i) unless such insurance proceeds must be applied to mandatory prepayment in accordance with Section 2.11(c) of the credit agreement governing the Senior Secured Credit Facilities, subject to any reinvestment rights therein or (ii) unless an Enforcement Event has occurred and is continuing.</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local law to create or perfect the security, notice of the security will be served on the insurance provider within 20 Business Days of the security being granted (or such longer period as the Credit Agreement Collateral Agent may agree under the Senior Secured Credit Facilities) and, to the extent so required, the Foreign Grantor shall use its reasonable endeavors to obtain an acknowledgement of that notice within 30 Business Days of service. If a Foreign Grantor has used its reasonable endeavors but has not been able to obtain acknowledgement its obligations to obtain acknowledgement shall cease on the expiry of that 30 Business Days period.</w:t>
      </w:r>
    </w:p>
    <w:p>
      <w:pPr>
        <w:spacing w:after="0" w:line="179"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Agreements And Claims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Grantor shall be required to notify the counterparties to any contracts that have been charged/assigned under a Collateral Document that such contract has been so charged/assigned unless required by the Notes Collateral Agent if an Enforcement Event has occurred and is continuing. Liens should not be created over contracts, leases or licenses which prohibit assignment or the creation of such Liens or which require the consent of third parties for the creation of such Liens or such assignment unless the contracts are material, such consent has been obtained (and only for so long as such consent is in effect) or such prohibitions on assignment are overridden by applicable law.</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both"/>
        <w:ind w:left="660" w:hanging="652"/>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Material Agreements (as defined in the credit agreement governing the Senior Secured Credit Facilities) and claims shall be collected and retained by the relevant Foreign Grantor (without the further consent of the First Priority Notes Secured Parties) (i) unless such insurance proceeds must be applied to mandatory prepayment in accordance with Section 2.11(c) of the credit agreement governing the Senior Secured Credit Facilities, subject to any reinvestment rights therein or (ii) unless an Enforcement Event has occurred and is continuing.</w:t>
      </w:r>
    </w:p>
    <w:p>
      <w:pPr>
        <w:spacing w:after="0" w:line="176"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 Over Foreign Intellectual Property</w:t>
      </w:r>
    </w:p>
    <w:p>
      <w:pPr>
        <w:spacing w:after="0" w:line="229" w:lineRule="exact"/>
        <w:rPr>
          <w:sz w:val="20"/>
          <w:szCs w:val="20"/>
          <w:color w:val="auto"/>
        </w:rPr>
      </w:pPr>
    </w:p>
    <w:p>
      <w:pPr>
        <w:jc w:val="both"/>
        <w:ind w:left="660" w:hanging="652"/>
        <w:spacing w:after="0" w:line="252"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and (C) above, Liens over all registered Foreign Intellectual Property (other than any applications for trademarks or service marks filed in the United States Patent and Trademark Office (“PTO”), or any successor office thereto pursuant to 15 U.S.C. §1051 Section 1(b) unless and until evidence of use of the mark in interstate commerce is submitted to the PTO pursuant to 15 U.S.C. §1051 Section 1(c) or Section 1(d)) owned by each relevant Notes Party are to be given, and recordation is to be made in all relevant registries of a Covered Jurisdiction in which the grantor of the Liens is resident (in each case to the extent such Foreign Intellectual Property is registered in such jurisdiction) unless the granting of such Liens would contravene any legal or contractual prohibition. Where any relevant Notes Party has the right to the use of any Foreign Intellectual Property through contractual arrangements to which it is a party, a Lien over such contract and/or any rights arising thereunder shall be given in favor of the Notes Collateral Agent on behalf of each First Priority Notes Secured Party, except to the extent (and for so long as) the giving over of such Liens would contravene any legal or contractual prohibition. Notwithstanding anything to the contrary herein, Liens should not be created over intellectual property or any contractual relationships described above (or any rights arising thereunder) where such Lien or assignment is prohibited or the consent of third parties would be required for the creation of such Lien or such assignment unless such consent has been obtained (and only for so long as such consent is in effect) or such prohibition is overridden by applicable law. Liens over intellectual property will only be required to be perfected in the United States of America, except with respect to Foreign Intellectual Property issued or registered by, or applied-for in Ireland or Luxembourg.</w:t>
      </w:r>
    </w:p>
    <w:p>
      <w:pPr>
        <w:spacing w:after="0" w:line="19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Foreign Grantor grants a Lien over any of its intellectual property, it will be free to deal with those assets in the course of its business (including without limitation, allowing any intellectual property to lapse or become abandoned if, in the reasonable good faith judgment of Parent, it is no longer useful, valuable, or material to the conduct of the business of Parent and its Subsidiaries, taken as a whole) until an Enforcement Event has occurred and is continuing.</w:t>
      </w:r>
    </w:p>
    <w:p>
      <w:pPr>
        <w:spacing w:after="0" w:line="176"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 Over Bank Accounts</w:t>
      </w:r>
    </w:p>
    <w:p>
      <w:pPr>
        <w:spacing w:after="0" w:line="229" w:lineRule="exact"/>
        <w:rPr>
          <w:sz w:val="20"/>
          <w:szCs w:val="20"/>
          <w:color w:val="auto"/>
        </w:rPr>
      </w:pPr>
    </w:p>
    <w:p>
      <w:pPr>
        <w:ind w:left="660" w:right="20" w:hanging="652"/>
        <w:spacing w:after="0" w:line="261"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Grantor shall have any obligation to provide fixed security over bank accounts. The Notes Parties shall have no obligation to notify any bank at which a bank account of a Notes Party is held of any Lien on such bank account unless (i) an Enforcement Event has occurred and is continuing and (ii) with respect to any Luxembourg law governed account pledge agreement. Such Foreign Grantor shall be free to deal with those accounts in the course of its business until an Enforcement Event has occurred and is continuing.</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660" w:right="10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Luxembourg law governed account pledge agreement notice of the security will be served on the account bank within one (1) Business Day of the date of execution of the relevant Collateral Document and, to the extent so required, the Foreign Grantor shall use its reasonable endeavors to obtain an acknowledgement of that notice within three (3) Business Days of service.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over bank accounts shall be subject to any prior security interests in favor of the account bank which are created either by law or in the standard terms and conditions of the account bank, unless these are waived under the terms of the relevant Collateral Document (including with respect to any Luxembourg law governed account pledge agreement). The notice of security shall request these are waived by the account bank but the Foreign Grantor shall not be required to change its banking arrangements if these security interests are not waived or only partially waived.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provisions of this paragraph (J) shall not apply to Excluded Accounts. For the avoidance of doubt, no control agreements or other lockbox or control or similar agreements or arrangements shall be required with respect to the perfection of any security interest or Lien in any Deposit Accounts or Securities Accounts (in each case, as defined in the UCC).</w:t>
      </w:r>
    </w:p>
    <w:p>
      <w:pPr>
        <w:spacing w:after="0" w:line="172"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shall be given over any other material assets of any relevant Foreign Grantor from time to time, according to the principles set out herein. Such Foreign Grantor shall be free to deal with those assets in the course of its business until an Enforcement Event has occurred and is continuing.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Notes Party owns any Foreign Assets that are located in a jurisdiction other than a Covered Jurisdiction, no action under the laws of such jurisdiction shall be required to grant or perfect Liens in such Foreign Assets.</w:t>
      </w:r>
    </w:p>
    <w:p>
      <w:pPr>
        <w:spacing w:after="0" w:line="158"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Perfection of Liens</w:t>
      </w:r>
    </w:p>
    <w:p>
      <w:pPr>
        <w:spacing w:after="0" w:line="229" w:lineRule="exact"/>
        <w:rPr>
          <w:sz w:val="20"/>
          <w:szCs w:val="20"/>
          <w:color w:val="auto"/>
        </w:rPr>
      </w:pPr>
    </w:p>
    <w:p>
      <w:pPr>
        <w:ind w:left="660" w:hanging="652"/>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customary, a Collateral Document may contain a power of attorney allowing the Notes Collateral Agent to perform on behalf of the grantor of the Lien, its obligations under such Collateral Document only if an Enforcement Event has occurred and is continuing.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(C) and (I) above, where obligatory or customary under the relevant local law all registrations and filings necessary in relation to the Collateral Documents and/or the Liens evidenced or created thereby are to be undertaken within applicable time limits, by the appropriate local counsel (based on local law and custom as included in the relevant Collateral Document), unless otherwise agreed between Parent and the Credit Agreement Collateral Agent and, in each case, subject to such longer period as the Credit Agreement Collateral Agent may agree in its reasonable discretion.</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Annex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both"/>
        <w:ind w:left="660" w:hanging="652"/>
        <w:spacing w:after="0" w:line="266"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(A), (B) and (C) above, where obligatory, documents of title relating to the applicable assets charged will be required to be delivered within 90 days or such later date after the use of commercially reasonable efforts of such charge to the Credit Agreement Collateral Agent.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provided herein, notice, acknowledgement or consent to be obtained from a third party will only be required where the efficacy of the Lien requires it or where it is practicable and reasonable having regard to the costs involved, the commercial impact on the Foreign Grantor in question and the likelihood of obtaining the acknowledgement, in each case, as reasonably determined by Parent in good faith, and, when possible without prejudicing the validity of the Lien concerned, such perfecting procedures shall be delayed until an Enforcement Event has occurred and is continuing.</w:t>
      </w:r>
    </w:p>
    <w:p>
      <w:pPr>
        <w:spacing w:after="0" w:line="179"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 Indenture, no provision contained herein shall prejudice the right of the Notes Parties to benefit from the permitted exceptions set out in Section 4.22 of the Indenture regarding the granting of Liens over assets.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Proceeds</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Documents will state that the proceeds of enforcement of such Collateral Document will be applied as specified in Section 9.2 of the Security Agreement, subject to the First Lien Intercreditor Agreement.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consent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enforcement of security over shares and the exercise by the Notes Collateral Agent of voting rights in respect of such shares may be subject to regulatory consent. Accordingly, enforcement of any security over any shares subject to such a restriction, and the exercise by the Notes Collateral Agent of the voting rights in respect of any such shares, will be expressed to be conditional upon obtaining any consents required by law or regulation.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Covered Jurisdiction (as defined in the Indenture) and each other jurisdiction in which any the Issuer or any Guarantor is organized or incorporated.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Assets</w:t>
      </w:r>
      <w:r>
        <w:rPr>
          <w:rFonts w:ascii="Times New Roman" w:cs="Times New Roman" w:eastAsia="Times New Roman" w:hAnsi="Times New Roman"/>
          <w:sz w:val="18"/>
          <w:szCs w:val="18"/>
          <w:color w:val="auto"/>
        </w:rPr>
        <w:t>” means (a) assets owned by the Foreign Grantors, (b) Foreign Intellectual Property, (c) Equity Interests issued by Foreign Grantors or other Persons that are not organized under the laws of a jurisdiction located in the United States of America, and (d) assets located in jurisdictions outside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Grantors</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Intellectual Property</w:t>
      </w:r>
      <w:r>
        <w:rPr>
          <w:rFonts w:ascii="Times New Roman" w:cs="Times New Roman" w:eastAsia="Times New Roman" w:hAnsi="Times New Roman"/>
          <w:sz w:val="18"/>
          <w:szCs w:val="18"/>
          <w:color w:val="auto"/>
        </w:rPr>
        <w:t>” means (x) intellectual property owned by the Foreign Grantors or (y) any non-U.S. intellectual property of any Notes Parties that are Domestic Subsidiaries, in each case, that constitute Material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has the meaning assigned to such term in the Security Agreement.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Annex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ind w:left="105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NOTE IS PRESENTED BY AN AUTHORIZED REPRESENTATIVE OF THE DEPOSITORY TO THE COMPANY OR ITS AGENT FOR REGISTRATION OF TRANSFER, EXCHANGE OR PAYMENT, AND ANY CERTIFICATE ISSUED IS REGISTERED IN THE NAME OF CEDE &amp; CO. OR IN SUCH OTHER NAME AS REQUESTED BY AN AUTHORIZED REPRESENTATIVE OF THE DEPOSITORY (AND ANY PAYMENT IS MADE TO CEDE</w:t>
      </w:r>
    </w:p>
    <w:p>
      <w:pPr>
        <w:spacing w:after="0" w:line="5" w:lineRule="exact"/>
        <w:rPr>
          <w:sz w:val="20"/>
          <w:szCs w:val="20"/>
          <w:color w:val="auto"/>
        </w:rPr>
      </w:pPr>
    </w:p>
    <w:p>
      <w:pPr>
        <w:jc w:val="both"/>
        <w:ind w:firstLine="8"/>
        <w:spacing w:after="0" w:line="255" w:lineRule="auto"/>
        <w:tabs>
          <w:tab w:leader="none" w:pos="1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OR TO SUCH OTHER ENTITY AS IS REQUESTED BY AN AUTHORIZED REPRESENTATIVE OF THE DEPOSITORY), 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7"/>
          <w:szCs w:val="17"/>
          <w:color w:val="auto"/>
        </w:rPr>
        <w:t>CUSIP 45115A AA2</w:t>
      </w:r>
    </w:p>
    <w:p>
      <w:pPr>
        <w:spacing w:after="0" w:line="3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ISIN US45115AAA25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5.809% SENIOR SECURED NOTES DUE 2027</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_________</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8700" w:space="720"/>
            <w:col w:w="1820"/>
          </w:cols>
          <w:pgMar w:left="320" w:top="121"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ectPr>
          <w:pgSz w:w="11900" w:h="16838" w:orient="portrait"/>
          <w:cols w:equalWidth="0" w:num="1">
            <w:col w:w="11240"/>
          </w:cols>
          <w:pgMar w:left="320" w:top="121" w:right="3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promises to pay to ___________________ or registered assigns, the principal sum [set forth on the Schedule of Exchanges of Interests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attached hereto] [__________________ DOLLARS] on 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Original Issue Date: May 8,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8 and November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Record Dates: April 24 and October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5.809%.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5.809% Senior Secured Note due 2027]</w:t>
      </w:r>
    </w:p>
    <w:p>
      <w:pPr>
        <w:spacing w:after="0" w:line="18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93" w:name="page194"/>
    <w:bookmarkEnd w:id="193"/>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5.809% Senior Secured Note due 2027]</w:t>
      </w:r>
    </w:p>
    <w:p>
      <w:pPr>
        <w:spacing w:after="0" w:line="18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Initial Note]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5.809% Senior Secured Notes due 2027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3" w:lineRule="exact"/>
        <w:rPr>
          <w:sz w:val="20"/>
          <w:szCs w:val="20"/>
          <w:color w:val="auto"/>
        </w:rPr>
      </w:pPr>
    </w:p>
    <w:p>
      <w:pPr>
        <w:ind w:left="1180" w:hanging="524"/>
        <w:spacing w:after="0"/>
        <w:tabs>
          <w:tab w:leader="none" w:pos="11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Issuer promises to pay interest semi-annually in arrears May 8 and November 8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Interest on the Notes (computed on the basis of a 360-day year consisting of twelve 30-day months) will accrue from the most recent date to which interest has been paid or, if no interest has been paid, from the Original Issue Date (shown on the face of this Note) until maturity at a rate per annum equal to 5.809%;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first Interest Payment Date shall be November 8, 2024.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w:t>
      </w:r>
    </w:p>
    <w:p>
      <w:pPr>
        <w:spacing w:after="0" w:line="190" w:lineRule="exact"/>
        <w:rPr>
          <w:sz w:val="20"/>
          <w:szCs w:val="20"/>
          <w:color w:val="auto"/>
        </w:rPr>
      </w:pPr>
    </w:p>
    <w:p>
      <w:pPr>
        <w:ind w:left="1180" w:hanging="524"/>
        <w:spacing w:after="0"/>
        <w:tabs>
          <w:tab w:leader="none" w:pos="11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Issuer will pay interest on the Notes (except defaulted interest) to the Persons who are registered Holders of Notes at the close of business on the April 24 or October 23 next preceding the Interest Payment Date, even if such Notes are cancelled after such record date and on or before such Interest Payment Date, except as provided in Section 2.14 of the Base Indenture with respect to defaulted interest. The Notes will be payable as to principal, premium, if any, and interest at the office or agency of the Paying Agent maintained for such purpose within the City and State of New York, or, at the option of the Issuer, payment of interest may be made by check mailed to the Holders at their addresses set forth in the books and records of the Registrar;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payment by wire transfer of immediately available funds will be required with respect to principal of and interest and premium, if any,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Notes and all other Notes the Holders of which will have provided wire transfer instructions to the Issuer or the Paying Agent. Such payment will be in such money of the United States of America as at the time of payment is legal tender for payment of public and private debts.</w:t>
      </w:r>
    </w:p>
    <w:p>
      <w:pPr>
        <w:spacing w:after="0" w:line="190" w:lineRule="exact"/>
        <w:rPr>
          <w:sz w:val="20"/>
          <w:szCs w:val="20"/>
          <w:color w:val="auto"/>
        </w:rPr>
      </w:pPr>
    </w:p>
    <w:p>
      <w:pPr>
        <w:ind w:left="1180" w:hanging="524"/>
        <w:spacing w:after="0"/>
        <w:tabs>
          <w:tab w:leader="none" w:pos="11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Initially, Citibank, N.A., the Trustee under the Indenture, will act as Paying Agent and Registrar. The Issuer may change any Paying Agent or Registrar without notice to any Holder. The Issuer or any of its Subsidiaries may act in any such capacity.</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ind w:left="1180" w:hanging="524"/>
        <w:spacing w:after="0"/>
        <w:tabs>
          <w:tab w:leader="none" w:pos="11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Issuer issued the Notes pursuant to an Indenture, dated as of May 8, 2024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among the Issuer, Parent and the Trustee, as amended and supplemented with respect to the Notes by the First Supplemental Indenture, dated as of May 8, 2024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the Base Indenture, as amended and supplemented with respect to the Notes by the First Supplemental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the Notes include those stated in the Indenture and those made part of the Indenture by reference to the Trust Indenture Act. The Notes are subject to all such terms, and Holders are referred to the Indenture and to the Trust Indenture Act for a statement of such terms. To the extent any provision of this Note conflicts with the express provisions of the Indenture, the provisions of the Indenture shall govern and be controlling. The Notes are senior secured obligations of the Issuer. The Indenture does not limit the aggregate principal amount of Notes that may be issued thereunder.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Issuer’s obligations under the Notes are unconditionally guaranteed on a senior secured basis, to the extent set forth in the Indenture and the Collateral Documents, by each of the Guarantors to the extent set forth in the Indenture.</w:t>
      </w:r>
    </w:p>
    <w:p>
      <w:pPr>
        <w:spacing w:after="0" w:line="160" w:lineRule="exact"/>
        <w:rPr>
          <w:sz w:val="20"/>
          <w:szCs w:val="20"/>
          <w:color w:val="auto"/>
        </w:rPr>
      </w:pPr>
    </w:p>
    <w:p>
      <w:pPr>
        <w:ind w:left="1180" w:hanging="524"/>
        <w:spacing w:after="0"/>
        <w:tabs>
          <w:tab w:leader="none" w:pos="11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Prior to April 8, 2027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Issuer may redeem the Notes at its option, in whole or in part, at any time and from time to time, at a redemption price (expressed as a percentage of principal amount and rounded to three decimal places) equal to the greater of:</w:t>
      </w:r>
    </w:p>
    <w:p>
      <w:pPr>
        <w:spacing w:after="0" w:line="160" w:lineRule="exact"/>
        <w:rPr>
          <w:sz w:val="20"/>
          <w:szCs w:val="20"/>
          <w:color w:val="auto"/>
        </w:rPr>
      </w:pPr>
    </w:p>
    <w:p>
      <w:pPr>
        <w:ind w:left="660" w:right="60" w:hanging="4"/>
        <w:spacing w:after="0" w:line="261" w:lineRule="auto"/>
        <w:tabs>
          <w:tab w:leader="none" w:pos="90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 Par Call Date) on a semi-annual basis (assuming a 360-day year consisting of twelve 30-day months) at the applicable Treasury Rate (as defined below) plus 15 basis points, less unpaid interest accrued to the date of redemption (any excess of the amount described in this bullet point over the amount described in the immediately succeeding bullet point, the “</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as calculated by the Issuer, which the Trustee shall not be required to review, investigate or verify.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or from time to time, at a redemption price equal to 100% of the principal amount of the Notes being redeemed plus accrued and unpaid interest thereon to, but not including, the redemption date.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1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6" w:name="page197"/>
    <w:bookmarkEnd w:id="196"/>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18"/>
          <w:szCs w:val="18"/>
          <w:color w:val="auto"/>
        </w:rPr>
        <w:t>The Trustee shall have no responsibility for calculating the redemption price for the Notes.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on and after its redemption date, interest will cease to accrue on the Notes or portions thereof called for redemption. At or before 10:00 a.m. (New York time) on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spacing w:after="0" w:line="178" w:lineRule="exact"/>
        <w:rPr>
          <w:sz w:val="20"/>
          <w:szCs w:val="20"/>
          <w:color w:val="auto"/>
        </w:rPr>
      </w:pPr>
    </w:p>
    <w:p>
      <w:pPr>
        <w:ind w:left="1180" w:hanging="524"/>
        <w:spacing w:after="0"/>
        <w:tabs>
          <w:tab w:leader="none" w:pos="11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or sinking fund payments with respect to the Notes.</w:t>
      </w:r>
    </w:p>
    <w:p>
      <w:pPr>
        <w:spacing w:after="0" w:line="223" w:lineRule="exact"/>
        <w:rPr>
          <w:sz w:val="20"/>
          <w:szCs w:val="20"/>
          <w:color w:val="auto"/>
        </w:rPr>
      </w:pPr>
    </w:p>
    <w:p>
      <w:pPr>
        <w:ind w:left="1180" w:hanging="524"/>
        <w:spacing w:after="0"/>
        <w:tabs>
          <w:tab w:leader="none" w:pos="1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Notice of redemption will be sent at least 10 days but not more than 60 days before the redemption date to each Holder whose Notes are to be redeemed, except that redemption notices may be sent or mailed more than 60 days prior to a redemption date if the notice is issued in connection with a defeasance of the Notes or a satisfaction and discharge of the Indenture. Notes in denominations larger than $200,000 may be redeemed in part but only in whole multiples of $1,000, unless all of the Notes held by a Holder are to be redeemed.</w:t>
      </w:r>
    </w:p>
    <w:p>
      <w:pPr>
        <w:spacing w:after="0" w:line="178" w:lineRule="exact"/>
        <w:rPr>
          <w:sz w:val="20"/>
          <w:szCs w:val="20"/>
          <w:color w:val="auto"/>
        </w:rPr>
      </w:pPr>
    </w:p>
    <w:p>
      <w:pPr>
        <w:ind w:left="1180" w:hanging="524"/>
        <w:spacing w:after="0"/>
        <w:tabs>
          <w:tab w:leader="none" w:pos="11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AT THE OPTION OF HOLDER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Issuer has previously or concurrently delivered a redemption notice with respect to all the outstanding Notes pursuant to Section 3.01 of the First Supplemental Indenture, within 30 days following such Change of Control Triggering Event, the Issuer will make a Change of Control Offer on the terms set forth in the Indenture and in compliance with Section 3.05 of the First Supplemental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w:t>
      </w:r>
    </w:p>
    <w:p>
      <w:pPr>
        <w:spacing w:after="0" w:line="187" w:lineRule="exact"/>
        <w:rPr>
          <w:sz w:val="20"/>
          <w:szCs w:val="20"/>
          <w:color w:val="auto"/>
        </w:rPr>
      </w:pPr>
    </w:p>
    <w:p>
      <w:pPr>
        <w:ind w:left="1180" w:hanging="524"/>
        <w:spacing w:after="0"/>
        <w:tabs>
          <w:tab w:leader="none" w:pos="11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Notes are in registered form without coupons in minimum denominations of $200,000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or exchange of any Note or portion of a Note selected for redemption, except for the unredeemed portion of any Note being redeemed in part. Also, the Issuer need not exchange or register the transfer of any Notes (i) for a period beginning at the opening of business 15 days immediately preceding the sending of notice of redemption of Notes selected for redemption and ending at the close of business on the day such notice is sent or (ii) during the period between a record date and the corresponding Interest Payment Date.</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8" w:name="page199"/>
    <w:bookmarkEnd w:id="198"/>
    <w:p>
      <w:pPr>
        <w:ind w:left="1180" w:hanging="524"/>
        <w:spacing w:after="0"/>
        <w:tabs>
          <w:tab w:leader="none" w:pos="11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Note may be treated as its owner for all purposes.</w:t>
      </w:r>
    </w:p>
    <w:p>
      <w:pPr>
        <w:spacing w:after="0" w:line="225" w:lineRule="exact"/>
        <w:rPr>
          <w:rFonts w:ascii="Times New Roman" w:cs="Times New Roman" w:eastAsia="Times New Roman" w:hAnsi="Times New Roman"/>
          <w:sz w:val="18"/>
          <w:szCs w:val="18"/>
          <w:color w:val="auto"/>
        </w:rPr>
      </w:pPr>
    </w:p>
    <w:p>
      <w:pPr>
        <w:ind w:firstLine="656"/>
        <w:spacing w:after="0" w:line="284" w:lineRule="auto"/>
        <w:tabs>
          <w:tab w:leader="none" w:pos="116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the First Lien Intercreditor Agreement, the Collateral Documents,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Note Guarantees may be amended, supplemented or waived as provided in the Indenture.</w:t>
      </w:r>
    </w:p>
    <w:p>
      <w:pPr>
        <w:spacing w:after="0" w:line="158"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there is a continuing Event of Default (other than an Event of Default specified in Sections 6.01(6) and</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6.01(7) of the Indenture with respect to the Parent or the Issuer) with respect to the Notes, either the Trustee or the Holders of at least 25% of the outstanding principal amount of such Notes affected thereby may declare the principal amount of all of such Notes to be due and payable immediately. However, at any time after the Trustee or the Holders, as the case may be, declare an acceleration with respect to any such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the Indenture. If an Event of Default specified in Sections 6.01(6) and 6.01(7) of the First Supplemental Indenture with respect to the Parent or the Issuer occurs, all outstanding Notes shall become due and payable without any further action or notice.</w:t>
      </w:r>
    </w:p>
    <w:p>
      <w:pPr>
        <w:spacing w:after="0" w:line="192" w:lineRule="exact"/>
        <w:rPr>
          <w:sz w:val="20"/>
          <w:szCs w:val="20"/>
          <w:color w:val="auto"/>
        </w:rPr>
      </w:pPr>
    </w:p>
    <w:p>
      <w:pPr>
        <w:jc w:val="both"/>
        <w:ind w:right="180" w:firstLine="656"/>
        <w:spacing w:after="0" w:line="315" w:lineRule="auto"/>
        <w:tabs>
          <w:tab w:leader="none" w:pos="1173"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 DEALINGS WITH ISSUER</w:t>
      </w:r>
      <w:r>
        <w:rPr>
          <w:rFonts w:ascii="Times New Roman" w:cs="Times New Roman" w:eastAsia="Times New Roman" w:hAnsi="Times New Roman"/>
          <w:sz w:val="17"/>
          <w:szCs w:val="17"/>
          <w:color w:val="auto"/>
        </w:rPr>
        <w:t>. The Trustee, in its individual or any other capacity, may make loans to, accept deposits from,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services for the Issuer or its respective Affiliates, and may otherwise deal with the Issuer or its respective Affiliates, as if it were not the Trustee.</w:t>
      </w:r>
    </w:p>
    <w:p>
      <w:pPr>
        <w:spacing w:after="0" w:line="134" w:lineRule="exact"/>
        <w:rPr>
          <w:rFonts w:ascii="Times New Roman" w:cs="Times New Roman" w:eastAsia="Times New Roman" w:hAnsi="Times New Roman"/>
          <w:sz w:val="17"/>
          <w:szCs w:val="17"/>
          <w:color w:val="auto"/>
        </w:rPr>
      </w:pPr>
    </w:p>
    <w:p>
      <w:pPr>
        <w:ind w:right="120" w:firstLine="656"/>
        <w:spacing w:after="0" w:line="258" w:lineRule="auto"/>
        <w:tabs>
          <w:tab w:leader="none" w:pos="117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past, present or future director, officer, member, manager, partner, employee, incorporator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the Issuer or any Guarantor, as such, will have any liability for any obligations of the Issuer or the Guarantors under the Notes, the Indenture, the First Lien Intercreditor Agreement, the Collateral Documents, the Note Guarantees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117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will not be valid until authenticated by the manual, facsimile or electronic (including PDF) signature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or an authenticating agent.</w:t>
      </w:r>
    </w:p>
    <w:p>
      <w:pPr>
        <w:spacing w:after="0" w:line="160" w:lineRule="exact"/>
        <w:rPr>
          <w:rFonts w:ascii="Times New Roman" w:cs="Times New Roman" w:eastAsia="Times New Roman" w:hAnsi="Times New Roman"/>
          <w:sz w:val="18"/>
          <w:szCs w:val="18"/>
          <w:color w:val="auto"/>
        </w:rPr>
      </w:pPr>
    </w:p>
    <w:p>
      <w:pPr>
        <w:ind w:right="100" w:firstLine="656"/>
        <w:spacing w:after="0" w:line="266" w:lineRule="auto"/>
        <w:tabs>
          <w:tab w:leader="none" w:pos="116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9" w:name="page200"/>
    <w:bookmarkEnd w:id="199"/>
    <w:p>
      <w:pPr>
        <w:ind w:right="420" w:firstLine="656"/>
        <w:spacing w:after="0" w:line="258" w:lineRule="auto"/>
        <w:tabs>
          <w:tab w:leader="none" w:pos="117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No redemption will be affected by any defect in or omission of such numbers.</w:t>
      </w:r>
    </w:p>
    <w:p>
      <w:pPr>
        <w:spacing w:after="0" w:line="183" w:lineRule="exact"/>
        <w:rPr>
          <w:rFonts w:ascii="Times New Roman" w:cs="Times New Roman" w:eastAsia="Times New Roman" w:hAnsi="Times New Roman"/>
          <w:sz w:val="18"/>
          <w:szCs w:val="18"/>
          <w:color w:val="auto"/>
        </w:rPr>
      </w:pPr>
    </w:p>
    <w:p>
      <w:pPr>
        <w:ind w:firstLine="656"/>
        <w:spacing w:after="0" w:line="255" w:lineRule="auto"/>
        <w:tabs>
          <w:tab w:leader="none" w:pos="117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The Notes and the related Note Guarantees will be secured by the Collateral on the terms and subject to the conditions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Indenture and the Collateral Documents. The Trustee and the Notes Collateral Agent, as the case may be, hold the Collateral in trust for the benefit of the Holders, in each case pursuant to the Collateral Documents and the First Lien Intercreditor Agreement and Junior Lien Intercreditor Agreement, if any. Each Holder, by accepting this Note, consents and agrees to the terms of the Collateral Documents (including the provisions providing for the foreclosure and release of Collateral) and the First Lien Intercreditor Agreement and Junior Lien Intercreditor Agreement, if any, each as may be in effect or may be amended from time to time in accordance with their terms and the Indenture, and authorizes and directs the Notes Collateral Agent to enter into the Collateral Documents and the First Lien Intercreditor Agreement and Junior Lien Intercreditor Agreement, if any, on the Issue Date, if applicable, and to perform its obligations and exercise its rights thereunder in accordance therewith.</w:t>
      </w:r>
    </w:p>
    <w:p>
      <w:pPr>
        <w:spacing w:after="0" w:line="184" w:lineRule="exact"/>
        <w:rPr>
          <w:rFonts w:ascii="Times New Roman" w:cs="Times New Roman" w:eastAsia="Times New Roman" w:hAnsi="Times New Roman"/>
          <w:sz w:val="18"/>
          <w:szCs w:val="18"/>
          <w:color w:val="auto"/>
        </w:rPr>
      </w:pPr>
    </w:p>
    <w:p>
      <w:pPr>
        <w:ind w:firstLine="656"/>
        <w:spacing w:after="0" w:line="258" w:lineRule="auto"/>
        <w:tabs>
          <w:tab w:leader="none" w:pos="117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INDENTURE, THIS NOTE AND THE NOTE GUARANTEES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WITHOUT REGARD TO THE CONFLICT OF LAWS PROVISIONS THEREOF. THE ISSUER, THE TRUSTEE AND EACH OF THE GUARANTORS HEREBY IRREVOCABLY WAIVES, TO THE FULLEST EXTENT PERMITTED BY APPLICABLE LAW, ANY AND ALL RIGHT TO TRIAL BY JURY IN ANY LEGAL PROCEEDING ARISING OUT OF OR RELATING TO THE INDENTURE, THIS NOTE OR THE TRANSACTIONS CONTEMPLATED THEREBY OR HEREBY.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County Business Park, Leopardstown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Dublin 18, D18 X5R3, Ireland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FAO Group Treasurer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Phone: +353 1 291 2000</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0" w:name="page201"/>
    <w:bookmarkEnd w:id="200"/>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880" w:hanging="224"/>
        <w:spacing w:after="0"/>
        <w:tabs>
          <w:tab w:leader="none" w:pos="8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(we) assign and transfer this Note to:_______________________________________________________________________</w:t>
      </w:r>
    </w:p>
    <w:p>
      <w:pPr>
        <w:spacing w:after="0" w:line="27"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177165</wp:posOffset>
            </wp:positionV>
            <wp:extent cx="67208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188595</wp:posOffset>
            </wp:positionV>
            <wp:extent cx="67208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420370</wp:posOffset>
            </wp:positionV>
            <wp:extent cx="67208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643255</wp:posOffset>
            </wp:positionV>
            <wp:extent cx="67208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866140</wp:posOffset>
            </wp:positionV>
            <wp:extent cx="67208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and irrevocably appoint ______________ to transfer this Note on the books of the Issuer. The agent may substitute another to act for him.</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Signature: ________________</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Guarantee*: ______________________</w:t>
      </w:r>
    </w:p>
    <w:p>
      <w:pPr>
        <w:spacing w:after="0" w:line="225" w:lineRule="exact"/>
        <w:rPr>
          <w:sz w:val="20"/>
          <w:szCs w:val="20"/>
          <w:color w:val="auto"/>
        </w:rPr>
      </w:pPr>
    </w:p>
    <w:p>
      <w:pPr>
        <w:ind w:left="5080" w:right="860" w:hanging="4424"/>
        <w:spacing w:after="0" w:line="485" w:lineRule="auto"/>
        <w:tabs>
          <w:tab w:leader="none" w:pos="78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Exhibit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201" w:name="page202"/>
    <w:bookmarkEnd w:id="201"/>
    <w:p>
      <w:pPr>
        <w:jc w:val="center"/>
        <w:ind w:right="-319"/>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4.02 of the First Supplemental Indenture, sign and return this form as directed.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Issuer pursuant to Section 4.02 of the First Supplemental Indenture, state the amount you elect to have purchased:</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left="5080" w:right="1840" w:hanging="5072"/>
        <w:spacing w:after="0" w:line="485" w:lineRule="auto"/>
        <w:tabs>
          <w:tab w:leader="none" w:pos="13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Exhibit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02" w:name="page203"/>
    <w:bookmarkEnd w:id="202"/>
    <w:p>
      <w:pPr>
        <w:ind w:left="2800"/>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02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 officer of</w:t>
            </w:r>
          </w:p>
        </w:tc>
      </w:tr>
      <w:tr>
        <w:trPr>
          <w:trHeight w:val="216"/>
        </w:trPr>
        <w:tc>
          <w:tcPr>
            <w:tcW w:w="2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Trustee or</w:t>
            </w:r>
          </w:p>
        </w:tc>
      </w:tr>
      <w:tr>
        <w:trPr>
          <w:trHeight w:val="238"/>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increase)</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80" w:right="5120" w:hanging="5072"/>
        <w:spacing w:after="0" w:line="487" w:lineRule="auto"/>
        <w:tabs>
          <w:tab w:leader="none" w:pos="40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This schedule should be included only if the Note is issued in global form. </w:t>
      </w:r>
      <w:r>
        <w:rPr>
          <w:rFonts w:ascii="Times New Roman" w:cs="Times New Roman" w:eastAsia="Times New Roman" w:hAnsi="Times New Roman"/>
          <w:sz w:val="18"/>
          <w:szCs w:val="18"/>
          <w:color w:val="auto"/>
        </w:rPr>
        <w:t>Exhibit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ind w:left="105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NOTE IS PRESENTED BY AN AUTHORIZED REPRESENTATIVE OF THE DEPOSITORY TO THE COMPANY OR ITS AGENT FOR REGISTRATION OF TRANSFER, EXCHANGE OR PAYMENT, AND ANY CERTIFICATE ISSUED IS REGISTERED IN THE NAME OF CEDE &amp; CO. OR IN SUCH OTHER NAME AS REQUESTED BY AN AUTHORIZED REPRESENTATIVE OF THE DEPOSITORY (AND ANY PAYMENT IS MADE TO CEDE</w:t>
      </w:r>
    </w:p>
    <w:p>
      <w:pPr>
        <w:spacing w:after="0" w:line="5" w:lineRule="exact"/>
        <w:rPr>
          <w:sz w:val="20"/>
          <w:szCs w:val="20"/>
          <w:color w:val="auto"/>
        </w:rPr>
      </w:pPr>
    </w:p>
    <w:p>
      <w:pPr>
        <w:jc w:val="both"/>
        <w:ind w:firstLine="8"/>
        <w:spacing w:after="0" w:line="255" w:lineRule="auto"/>
        <w:tabs>
          <w:tab w:leader="none" w:pos="1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OR TO SUCH OTHER ENTITY AS IS REQUESTED BY AN AUTHORIZED REPRESENTATIVE OF THE DEPOSITORY), ANY TRANSFER, PLEDGE OR OTHER USE HEREOF FOR VALUE OR OTHERWISE BY OR TO ANY PERSON IS WRONGFUL INASMUCH AS THE REGISTERED OWNER HEREOF, CEDE &amp; CO., HAS AN INTEREST HEREIN.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7"/>
          <w:szCs w:val="17"/>
          <w:color w:val="auto"/>
        </w:rPr>
        <w:t>CUSIP 45115A AB0</w:t>
      </w:r>
    </w:p>
    <w:p>
      <w:pPr>
        <w:spacing w:after="0" w:line="3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ISIN US45115AAB08</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5.849% SENIOR SECURED NOTES DUE 2029</w:t>
      </w:r>
    </w:p>
    <w:p>
      <w:pPr>
        <w:sectPr>
          <w:pgSz w:w="11900" w:h="16838" w:orient="portrait"/>
          <w:cols w:equalWidth="0" w:num="1">
            <w:col w:w="11240"/>
          </w:cols>
          <w:pgMar w:left="320" w:top="337" w:right="33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_________</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00" w:lineRule="exact"/>
        <w:rPr>
          <w:sz w:val="20"/>
          <w:szCs w:val="20"/>
          <w:color w:val="auto"/>
        </w:rPr>
      </w:pPr>
    </w:p>
    <w:p>
      <w:pPr>
        <w:sectPr>
          <w:pgSz w:w="11900" w:h="16838" w:orient="portrait"/>
          <w:cols w:equalWidth="0" w:num="2">
            <w:col w:w="9360" w:space="720"/>
            <w:col w:w="1160"/>
          </w:cols>
          <w:pgMar w:left="320" w:top="337" w:right="339" w:bottom="1440" w:gutter="0" w:footer="0" w:header="0"/>
          <w:type w:val="continuous"/>
        </w:sectPr>
      </w:pP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ectPr>
          <w:pgSz w:w="11900" w:h="16838" w:orient="portrait"/>
          <w:cols w:equalWidth="0" w:num="1">
            <w:col w:w="11240"/>
          </w:cols>
          <w:pgMar w:left="320" w:top="337" w:right="3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promises to pay to ___________________ or registered assigns, the principal sum [set forth on the Schedule of Exchanges of Interests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attached hereto] [__________________ DOLLARS] on 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Original Issue Date: May 8,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8 and November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Record Dates: April 24 and October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5.849%.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[Signature Page to 5.849% Senior Secured Note due 2029]</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Exhibit 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06" w:name="page207"/>
    <w:bookmarkEnd w:id="206"/>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color w:val="auto"/>
        </w:rPr>
        <w:t>[Signature Page to 5.849% Senior Secured Note due 2029]</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Exhibit 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Initial Note]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5.849% Senior Secured Notes due 2029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3" w:lineRule="exact"/>
        <w:rPr>
          <w:sz w:val="20"/>
          <w:szCs w:val="20"/>
          <w:color w:val="auto"/>
        </w:rPr>
      </w:pPr>
    </w:p>
    <w:p>
      <w:pPr>
        <w:ind w:left="1180" w:hanging="524"/>
        <w:spacing w:after="0"/>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Issuer promises to pay interest semi-annually in arrears May 8 and November 8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Interest on the Notes (computed on the basis of a 360-day year consisting of twelve 30-day months) will accrue from the most recent date to which interest has been paid or, if no interest has been paid, from the Original Issue Date (shown on the face of this Note) until maturity at a rate per annum equal to 5.849%;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first Interest Payment Date shall be November 8, 2024.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w:t>
      </w:r>
    </w:p>
    <w:p>
      <w:pPr>
        <w:spacing w:after="0" w:line="190" w:lineRule="exact"/>
        <w:rPr>
          <w:sz w:val="20"/>
          <w:szCs w:val="20"/>
          <w:color w:val="auto"/>
        </w:rPr>
      </w:pPr>
    </w:p>
    <w:p>
      <w:pPr>
        <w:ind w:left="1180" w:hanging="524"/>
        <w:spacing w:after="0"/>
        <w:tabs>
          <w:tab w:leader="none" w:pos="11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Issuer will pay interest on the Notes (except defaulted interest) to the Persons who are registered Holders of Notes at the close of business on the April 24 or October 23 next preceding the Interest Payment Date, even if such Notes are cancelled after such record date and on or before such Interest Payment Date, except as provided in Section 2.14 of the Base Indenture with respect to defaulted interest. The Notes will be payable as to principal, premium, if any, and interest at the office or agency of the Paying Agent maintained for such purpose within the City and State of New York, or, at the option of the Issuer, payment of interest may be made by check mailed to the Holders at their addresses set forth in the books and records of the Registrar;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payment by wire transfer of immediately available funds will be required with respect to principal of and interest and premium, if any,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Notes and all other Notes the Holders of which will have provided wire transfer instructions to the Issuer or the Paying Agent. Such payment will be in such money of the United States of America as at the time of payment is legal tender for payment of public and private debts.</w:t>
      </w:r>
    </w:p>
    <w:p>
      <w:pPr>
        <w:spacing w:after="0" w:line="190" w:lineRule="exact"/>
        <w:rPr>
          <w:sz w:val="20"/>
          <w:szCs w:val="20"/>
          <w:color w:val="auto"/>
        </w:rPr>
      </w:pPr>
    </w:p>
    <w:p>
      <w:pPr>
        <w:ind w:left="1180" w:hanging="524"/>
        <w:spacing w:after="0"/>
        <w:tabs>
          <w:tab w:leader="none" w:pos="11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Initially, Citibank, N.A., the Trustee under the Indenture, will act as Paying Agent and Registrar. The Issuer may change any Paying Agent or Registrar without notice to any Holder. The Issuer or any of its Subsidiaries may act in any such capacity.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8" w:name="page209"/>
    <w:bookmarkEnd w:id="208"/>
    <w:p>
      <w:pPr>
        <w:ind w:left="1180" w:hanging="524"/>
        <w:spacing w:after="0"/>
        <w:tabs>
          <w:tab w:leader="none" w:pos="11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Issuer issued the Notes pursuant to an Indenture, dated as of May 8, 2024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among the Issuer, Parent and the Trustee, as amended and supplemented with respect to the Notes by the First Supplemental Indenture, dated as of May 8, 2024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the Base Indenture, as amended and supplemented with respect to the Notes by the First Supplemental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the Notes include those stated in the Indenture and those made part of the Indenture by reference to the Trust Indenture Act. The Notes are subject to all such terms, and Holders are referred to the Indenture and to the Trust Indenture Act for a statement of such terms. To the extent any provision of this Note conflicts with the express provisions of the Indenture, the provisions of the Indenture shall govern and be controlling. The Notes are senior secured obligations of the Issuer. The Indenture does not limit the aggregate principal amount of Notes that may be issued thereunder.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Issuer’s obligations under the Notes are unconditionally guaranteed on a senior secured basis, to the extent set forth in the Indenture and the Collateral Documents, by each of the Guarantors to the extent set forth in the Indenture.</w:t>
      </w:r>
    </w:p>
    <w:p>
      <w:pPr>
        <w:spacing w:after="0" w:line="160" w:lineRule="exact"/>
        <w:rPr>
          <w:sz w:val="20"/>
          <w:szCs w:val="20"/>
          <w:color w:val="auto"/>
        </w:rPr>
      </w:pPr>
    </w:p>
    <w:p>
      <w:pPr>
        <w:ind w:left="1180" w:hanging="524"/>
        <w:spacing w:after="0"/>
        <w:tabs>
          <w:tab w:leader="none" w:pos="11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Prior to April 8, 2029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Issuer may redeem the Notes at its option, in whole or in part, at any time and from time to time, at a redemption price (expressed as a percentage of principal amount and rounded to three decimal places) equal to the greater of:</w:t>
      </w:r>
    </w:p>
    <w:p>
      <w:pPr>
        <w:spacing w:after="0" w:line="160" w:lineRule="exact"/>
        <w:rPr>
          <w:sz w:val="20"/>
          <w:szCs w:val="20"/>
          <w:color w:val="auto"/>
        </w:rPr>
      </w:pPr>
    </w:p>
    <w:p>
      <w:pPr>
        <w:ind w:left="660" w:right="60" w:hanging="4"/>
        <w:spacing w:after="0" w:line="261" w:lineRule="auto"/>
        <w:tabs>
          <w:tab w:leader="none" w:pos="90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 Par Call Date) on a semi-annual basis (assuming a 360-day year consisting of twelve 30-day months) at the applicable Treasury Rate (as defined below) plus 20 basis points, less unpaid interest accrued to the date of redemption (any excess of the amount described in this bullet point over the amount described in the immediately succeeding bullet point, the “</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as calculated by the Issuer, which the Trustee shall not be required to review, investigate or verify.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or from time to time, at a redemption price equal to 100% of the principal amount of the Notes being redeemed plus accrued and unpaid interest thereon to, but not including, the redemption date.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9" w:name="page210"/>
    <w:bookmarkEnd w:id="209"/>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The Trustee shall have no responsibility for calculating the redemption price for the Notes.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on and after its redemption date, interest will cease to accrue on the Notes or portions thereof called for redemption. At or before 10:00 a.m. (New York time) on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spacing w:after="0" w:line="178" w:lineRule="exact"/>
        <w:rPr>
          <w:sz w:val="20"/>
          <w:szCs w:val="20"/>
          <w:color w:val="auto"/>
        </w:rPr>
      </w:pPr>
    </w:p>
    <w:p>
      <w:pPr>
        <w:ind w:left="1180" w:hanging="524"/>
        <w:spacing w:after="0"/>
        <w:tabs>
          <w:tab w:leader="none" w:pos="11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or sinking fund payments with respect to the Notes.</w:t>
      </w:r>
    </w:p>
    <w:p>
      <w:pPr>
        <w:spacing w:after="0" w:line="223" w:lineRule="exact"/>
        <w:rPr>
          <w:sz w:val="20"/>
          <w:szCs w:val="20"/>
          <w:color w:val="auto"/>
        </w:rPr>
      </w:pPr>
    </w:p>
    <w:p>
      <w:pPr>
        <w:ind w:left="1180" w:hanging="524"/>
        <w:spacing w:after="0"/>
        <w:tabs>
          <w:tab w:leader="none" w:pos="11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Notice of redemption will be sent at least 10 days but not more than 60 days before the redemption date to each Holder whose Notes are to be redeemed, except that redemption notices may be sent or mailed more than 60 days prior to a redemption date if the notice is issued in connection with a defeasance of the Notes or a satisfaction and discharge of the Indenture. Notes in denominations larger than $200,000 may be redeemed in part but only in whole multiples of $1,000, unless all of the Notes held by a Holder are to be redeemed.</w:t>
      </w:r>
    </w:p>
    <w:p>
      <w:pPr>
        <w:spacing w:after="0" w:line="178" w:lineRule="exact"/>
        <w:rPr>
          <w:sz w:val="20"/>
          <w:szCs w:val="20"/>
          <w:color w:val="auto"/>
        </w:rPr>
      </w:pPr>
    </w:p>
    <w:p>
      <w:pPr>
        <w:ind w:left="1180" w:hanging="524"/>
        <w:spacing w:after="0"/>
        <w:tabs>
          <w:tab w:leader="none" w:pos="11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AT THE OPTION OF HOLDER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Issuer has previously or concurrently delivered a redemption notice with respect to all the outstanding Notes pursuant to Section 3.01 of the First Supplemental Indenture, within 30 days following such Change of Control Triggering Event, the Issuer will make a Change of Control Offer on the terms set forth in the Indenture and in compliance with Section 3.05 of the First Supplemental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w:t>
      </w:r>
    </w:p>
    <w:p>
      <w:pPr>
        <w:spacing w:after="0" w:line="187" w:lineRule="exact"/>
        <w:rPr>
          <w:sz w:val="20"/>
          <w:szCs w:val="20"/>
          <w:color w:val="auto"/>
        </w:rPr>
      </w:pPr>
    </w:p>
    <w:p>
      <w:pPr>
        <w:ind w:left="1180" w:hanging="524"/>
        <w:spacing w:after="0"/>
        <w:tabs>
          <w:tab w:leader="none" w:pos="11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Notes are in registered form without coupons in minimum denominations of $200,000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or exchange of any Note or portion of a Note selected for redemption, except for the unredeemed portion of any Note being redeemed in part. Also, the Issuer need not exchange or register the transfer of any Notes (i) for a period beginning at the opening of business 15 days immediately preceding the sending of notice of redemption of Notes selected for redemption and ending at the close of business on the day such notice is sent or (ii) during the period between a record date and the corresponding Interest Payment Date.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1" w:name="page212"/>
    <w:bookmarkEnd w:id="211"/>
    <w:p>
      <w:pPr>
        <w:ind w:left="1260" w:hanging="624"/>
        <w:spacing w:after="0"/>
        <w:tabs>
          <w:tab w:leader="none" w:pos="12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Note may be treated as its owner for all purposes.</w:t>
      </w:r>
    </w:p>
    <w:p>
      <w:pPr>
        <w:spacing w:after="0" w:line="225" w:lineRule="exact"/>
        <w:rPr>
          <w:rFonts w:ascii="Times New Roman" w:cs="Times New Roman" w:eastAsia="Times New Roman" w:hAnsi="Times New Roman"/>
          <w:sz w:val="18"/>
          <w:szCs w:val="18"/>
          <w:color w:val="auto"/>
        </w:rPr>
      </w:pPr>
    </w:p>
    <w:p>
      <w:pPr>
        <w:ind w:left="-20" w:right="380" w:firstLine="656"/>
        <w:spacing w:after="0" w:line="284" w:lineRule="auto"/>
        <w:tabs>
          <w:tab w:leader="none" w:pos="12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the First Lien Intercreditor Agreement, the Collateral Documents,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the Note Guarantees may be amended, supplemented or waived as provided in the Indenture.</w:t>
      </w:r>
    </w:p>
    <w:p>
      <w:pPr>
        <w:spacing w:after="0" w:line="158" w:lineRule="exact"/>
        <w:rPr>
          <w:rFonts w:ascii="Times New Roman" w:cs="Times New Roman" w:eastAsia="Times New Roman" w:hAnsi="Times New Roman"/>
          <w:sz w:val="18"/>
          <w:szCs w:val="18"/>
          <w:color w:val="auto"/>
        </w:rPr>
      </w:pPr>
    </w:p>
    <w:p>
      <w:pPr>
        <w:ind w:left="-20" w:firstLine="656"/>
        <w:spacing w:after="0" w:line="254" w:lineRule="auto"/>
        <w:tabs>
          <w:tab w:leader="none" w:pos="124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there is a continuing Event of Default (other than an Event of Default specified in Sections 6.01(6)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6.01(7) of the Indenture with respect to the Parent or the Issuer) with respect to the Notes, either the Trustee or the Holders of at least 25% of the outstanding principal amount of such Notes affected thereby may declare the principal amount of all of such Notes to be due and payable immediately. However, at any time after the Trustee or the Holders, as the case may be, declare an acceleration with respect to any such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the Indenture. If an Event of Default specified in Sections 6.01(6) and 6.01(7) of the First Supplemental Indenture with respect to the Parent or the Issuer occurs, all outstanding Notes shall become due and payable without any further action or notice.</w:t>
      </w:r>
    </w:p>
    <w:p>
      <w:pPr>
        <w:spacing w:after="0" w:line="188" w:lineRule="exact"/>
        <w:rPr>
          <w:sz w:val="20"/>
          <w:szCs w:val="20"/>
          <w:color w:val="auto"/>
        </w:rPr>
      </w:pPr>
    </w:p>
    <w:p>
      <w:pPr>
        <w:ind w:left="-20" w:right="100" w:firstLine="656"/>
        <w:spacing w:after="0" w:line="315" w:lineRule="auto"/>
        <w:tabs>
          <w:tab w:leader="none" w:pos="1242"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 DEALINGS WITH ISSUER</w:t>
      </w:r>
      <w:r>
        <w:rPr>
          <w:rFonts w:ascii="Times New Roman" w:cs="Times New Roman" w:eastAsia="Times New Roman" w:hAnsi="Times New Roman"/>
          <w:sz w:val="17"/>
          <w:szCs w:val="17"/>
          <w:color w:val="auto"/>
        </w:rPr>
        <w:t>. The Trustee, in its individual or any other capacity, may make loans to, accept deposits from,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services for the Issuer or its respective Affiliates, and may otherwise deal with the Issuer or its respective Affiliates, as if it were not the Trustee.</w:t>
      </w:r>
    </w:p>
    <w:p>
      <w:pPr>
        <w:spacing w:after="0" w:line="134" w:lineRule="exact"/>
        <w:rPr>
          <w:rFonts w:ascii="Times New Roman" w:cs="Times New Roman" w:eastAsia="Times New Roman" w:hAnsi="Times New Roman"/>
          <w:sz w:val="17"/>
          <w:szCs w:val="17"/>
          <w:color w:val="auto"/>
        </w:rPr>
      </w:pPr>
    </w:p>
    <w:p>
      <w:pPr>
        <w:ind w:left="-20" w:right="120" w:firstLine="656"/>
        <w:spacing w:after="0" w:line="258" w:lineRule="auto"/>
        <w:tabs>
          <w:tab w:leader="none" w:pos="124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past, present or future director, officer, member, manager, partner, employee, incorporator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the Issuer or any Guarantor, as such, will have any liability for any obligations of the Issuer or the Guarantors under the Notes, the Indenture, the First Lien Intercreditor Agreement, the Collateral Documents, the Note Guarantees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3" w:lineRule="exact"/>
        <w:rPr>
          <w:rFonts w:ascii="Times New Roman" w:cs="Times New Roman" w:eastAsia="Times New Roman" w:hAnsi="Times New Roman"/>
          <w:sz w:val="18"/>
          <w:szCs w:val="18"/>
          <w:color w:val="auto"/>
        </w:rPr>
      </w:pPr>
    </w:p>
    <w:p>
      <w:pPr>
        <w:ind w:left="-20" w:right="180" w:firstLine="656"/>
        <w:spacing w:after="0" w:line="284" w:lineRule="auto"/>
        <w:tabs>
          <w:tab w:leader="none" w:pos="124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will not be valid until authenticated by the manual, facsimile or electronic (including PDF) signature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or an authenticating agent.</w:t>
      </w:r>
    </w:p>
    <w:p>
      <w:pPr>
        <w:spacing w:after="0" w:line="160" w:lineRule="exact"/>
        <w:rPr>
          <w:rFonts w:ascii="Times New Roman" w:cs="Times New Roman" w:eastAsia="Times New Roman" w:hAnsi="Times New Roman"/>
          <w:sz w:val="18"/>
          <w:szCs w:val="18"/>
          <w:color w:val="auto"/>
        </w:rPr>
      </w:pPr>
    </w:p>
    <w:p>
      <w:pPr>
        <w:ind w:left="-20" w:right="100" w:firstLine="656"/>
        <w:spacing w:after="0" w:line="266" w:lineRule="auto"/>
        <w:tabs>
          <w:tab w:leader="none" w:pos="123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5" w:right="359" w:bottom="1440" w:gutter="0" w:footer="0" w:header="0"/>
        </w:sectPr>
      </w:pPr>
    </w:p>
    <w:bookmarkStart w:id="212" w:name="page213"/>
    <w:bookmarkEnd w:id="212"/>
    <w:p>
      <w:pPr>
        <w:ind w:left="-20" w:right="320" w:firstLine="656"/>
        <w:spacing w:after="0" w:line="258" w:lineRule="auto"/>
        <w:tabs>
          <w:tab w:leader="none" w:pos="124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No redemption will be affected by any defect in or omission of such numbers.</w:t>
      </w:r>
    </w:p>
    <w:p>
      <w:pPr>
        <w:spacing w:after="0" w:line="183" w:lineRule="exact"/>
        <w:rPr>
          <w:rFonts w:ascii="Times New Roman" w:cs="Times New Roman" w:eastAsia="Times New Roman" w:hAnsi="Times New Roman"/>
          <w:sz w:val="18"/>
          <w:szCs w:val="18"/>
          <w:color w:val="auto"/>
        </w:rPr>
      </w:pPr>
    </w:p>
    <w:p>
      <w:pPr>
        <w:ind w:left="-20" w:right="40" w:firstLine="656"/>
        <w:spacing w:after="0" w:line="256" w:lineRule="auto"/>
        <w:tabs>
          <w:tab w:leader="none" w:pos="124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The Notes and the related Note Guarantees will be secured by the Collateral on the terms and subject to the conditions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Indenture and the Collateral Documents. The Trustee and the Notes Collateral Agent, as the case may be, hold the Collateral in trust for the benefit of the Holders, in each case pursuant to the Collateral Documents and the First Lien Intercreditor Agreement. Each Holder, by accepting this Note, consents and agrees to the terms of the Collateral Documents (including the provisions providing for the foreclosure and release of Collateral) and the First Lien Intercreditor Agreement, each as may be in effect or may be amended from time to time in accordance with their terms and the Indenture, and authorizes and directs the Notes Collateral Agent to enter into the Collateral Documents and the First Lien Intercreditor Agreement on the Issue Date, if applicable, and to perform its obligations and exercise its rights thereunder in accordance therewith.</w:t>
      </w:r>
    </w:p>
    <w:p>
      <w:pPr>
        <w:spacing w:after="0" w:line="182" w:lineRule="exact"/>
        <w:rPr>
          <w:rFonts w:ascii="Times New Roman" w:cs="Times New Roman" w:eastAsia="Times New Roman" w:hAnsi="Times New Roman"/>
          <w:sz w:val="18"/>
          <w:szCs w:val="18"/>
          <w:color w:val="auto"/>
        </w:rPr>
      </w:pPr>
    </w:p>
    <w:p>
      <w:pPr>
        <w:ind w:left="-20" w:firstLine="656"/>
        <w:spacing w:after="0" w:line="258" w:lineRule="auto"/>
        <w:tabs>
          <w:tab w:leader="none" w:pos="124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INDENTURE, THIS NOTE AND THE NOTE GUARANTEES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WITHOUT REGARD TO THE CONFLICT OF LAWS PROVISIONS THEREOF. THE ISSUER, THE TRUSTEE AND EACH OF THE GUARANTORS HEREBY IRREVOCABLY WAIVES, TO THE FULLEST EXTENT PERMITTED BY APPLICABLE LAW, ANY AND ALL RIGHT TO TRIAL BY JURY IN ANY LEGAL PROCEEDING ARISING OUT OF OR RELATING TO THE INDENTURE, THIS NOTE OR THE TRANSACTIONS CONTEMPLATED THEREBY OR HEREBY.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 County Business Park, Leopardstown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Dublin 18, D18 X5R3, Ireland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FAO Group Treasurer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Phone: +353 1 291 2000</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5" w:right="339" w:bottom="1440" w:gutter="0" w:footer="0" w:header="0"/>
        </w:sectPr>
      </w:pPr>
    </w:p>
    <w:bookmarkStart w:id="213" w:name="page214"/>
    <w:bookmarkEnd w:id="213"/>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519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445770</wp:posOffset>
            </wp:positionV>
            <wp:extent cx="67208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300355</wp:posOffset>
            </wp:positionV>
            <wp:extent cx="67208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67208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-127635</wp:posOffset>
            </wp:positionV>
            <wp:extent cx="67208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7208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and irrevocably appoint __________ to transfer this Note on the books of the Issuer. The agent may substitute another to act for him.</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Signature: ______________</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Guarantee*: _________</w:t>
      </w:r>
    </w:p>
    <w:p>
      <w:pPr>
        <w:spacing w:after="0" w:line="225" w:lineRule="exact"/>
        <w:rPr>
          <w:sz w:val="20"/>
          <w:szCs w:val="20"/>
          <w:color w:val="auto"/>
        </w:rPr>
      </w:pPr>
    </w:p>
    <w:p>
      <w:pPr>
        <w:ind w:left="5120" w:right="500" w:hanging="4464"/>
        <w:spacing w:after="0" w:line="736" w:lineRule="auto"/>
        <w:tabs>
          <w:tab w:leader="none" w:pos="79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Exhibit B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337" w:right="135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4.02 of the First Supplemental Indenture, sign and return this form as directed.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Issuer pursuant to Section 4.02 of the First Supplemental Indenture, state the amount you elect to have purchased: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20" w:type="dxa"/>
            <w:vAlign w:val="bottom"/>
            <w:vMerge w:val="continue"/>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Your Signature:</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Tax Identification No.:</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120" w:right="2160" w:hanging="5112"/>
        <w:spacing w:after="0" w:line="736" w:lineRule="auto"/>
        <w:tabs>
          <w:tab w:leader="none" w:pos="15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Exhibit B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5" w:name="page216"/>
    <w:bookmarkEnd w:id="215"/>
    <w:p>
      <w:pPr>
        <w:ind w:left="2800"/>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10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10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Global Note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of Trustee or</w:t>
            </w:r>
          </w:p>
        </w:tc>
      </w:tr>
      <w:tr>
        <w:trPr>
          <w:trHeight w:val="238"/>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increase)</w:t>
            </w:r>
          </w:p>
        </w:tc>
        <w:tc>
          <w:tcPr>
            <w:tcW w:w="2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20" w:right="5100" w:hanging="5112"/>
        <w:spacing w:after="0" w:line="796" w:lineRule="auto"/>
        <w:tabs>
          <w:tab w:leader="none" w:pos="421"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This schedule should be included only if the Note is issued in global form. </w:t>
      </w:r>
      <w:r>
        <w:rPr>
          <w:rFonts w:ascii="Times New Roman" w:cs="Times New Roman" w:eastAsia="Times New Roman" w:hAnsi="Times New Roman"/>
          <w:sz w:val="17"/>
          <w:szCs w:val="17"/>
          <w:color w:val="auto"/>
        </w:rPr>
        <w:t>Exhibit B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6" w:name="page217"/>
    <w:bookmarkEnd w:id="216"/>
    <w:p>
      <w:pPr>
        <w:ind w:left="10500"/>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NOTE IS PRESENTED BY AN AUTHORIZED REPRESENTATIVE OF THE DEPOSITORY TO THE COMPANY OR ITS AGENT FOR REGISTRATION OF TRANSFER, EXCHANGE OR PAYMENT, AND ANY CERTIFICATE ISSUED IS REGISTERED IN THE NAME OF CEDE &amp; CO. OR IN SUCH OTHER NAME AS REQUESTED BY AN AUTHORIZED REPRESENTATIVE OF THE DEPOSITORY (AND ANY PAYMENT IS MADE TO CEDE</w:t>
      </w:r>
    </w:p>
    <w:p>
      <w:pPr>
        <w:spacing w:after="0" w:line="5" w:lineRule="exact"/>
        <w:rPr>
          <w:sz w:val="20"/>
          <w:szCs w:val="20"/>
          <w:color w:val="auto"/>
        </w:rPr>
      </w:pPr>
    </w:p>
    <w:p>
      <w:pPr>
        <w:jc w:val="both"/>
        <w:ind w:firstLine="8"/>
        <w:spacing w:after="0" w:line="255" w:lineRule="auto"/>
        <w:tabs>
          <w:tab w:leader="none" w:pos="18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OR TO SUCH OTHER ENTITY AS IS REQUESTED BY AN AUTHORIZED REPRESENTATIVE OF THE DEPOSITORY), ANY TRANSFER, PLEDGE OR OTHER USE HEREOF FOR VALUE OR OTHERWISE BY OR TO ANY PERSON IS WRONGFUL INASMUCH AS THE REGISTERED OWNER HEREOF, CEDE &amp; CO., HAS AN INTEREST HEREIN.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CUSIP 45115A AC8</w:t>
      </w:r>
    </w:p>
    <w:p>
      <w:pPr>
        <w:spacing w:after="0" w:line="27"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ISIN US45115AAC80</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6.000% SENIOR SECURED NOTES DUE 2034</w:t>
      </w:r>
    </w:p>
    <w:p>
      <w:pPr>
        <w:sectPr>
          <w:pgSz w:w="11900" w:h="16838" w:orient="portrait"/>
          <w:cols w:equalWidth="0" w:num="1">
            <w:col w:w="11240"/>
          </w:cols>
          <w:pgMar w:left="320" w:top="337" w:right="33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_________</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00" w:lineRule="exact"/>
        <w:rPr>
          <w:sz w:val="20"/>
          <w:szCs w:val="20"/>
          <w:color w:val="auto"/>
        </w:rPr>
      </w:pPr>
    </w:p>
    <w:p>
      <w:pPr>
        <w:sectPr>
          <w:pgSz w:w="11900" w:h="16838" w:orient="portrait"/>
          <w:cols w:equalWidth="0" w:num="2">
            <w:col w:w="9360" w:space="720"/>
            <w:col w:w="1160"/>
          </w:cols>
          <w:pgMar w:left="320" w:top="337" w:right="339" w:bottom="1440" w:gutter="0" w:footer="0" w:header="0"/>
          <w:type w:val="continuous"/>
        </w:sectPr>
      </w:pP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ectPr>
          <w:pgSz w:w="11900" w:h="16838" w:orient="portrait"/>
          <w:cols w:equalWidth="0" w:num="1">
            <w:col w:w="11240"/>
          </w:cols>
          <w:pgMar w:left="320" w:top="337" w:right="3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promises to pay to ___________________ or registered assigns, the principal sum [set forth on the Schedule of Exchanges of Interests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attached hereto] [__________________ DOLLARS] on ____________.</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Original Issue Date: May 8,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 Dates: May 8 and November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Record Dates: April 24 and October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6.000%.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[Signature Page to 6.000% Senior Secured Note due 2034]</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Exhibit 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19" w:name="page220"/>
    <w:bookmarkEnd w:id="219"/>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9284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[Signature Page to 6.000% Senior Secured Note due 2034]</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Exhibit 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Initial Note]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6.000% Senior Secured Notes due 2034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3" w:lineRule="exact"/>
        <w:rPr>
          <w:sz w:val="20"/>
          <w:szCs w:val="20"/>
          <w:color w:val="auto"/>
        </w:rPr>
      </w:pPr>
    </w:p>
    <w:p>
      <w:pPr>
        <w:ind w:left="1180" w:hanging="524"/>
        <w:spacing w:after="0"/>
        <w:tabs>
          <w:tab w:leader="none" w:pos="1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Issuer promises to pay interest semi-annually in arrears May 8 and November 8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Interest on the Notes (computed on the basis of a 360-day year consisting of twelve 30-day months) will accrue from the most recent date to which interest has been paid or, if no interest has been paid, from the Original Issue Date (shown on the face of this Note) until maturity at a rate per annum equal to 6.000%;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first Interest Payment Date shall be November 8, 2024.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w:t>
      </w:r>
    </w:p>
    <w:p>
      <w:pPr>
        <w:spacing w:after="0" w:line="190" w:lineRule="exact"/>
        <w:rPr>
          <w:sz w:val="20"/>
          <w:szCs w:val="20"/>
          <w:color w:val="auto"/>
        </w:rPr>
      </w:pPr>
    </w:p>
    <w:p>
      <w:pPr>
        <w:ind w:left="1180" w:hanging="524"/>
        <w:spacing w:after="0"/>
        <w:tabs>
          <w:tab w:leader="none" w:pos="11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Issuer will pay interest on the Notes (except defaulted interest) to the Persons who are registered Holders of Notes at the close of business on the April 24 or October 23 next preceding the Interest Payment Date, even if such Notes are cancelled after such record date and on or before such Interest Payment Date, except as provided in Section 2.14 of the Base Indenture with respect to defaulted interest. The Notes will be payable as to principal, premium, if any, and interest at the office or agency of the Paying Agent maintained for such purpose within the City and State of New York, or, at the option of the Issuer, payment of interest may be made by check mailed to the Holders at their addresses set forth in the books and records of the Registrar;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payment by wire transfer of immediately available funds will be required with respect to principal of and interest and premium, if any,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Notes and all other Notes the Holders of which will have provided wire transfer instructions to the Issuer or the Paying Agent. Such payment will be in such money of the United States of America as at the time of payment is legal tender for payment of public and private debts.</w:t>
      </w:r>
    </w:p>
    <w:p>
      <w:pPr>
        <w:spacing w:after="0" w:line="190" w:lineRule="exact"/>
        <w:rPr>
          <w:sz w:val="20"/>
          <w:szCs w:val="20"/>
          <w:color w:val="auto"/>
        </w:rPr>
      </w:pPr>
    </w:p>
    <w:p>
      <w:pPr>
        <w:ind w:left="1180" w:hanging="524"/>
        <w:spacing w:after="0"/>
        <w:tabs>
          <w:tab w:leader="none" w:pos="11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Initially, Citibank, N.A., the Trustee under the Indenture, will act as Paying Agent and Registrar. The Issuer may change any Paying Agent or Registrar without notice to any Holder. The Issuer or any of its Subsidiaries may act in any such capacity.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1" w:name="page222"/>
    <w:bookmarkEnd w:id="221"/>
    <w:p>
      <w:pPr>
        <w:ind w:left="1180" w:hanging="524"/>
        <w:spacing w:after="0"/>
        <w:tabs>
          <w:tab w:leader="none" w:pos="11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Issuer issued the Notes pursuant to an Indenture, dated as of May 8, 2024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among the Issuer, Parent and the Trustee, as amended and supplemented with respect to the Notes by the First Supplemental Indenture, dated as of May 8, 2024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the Base Indenture, as amended and supplemented with respect to the Notes by the First Supplemental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the Notes include those stated in the Indenture and those made part of the Indenture by reference to the Trust Indenture Act. The Notes are subject to all such terms, and Holders are referred to the Indenture and to the Trust Indenture Act for a statement of such terms. To the extent any provision of this Note conflicts with the express provisions of the Indenture, the provisions of the Indenture shall govern and be controlling. The Notes are senior secured obligations of the Issuer. The Indenture does not limit the aggregate principal amount of Notes that may be issued thereunder.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Issuer’s obligations under the Notes are unconditionally guaranteed on a senior secured basis, to the extent set forth in the Indenture and the Collateral Documents, by each of the Guarantors to the extent set forth in the Indenture.</w:t>
      </w:r>
    </w:p>
    <w:p>
      <w:pPr>
        <w:spacing w:after="0" w:line="160" w:lineRule="exact"/>
        <w:rPr>
          <w:sz w:val="20"/>
          <w:szCs w:val="20"/>
          <w:color w:val="auto"/>
        </w:rPr>
      </w:pPr>
    </w:p>
    <w:p>
      <w:pPr>
        <w:ind w:left="1180" w:hanging="524"/>
        <w:spacing w:after="0"/>
        <w:tabs>
          <w:tab w:leader="none" w:pos="11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Prior to February 8, 2034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Issuer may redeem the Notes at its option, in whole or in part, at any time and from time to time, at a redemption price (expressed as a percentage of principal amount and rounded to three decimal places) equal to the greater of:</w:t>
      </w:r>
    </w:p>
    <w:p>
      <w:pPr>
        <w:spacing w:after="0" w:line="160" w:lineRule="exact"/>
        <w:rPr>
          <w:sz w:val="20"/>
          <w:szCs w:val="20"/>
          <w:color w:val="auto"/>
        </w:rPr>
      </w:pPr>
    </w:p>
    <w:p>
      <w:pPr>
        <w:ind w:left="660" w:right="60" w:hanging="4"/>
        <w:spacing w:after="0" w:line="261" w:lineRule="auto"/>
        <w:tabs>
          <w:tab w:leader="none" w:pos="9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 Par Call Date) on a semi-annual basis (assuming a 360-day year consisting of twelve 30-day months) at the applicable Treasury Rate (as defined below) plus 25 basis points, less unpaid interest accrued to the date of redemption (any excess of the amount described in this bullet point over the amount described in the immediately succeeding bullet point, the “</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as calculated by the Issuer, which the Trustee shall not be required to review, investigate or verify.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or from time to time, at a redemption price equal to 100% of the principal amount of the Notes being redeemed plus accrued and unpaid interest thereon to, but not including, the redemption date.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2" w:name="page223"/>
    <w:bookmarkEnd w:id="222"/>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18"/>
          <w:szCs w:val="18"/>
          <w:color w:val="auto"/>
        </w:rPr>
        <w:t>The Trustee shall have no responsibility for calculating the redemption price for the Notes.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on an after its redemption date, interest will cease to accrue on the Notes or portions thereof called for redemption. At or before 10:00 a.m. (New York time) on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spacing w:after="0" w:line="178" w:lineRule="exact"/>
        <w:rPr>
          <w:sz w:val="20"/>
          <w:szCs w:val="20"/>
          <w:color w:val="auto"/>
        </w:rPr>
      </w:pPr>
    </w:p>
    <w:p>
      <w:pPr>
        <w:ind w:left="1180" w:hanging="524"/>
        <w:spacing w:after="0"/>
        <w:tabs>
          <w:tab w:leader="none" w:pos="11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or sinking fund payments with respect to the Notes.</w:t>
      </w:r>
    </w:p>
    <w:p>
      <w:pPr>
        <w:spacing w:after="0" w:line="223" w:lineRule="exact"/>
        <w:rPr>
          <w:sz w:val="20"/>
          <w:szCs w:val="20"/>
          <w:color w:val="auto"/>
        </w:rPr>
      </w:pPr>
    </w:p>
    <w:p>
      <w:pPr>
        <w:ind w:left="1180" w:hanging="524"/>
        <w:spacing w:after="0"/>
        <w:tabs>
          <w:tab w:leader="none" w:pos="11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Notice of redemption will be sent at least 10 days but not more than 60 days before the redemption date to each Holder whose Notes are to be redeemed, except that redemption notices may be sent or mailed more than 60 days prior to a redemption date if the notice is issued in connection with a defeasance of the Notes or a satisfaction and discharge of the Indenture. Notes in denominations larger than $200,000 may be redeemed in part but only in whole multiples of $1,000, unless all of the Notes held by a Holder are to be redeemed.</w:t>
      </w:r>
    </w:p>
    <w:p>
      <w:pPr>
        <w:spacing w:after="0" w:line="178" w:lineRule="exact"/>
        <w:rPr>
          <w:sz w:val="20"/>
          <w:szCs w:val="20"/>
          <w:color w:val="auto"/>
        </w:rPr>
      </w:pPr>
    </w:p>
    <w:p>
      <w:pPr>
        <w:ind w:left="1180" w:hanging="524"/>
        <w:spacing w:after="0"/>
        <w:tabs>
          <w:tab w:leader="none" w:pos="11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AT THE OPTION OF HOLDER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the Issuer has previously or concurrently delivered a redemption notice with respect to all the outstanding Notes pursuant to Section 3.01 of the First Supplemental Indenture, within 30 days following such Change of Control Triggering Event, the Issuer will make a Change of Control Offer on the terms set forth in the Indenture and in compliance with Section 3.05 of the First Supplemental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(subject to the rights of Holders of Notes on the relevant record date to receive interest due on the relevant interest payment date if the Notes have not been redeemed or repurchased prior to such date).</w:t>
      </w:r>
    </w:p>
    <w:p>
      <w:pPr>
        <w:spacing w:after="0" w:line="187" w:lineRule="exact"/>
        <w:rPr>
          <w:sz w:val="20"/>
          <w:szCs w:val="20"/>
          <w:color w:val="auto"/>
        </w:rPr>
      </w:pPr>
    </w:p>
    <w:p>
      <w:pPr>
        <w:ind w:left="1180" w:hanging="524"/>
        <w:spacing w:after="0"/>
        <w:tabs>
          <w:tab w:leader="none" w:pos="11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Notes are in registered form without coupons in minimum denominations of $200,000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or exchange of any Note or portion of a Note selected for redemption, except for the unredeemed portion of any Note being redeemed in part. Also, the Issuer need not exchange or register the transfer of any Notes (i) for a period beginning at the opening of business 15 days immediately preceding the sending of notice of redemption of Notes selected for redemption and ending at the close of business on the day such notice is sent or (ii) during the period between a record date and the corresponding Interest Payment Date.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4" w:name="page225"/>
    <w:bookmarkEnd w:id="224"/>
    <w:p>
      <w:pPr>
        <w:ind w:left="1260" w:hanging="624"/>
        <w:spacing w:after="0"/>
        <w:tabs>
          <w:tab w:leader="none" w:pos="12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Note may be treated as its owner for all purposes.</w:t>
      </w:r>
    </w:p>
    <w:p>
      <w:pPr>
        <w:spacing w:after="0" w:line="225" w:lineRule="exact"/>
        <w:rPr>
          <w:rFonts w:ascii="Times New Roman" w:cs="Times New Roman" w:eastAsia="Times New Roman" w:hAnsi="Times New Roman"/>
          <w:sz w:val="18"/>
          <w:szCs w:val="18"/>
          <w:color w:val="auto"/>
        </w:rPr>
      </w:pPr>
    </w:p>
    <w:p>
      <w:pPr>
        <w:ind w:left="-20" w:right="380" w:firstLine="656"/>
        <w:spacing w:after="0" w:line="284"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the First Lien Intercreditor Agreement, the Collateral Documents,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the Note Guarantees may be amended, supplemented or waived as provided in the Indenture.</w:t>
      </w:r>
    </w:p>
    <w:p>
      <w:pPr>
        <w:spacing w:after="0" w:line="158" w:lineRule="exact"/>
        <w:rPr>
          <w:rFonts w:ascii="Times New Roman" w:cs="Times New Roman" w:eastAsia="Times New Roman" w:hAnsi="Times New Roman"/>
          <w:sz w:val="18"/>
          <w:szCs w:val="18"/>
          <w:color w:val="auto"/>
        </w:rPr>
      </w:pPr>
    </w:p>
    <w:p>
      <w:pPr>
        <w:ind w:left="-20" w:firstLine="656"/>
        <w:spacing w:after="0" w:line="254" w:lineRule="auto"/>
        <w:tabs>
          <w:tab w:leader="none" w:pos="124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there is a continuing Event of Default (other than an Event of Default specified in Sections 6.01(6)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6.01(7) of the Indenture with respect to the Parent or the Issuer) with respect to the Notes, either the Trustee or the Holders of at least 25% of the outstanding principal amount of such Notes affected thereby may declare the principal amount of all of such Notes to be due and payable immediately. However, at any time after the Trustee or the Holders, as the case may be, declare an acceleration with respect to any such Notes, but before the applicable person has obtained a judgment or decree based on such acceleration, the Holders of a majority in principal amount of the outstanding Notes may, under certain conditions, cancel such acceleration if the Parent has cured all Events of Default (other than the nonpayment of accelerated principal) with respect to the Notes or all such Events of Default have been waived as provided in the Indenture. If an Event of Default specified in Sections 6.01(6) and 6.01(7) of the First Supplemental Indenture with respect to the Parent or the Issuer occurs, all outstanding Notes shall become due and payable without any further action or notice.</w:t>
      </w:r>
    </w:p>
    <w:p>
      <w:pPr>
        <w:spacing w:after="0" w:line="188" w:lineRule="exact"/>
        <w:rPr>
          <w:sz w:val="20"/>
          <w:szCs w:val="20"/>
          <w:color w:val="auto"/>
        </w:rPr>
      </w:pPr>
    </w:p>
    <w:p>
      <w:pPr>
        <w:ind w:left="-20" w:right="100" w:firstLine="656"/>
        <w:spacing w:after="0" w:line="315" w:lineRule="auto"/>
        <w:tabs>
          <w:tab w:leader="none" w:pos="124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 DEALINGS WITH ISSUER</w:t>
      </w:r>
      <w:r>
        <w:rPr>
          <w:rFonts w:ascii="Times New Roman" w:cs="Times New Roman" w:eastAsia="Times New Roman" w:hAnsi="Times New Roman"/>
          <w:sz w:val="17"/>
          <w:szCs w:val="17"/>
          <w:color w:val="auto"/>
        </w:rPr>
        <w:t>. The Trustee, in its individual or any other capacity, may make loans to, accept deposits from,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services for the Issuer or its respective Affiliates, and may otherwise deal with the Issuer or its respective Affiliates, as if it were not the Trustee.</w:t>
      </w:r>
    </w:p>
    <w:p>
      <w:pPr>
        <w:spacing w:after="0" w:line="134" w:lineRule="exact"/>
        <w:rPr>
          <w:rFonts w:ascii="Times New Roman" w:cs="Times New Roman" w:eastAsia="Times New Roman" w:hAnsi="Times New Roman"/>
          <w:sz w:val="17"/>
          <w:szCs w:val="17"/>
          <w:color w:val="auto"/>
        </w:rPr>
      </w:pPr>
    </w:p>
    <w:p>
      <w:pPr>
        <w:ind w:left="-20" w:right="120" w:firstLine="656"/>
        <w:spacing w:after="0" w:line="258" w:lineRule="auto"/>
        <w:tabs>
          <w:tab w:leader="none" w:pos="124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past, present or future director, officer, member, manager, partner, employee, incorporator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the Issuer or any Guarantor, as such, will have any liability for any obligations of the Issuer or the Guarantors under the Notes, the Indenture, the First Lien Intercreditor Agreement, the Collateral Documents, the Note Guarantees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3" w:lineRule="exact"/>
        <w:rPr>
          <w:rFonts w:ascii="Times New Roman" w:cs="Times New Roman" w:eastAsia="Times New Roman" w:hAnsi="Times New Roman"/>
          <w:sz w:val="18"/>
          <w:szCs w:val="18"/>
          <w:color w:val="auto"/>
        </w:rPr>
      </w:pPr>
    </w:p>
    <w:p>
      <w:pPr>
        <w:ind w:left="-20" w:right="180" w:firstLine="656"/>
        <w:spacing w:after="0" w:line="284" w:lineRule="auto"/>
        <w:tabs>
          <w:tab w:leader="none" w:pos="124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will not be valid until authenticated by the manual, facsimile or electronic (including PDF) signature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or an authenticating agent.</w:t>
      </w:r>
    </w:p>
    <w:p>
      <w:pPr>
        <w:spacing w:after="0" w:line="160" w:lineRule="exact"/>
        <w:rPr>
          <w:rFonts w:ascii="Times New Roman" w:cs="Times New Roman" w:eastAsia="Times New Roman" w:hAnsi="Times New Roman"/>
          <w:sz w:val="18"/>
          <w:szCs w:val="18"/>
          <w:color w:val="auto"/>
        </w:rPr>
      </w:pPr>
    </w:p>
    <w:p>
      <w:pPr>
        <w:ind w:left="-20" w:right="100" w:firstLine="656"/>
        <w:spacing w:after="0" w:line="266" w:lineRule="auto"/>
        <w:tabs>
          <w:tab w:leader="none" w:pos="123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35" w:right="359" w:bottom="1440" w:gutter="0" w:footer="0" w:header="0"/>
        </w:sectPr>
      </w:pPr>
    </w:p>
    <w:bookmarkStart w:id="225" w:name="page226"/>
    <w:bookmarkEnd w:id="225"/>
    <w:p>
      <w:pPr>
        <w:ind w:left="-20" w:right="320" w:firstLine="656"/>
        <w:spacing w:after="0" w:line="258" w:lineRule="auto"/>
        <w:tabs>
          <w:tab w:leader="none" w:pos="124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No redemption will be affected by any defect in or omission of such numbers.</w:t>
      </w:r>
    </w:p>
    <w:p>
      <w:pPr>
        <w:spacing w:after="0" w:line="183" w:lineRule="exact"/>
        <w:rPr>
          <w:rFonts w:ascii="Times New Roman" w:cs="Times New Roman" w:eastAsia="Times New Roman" w:hAnsi="Times New Roman"/>
          <w:sz w:val="18"/>
          <w:szCs w:val="18"/>
          <w:color w:val="auto"/>
        </w:rPr>
      </w:pPr>
    </w:p>
    <w:p>
      <w:pPr>
        <w:ind w:left="-20" w:right="40" w:firstLine="656"/>
        <w:spacing w:after="0" w:line="256" w:lineRule="auto"/>
        <w:tabs>
          <w:tab w:leader="none" w:pos="124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The Notes and the related Note Guarantees will be secured by the Collateral on the terms and subject to the conditions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Indenture and the Collateral Documents. The Trustee and the Notes Collateral Agent, as the case may be, hold the Collateral in trust for the benefit of the Holders, in each case pursuant to the Collateral Documents and the First Lien Intercreditor Agreement. Each Holder, by accepting this Note, consents and agrees to the terms of the Collateral Documents (including the provisions providing for the foreclosure and release of Collateral) and the First Lien Intercreditor Agreement, each as may be in effect or may be amended from time to time in accordance with their terms and the Indenture, and authorizes and directs the Notes Collateral Agent to enter into the Collateral Documents and the First Lien Intercreditor Agreement on the Issue Date, if applicable, and to perform its obligations and exercise its rights thereunder in accordance therewith.</w:t>
      </w:r>
    </w:p>
    <w:p>
      <w:pPr>
        <w:spacing w:after="0" w:line="182" w:lineRule="exact"/>
        <w:rPr>
          <w:rFonts w:ascii="Times New Roman" w:cs="Times New Roman" w:eastAsia="Times New Roman" w:hAnsi="Times New Roman"/>
          <w:sz w:val="18"/>
          <w:szCs w:val="18"/>
          <w:color w:val="auto"/>
        </w:rPr>
      </w:pPr>
    </w:p>
    <w:p>
      <w:pPr>
        <w:ind w:left="-20" w:firstLine="656"/>
        <w:spacing w:after="0" w:line="258" w:lineRule="auto"/>
        <w:tabs>
          <w:tab w:leader="none" w:pos="124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INDENTURE, THIS NOTE AND THE NOTE GUARANTEES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WITHOUT REGARD TO THE CONFLICT OF LAWS PROVISIONS THEREOF. THE ISSUER, THE TRUSTEE AND EACH OF THE GUARANTORS HEREBY IRREVOCABLY WAIVES, TO THE FULLEST EXTENT PERMITTED BY APPLICABLE LAW, ANY AND ALL RIGHT TO TRIAL BY JURY IN ANY LEGAL PROCEEDING ARISING OUT OF OR RELATING TO THE INDENTURE, THIS NOTE OR THE TRANSACTIONS CONTEMPLATED THEREBY OR HEREBY.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South County Business Park, Leopardstown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Dublin 18, D18 X5R3, Ireland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FAO Group Treasurer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Phone: +353 1 291 2000</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5" w:right="339" w:bottom="1440" w:gutter="0" w:footer="0" w:header="0"/>
        </w:sectPr>
      </w:pPr>
    </w:p>
    <w:bookmarkStart w:id="226" w:name="page227"/>
    <w:bookmarkEnd w:id="226"/>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519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445770</wp:posOffset>
            </wp:positionV>
            <wp:extent cx="67208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300355</wp:posOffset>
            </wp:positionV>
            <wp:extent cx="67208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67208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-127635</wp:posOffset>
            </wp:positionV>
            <wp:extent cx="67208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7208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and irrevocably appoint __________ to transfer this Note on the books of the Issuer. The agent may substitute another to act for him.</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Signature: ______________</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 Guarantee*: _________</w:t>
      </w:r>
    </w:p>
    <w:p>
      <w:pPr>
        <w:spacing w:after="0" w:line="225" w:lineRule="exact"/>
        <w:rPr>
          <w:sz w:val="20"/>
          <w:szCs w:val="20"/>
          <w:color w:val="auto"/>
        </w:rPr>
      </w:pPr>
    </w:p>
    <w:p>
      <w:pPr>
        <w:ind w:left="5120" w:right="500" w:hanging="4464"/>
        <w:spacing w:after="0" w:line="736" w:lineRule="auto"/>
        <w:tabs>
          <w:tab w:leader="none" w:pos="79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Exhibit C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337" w:right="1359" w:bottom="1440" w:gutter="0" w:footer="0" w:header="0"/>
        </w:sectPr>
      </w:pPr>
    </w:p>
    <w:bookmarkStart w:id="227" w:name="page228"/>
    <w:bookmarkEnd w:id="227"/>
    <w:p>
      <w:pPr>
        <w:jc w:val="center"/>
        <w:ind w:right="-319"/>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4.02 of the First Supplemental Indenture, sign and return this form as directed.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Issuer pursuant to Section 4.02 of the First Supplemental Indenture, state the amount you elect to have purchased:</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left="5120" w:right="1840" w:hanging="5112"/>
        <w:spacing w:after="0" w:line="736" w:lineRule="auto"/>
        <w:tabs>
          <w:tab w:leader="none" w:pos="15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Exhibit C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7" w:right="659" w:bottom="1440" w:gutter="0" w:footer="0" w:header="0"/>
        </w:sectPr>
      </w:pPr>
    </w:p>
    <w:bookmarkStart w:id="228" w:name="page229"/>
    <w:bookmarkEnd w:id="228"/>
    <w:p>
      <w:pPr>
        <w:ind w:left="2800"/>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10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Global Note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of</w:t>
            </w:r>
          </w:p>
        </w:tc>
      </w:tr>
      <w:tr>
        <w:trPr>
          <w:trHeight w:val="216"/>
        </w:trPr>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Trustee or</w:t>
            </w:r>
          </w:p>
        </w:tc>
      </w:tr>
      <w:tr>
        <w:trPr>
          <w:trHeight w:val="238"/>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Note</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increase)</w:t>
            </w:r>
          </w:p>
        </w:tc>
        <w:tc>
          <w:tcPr>
            <w:tcW w:w="2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20" w:right="5100" w:hanging="5112"/>
        <w:spacing w:after="0" w:line="796" w:lineRule="auto"/>
        <w:tabs>
          <w:tab w:leader="none" w:pos="421"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This schedule should be included only if the Note is issued in global form. </w:t>
      </w:r>
      <w:r>
        <w:rPr>
          <w:rFonts w:ascii="Times New Roman" w:cs="Times New Roman" w:eastAsia="Times New Roman" w:hAnsi="Times New Roman"/>
          <w:sz w:val="17"/>
          <w:szCs w:val="17"/>
          <w:color w:val="auto"/>
        </w:rPr>
        <w:t>Exhibit C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 among (the “</w:t>
      </w:r>
      <w:r>
        <w:rPr>
          <w:rFonts w:ascii="Times New Roman" w:cs="Times New Roman" w:eastAsia="Times New Roman" w:hAnsi="Times New Roman"/>
          <w:sz w:val="18"/>
          <w:szCs w:val="18"/>
          <w:i w:val="1"/>
          <w:iCs w:val="1"/>
          <w:color w:val="auto"/>
        </w:rPr>
        <w:t>Guaranteeing Entity</w:t>
      </w:r>
      <w:r>
        <w:rPr>
          <w:rFonts w:ascii="Times New Roman" w:cs="Times New Roman" w:eastAsia="Times New Roman" w:hAnsi="Times New Roman"/>
          <w:sz w:val="18"/>
          <w:szCs w:val="18"/>
          <w:color w:val="auto"/>
        </w:rPr>
        <w:t>”), a parent or</w:t>
      </w:r>
    </w:p>
    <w:p>
      <w:pPr>
        <w:spacing w:after="0" w:line="29"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subsidiary of the Parent (as defined below), the other Guarantors (as defined in the Indenture referred to herein) and Citibank, N.A.,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Citibank, N.A., London Branch, as notes collateral agent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under the Indenture referred to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dated as of May 8, 2024, among ICON Investments Six Designated Activity Company, ICON public limited company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the Trustee, as amended and supplemented with respect to the Notes by the First Supplemental Indenture, dated as of May 8, 2024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the Base Indenture, as amended and supplemented with respect to the Notes by the First Supplemental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providing for the issuance of 5.809% Senior Secured Notes due 2027, 5.849% Senior Secured Notes due 2029 and 6.000% Senior Secured Notes due 2034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Entity shall execute and deliver to the Trustee a supplemental indenture pursuant to which the Guaranteeing Entity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pursuant to Section 9.01 of the Base Indenture, the Trustee is authorized to execute and deliver this Supplemental Indenture.</w:t>
      </w:r>
    </w:p>
    <w:p>
      <w:pPr>
        <w:spacing w:after="0" w:line="225"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Entity and the Trustee mutually covenant and agree for the equal and ratable benefit of the Holders of the Notes as follows:</w:t>
      </w:r>
    </w:p>
    <w:p>
      <w:pPr>
        <w:spacing w:after="0" w:line="176" w:lineRule="exact"/>
        <w:rPr>
          <w:sz w:val="20"/>
          <w:szCs w:val="20"/>
          <w:color w:val="auto"/>
        </w:rPr>
      </w:pPr>
    </w:p>
    <w:p>
      <w:pPr>
        <w:ind w:left="680" w:hanging="672"/>
        <w:spacing w:after="0"/>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720" w:firstLine="8"/>
        <w:spacing w:after="0" w:line="282" w:lineRule="auto"/>
        <w:tabs>
          <w:tab w:leader="none" w:pos="67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w:t>
      </w:r>
      <w:r>
        <w:rPr>
          <w:rFonts w:ascii="Times New Roman" w:cs="Times New Roman" w:eastAsia="Times New Roman" w:hAnsi="Times New Roman"/>
          <w:sz w:val="18"/>
          <w:szCs w:val="18"/>
          <w:color w:val="auto"/>
        </w:rPr>
        <w:t>. The Guaranteeing Entity hereby agrees to provide an unconditional Guarantee on the terms and subject to the conditions set forth in the Note Guarantee and in the Indenture including but not limited to Article 10 of the Base Indenture.</w:t>
      </w:r>
    </w:p>
    <w:p>
      <w:pPr>
        <w:spacing w:after="0" w:line="161" w:lineRule="exact"/>
        <w:rPr>
          <w:rFonts w:ascii="Times New Roman" w:cs="Times New Roman" w:eastAsia="Times New Roman" w:hAnsi="Times New Roman"/>
          <w:sz w:val="18"/>
          <w:szCs w:val="18"/>
          <w:color w:val="auto"/>
        </w:rPr>
      </w:pPr>
    </w:p>
    <w:p>
      <w:pPr>
        <w:ind w:right="80" w:firstLine="8"/>
        <w:spacing w:after="0" w:line="261" w:lineRule="auto"/>
        <w:tabs>
          <w:tab w:leader="none" w:pos="67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thers</w:t>
      </w:r>
      <w:r>
        <w:rPr>
          <w:rFonts w:ascii="Times New Roman" w:cs="Times New Roman" w:eastAsia="Times New Roman" w:hAnsi="Times New Roman"/>
          <w:sz w:val="18"/>
          <w:szCs w:val="18"/>
          <w:color w:val="auto"/>
        </w:rPr>
        <w:t>. No director, officer, employee, incorporator or stockholder of the Issuer or any Guarantor, as such, will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0" w:name="page231"/>
    <w:bookmarkEnd w:id="230"/>
    <w:p>
      <w:pPr>
        <w:jc w:val="both"/>
        <w:ind w:firstLine="8"/>
        <w:spacing w:after="0" w:line="252" w:lineRule="auto"/>
        <w:tabs>
          <w:tab w:leader="none" w:pos="7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WAIVER OF JURY TRIAL. THIS SUPPLEMENTAL INDENTURE SHALL BE GOVERNED BY, AND CONSTRUED IN ACCORDANCE WITH THE LAWS OF THE STATE OF NEW YORK WITHOUT REGARD TO THE CONFLICT OF LAWS PROVISIONS THEREOF. THE ISSUER AND THE GUARANTORS CONSENTS AND IRREVOCABLY SUBMITS TO THE JURISDICTION OF ANY NEW YORK STATE OR U.S. FEDERAL COURT LOCATED IN THE BOROUGH OF MANHATTAN, CITY OF NEW YORK, COUNTY OF NEW YORK, STATE OF NEW YORK IN RELATION TO ANY LEGAL ACTION OR PROCEEDING (I) ARISING OUT OF, RELATING TO OR IN CONNECTION WITH THE INDENTURE, AS SUPPLEMENTED, THE NOTES, THE GUARANTEES AND ANY RELATED DOCUMENTS AND/OR (II) ARISING UNDER ANY U.S. FEDERAL OR U.S. STATE SECURITIES LAWS IN RESPECT OF THE NOTES, THE GUARANTEES AND ANY SECURITIES ISSUED PURSUANT TO THE TERMS OF THE INDENTURE, AS SUPPLEMENTED. THE ISSUER AND THE GUARANTORS WAIVES ANY OBJECTION TO PROCEEDINGS IN ANY SUCH COURTS, WHETHER ON THE GROUND OF VENUE OR ON THE GROUND THAT THE PROCEEDINGS HAVE BEEN BROUGHT IN AN INCONVENIENT FORUM. THE ISSUER AND THE GUARANTORS, TO THE EXTENT ORGANIZED OUTSIDE OF THE UNITED STATES, SHALL APPOINT ICON US HOLDINGS INC. (ICON US HOLDINGS INC.,</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5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ARBOR WAY, SUITE 100, BLUE BELL PA 19422), AS ITS AGENT FOR SERVICE OF PROCESS IN ANY SUCH SUIT, ACTION OR PROCEEDING AND AGREES THAT SERVICE OF PROCESS UPON SAID AUTHORIZED AGENT SHALL BE DEEMED IN EVERY RESPECT EFFECTIVE SERVICE OF PROCESS UPON IT IN ANY SUCH SUIT, ACTION OR PROCEEDING. THE ISSUER AND THE GUARANTORS AGREES TO DELIVER, UPON THE EXECUTION AND DELIVERY OF THIS SUPPLEMENTAL INDENTURE, A WRITTEN ACCEPTANCE BY SUCH AGENT OF ITS APPOINTMENT AS SUCH AGENT. THE ISSUER AND THE GUARANTORS, TO THE EXTENT ORGANIZED OUTSIDE OF THE UNITED STATES, FURTHER AGREES TO TAKE ANY AND ALL ACTION, INCLUDING THE FILING OF ANY AND ALL SUCH DOCUMENTS AND INSTRUMENTS, AS MAY BE REASONABLY NECESSARY TO CONTINUE SUCH DESIGNATION AND APPOINTMENT OF CT CORPORATION SYSTEM IN FULL FORCE AND EFFECT FOR SO LONG AS THE INDENTURE, AS SUPPLEMENTED, REMAINS IN FORCE. THE ISSUER, THE TRUSTEE AND EACH OF THE GUARANTORS HEREBY IRREVOCABLY WAIVES, TO THE FULLEST EXTENT PERMITTED BY APPLICABLE LAW, ANY AND ALL RIGHT TO TRIAL BY JURY IN ANY LEGAL PROCEEDING ARISING OUT OF OR RELATING TO THIS SUPPLEMENTAL INDENTURE OR THE TRANSACTIONS CONTEMPLATED HEREBY.</w:t>
      </w:r>
    </w:p>
    <w:p>
      <w:pPr>
        <w:spacing w:after="0" w:line="192" w:lineRule="exact"/>
        <w:rPr>
          <w:rFonts w:ascii="Times New Roman" w:cs="Times New Roman" w:eastAsia="Times New Roman" w:hAnsi="Times New Roman"/>
          <w:sz w:val="18"/>
          <w:szCs w:val="18"/>
          <w:color w:val="auto"/>
        </w:rPr>
      </w:pPr>
    </w:p>
    <w:p>
      <w:pPr>
        <w:ind w:right="700" w:firstLine="8"/>
        <w:spacing w:after="0" w:line="282" w:lineRule="auto"/>
        <w:tabs>
          <w:tab w:leader="none" w:pos="67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(which may be provided via facsimile or other electronic transmission)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ffect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7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Entity and the Issuer.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D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1" w:name="page232"/>
    <w:bookmarkEnd w:id="231"/>
    <w:p>
      <w:pPr>
        <w:ind w:right="1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[GUARANTEEING ENTITY]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[EXISTING GUARANTORS]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Exhibit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337" w:right="75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c>
          <w:tcPr>
            <w:tcW w:w="0" w:type="dxa"/>
            <w:vAlign w:val="bottom"/>
          </w:tcPr>
          <w:p>
            <w:pPr>
              <w:spacing w:after="0"/>
              <w:rPr>
                <w:sz w:val="1"/>
                <w:szCs w:val="1"/>
                <w:color w:val="auto"/>
              </w:rPr>
            </w:pPr>
          </w:p>
        </w:tc>
      </w:tr>
      <w:tr>
        <w:trPr>
          <w:trHeight w:val="414"/>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80" w:type="dxa"/>
            <w:vAlign w:val="bottom"/>
          </w:tcPr>
          <w:p>
            <w:pPr>
              <w:jc w:val="center"/>
              <w:ind w:left="144"/>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ahill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ordon</w:t>
            </w:r>
            <w:r>
              <w:rPr>
                <w:rFonts w:ascii="Times New Roman" w:cs="Times New Roman" w:eastAsia="Times New Roman" w:hAnsi="Times New Roman"/>
                <w:sz w:val="18"/>
                <w:szCs w:val="18"/>
                <w:color w:val="auto"/>
              </w:rPr>
              <w:t xml:space="preserve"> &amp; R</w:t>
            </w:r>
            <w:r>
              <w:rPr>
                <w:rFonts w:ascii="Times New Roman" w:cs="Times New Roman" w:eastAsia="Times New Roman" w:hAnsi="Times New Roman"/>
                <w:sz w:val="12"/>
                <w:szCs w:val="12"/>
                <w:color w:val="auto"/>
              </w:rPr>
              <w:t>eindel llp</w:t>
            </w:r>
          </w:p>
        </w:tc>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8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auto"/>
              </w:rPr>
              <w:t>32 O</w:t>
            </w:r>
            <w:r>
              <w:rPr>
                <w:rFonts w:ascii="Times New Roman" w:cs="Times New Roman" w:eastAsia="Times New Roman" w:hAnsi="Times New Roman"/>
                <w:sz w:val="12"/>
                <w:szCs w:val="12"/>
                <w:color w:val="auto"/>
              </w:rPr>
              <w:t>ld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lip</w:t>
            </w:r>
          </w:p>
        </w:tc>
        <w:tc>
          <w:tcPr>
            <w:tcW w:w="2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8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NY 10005</w:t>
            </w:r>
          </w:p>
        </w:tc>
        <w:tc>
          <w:tcPr>
            <w:tcW w:w="2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DANIEL R. ANDERSON</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HELENA S. FRANCESCHI</w:t>
            </w:r>
          </w:p>
        </w:tc>
        <w:tc>
          <w:tcPr>
            <w:tcW w:w="268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TELEPHONE: (212) 701-3000</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JOHN MacGREGOR</w:t>
            </w:r>
          </w:p>
        </w:tc>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ANDREW SCHWARTZ</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PETER J. ARMENIO</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JOAN MURTAGH FRANKEL</w:t>
            </w:r>
          </w:p>
        </w:tc>
        <w:tc>
          <w:tcPr>
            <w:tcW w:w="2680" w:type="dxa"/>
            <w:vAlign w:val="bottom"/>
          </w:tcPr>
          <w:p>
            <w:pPr>
              <w:jc w:val="center"/>
              <w:ind w:left="164"/>
              <w:spacing w:after="0" w:line="149" w:lineRule="exact"/>
              <w:rPr>
                <w:sz w:val="20"/>
                <w:szCs w:val="20"/>
                <w:color w:val="auto"/>
              </w:rPr>
            </w:pPr>
            <w:r>
              <w:rPr>
                <w:rFonts w:ascii="Times New Roman" w:cs="Times New Roman" w:eastAsia="Times New Roman" w:hAnsi="Times New Roman"/>
                <w:sz w:val="14"/>
                <w:szCs w:val="14"/>
                <w:color w:val="auto"/>
              </w:rPr>
              <w:t>WWW.CAHILL.COM</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TRISTAN E. MANLEY</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DARREN SILVER</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HELENE R. BANKS</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JONATHAN J. FRANKEL</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___________</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BRIAN T. MARKLEY</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JOSIAH M. SLOTNICK</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ANIRUDH BANSAL</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SESI GARIMELLA</w:t>
            </w:r>
          </w:p>
        </w:tc>
        <w:tc>
          <w:tcPr>
            <w:tcW w:w="2680" w:type="dxa"/>
            <w:vAlign w:val="bottom"/>
            <w:vMerge w:val="restart"/>
          </w:tcPr>
          <w:p>
            <w:pPr>
              <w:jc w:val="center"/>
              <w:ind w:left="144"/>
              <w:spacing w:after="0"/>
              <w:rPr>
                <w:sz w:val="20"/>
                <w:szCs w:val="20"/>
                <w:color w:val="auto"/>
              </w:rPr>
            </w:pPr>
            <w:r>
              <w:rPr>
                <w:rFonts w:ascii="Times New Roman" w:cs="Times New Roman" w:eastAsia="Times New Roman" w:hAnsi="Times New Roman"/>
                <w:sz w:val="14"/>
                <w:szCs w:val="14"/>
                <w:color w:val="auto"/>
              </w:rPr>
              <w:t>1990 K STREET, N.W.</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MEGHAN N. McDERMOTT</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RICHARD A. STIEGLITZ JR.</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LANDIS C. BEST</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ARIEL GOLDMAN</w:t>
            </w:r>
          </w:p>
        </w:tc>
        <w:tc>
          <w:tcPr>
            <w:tcW w:w="2680" w:type="dxa"/>
            <w:vAlign w:val="bottom"/>
            <w:vMerge w:val="continue"/>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WILLIAM J. MILLER</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SUSANNA M. SUH</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BEVAN</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PATRICK GORDON</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WASHINGTON, DC 20006-1181</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EDWARD N. MOSS</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SEAN R. TIERNEY</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BROCKTON B. BOSSON</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JASON M. HALL</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(202) 862-8900</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JOEL MOSS</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AMIT TREHAN</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JONATHAN BROWNSON *</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STEPHEN HARPER</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NOAH B. NEWITZ</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JOHN A. TRIPODORO</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DONNA M. BRYAN</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CRAIG M. HOROWITZ</w:t>
            </w:r>
          </w:p>
        </w:tc>
        <w:tc>
          <w:tcPr>
            <w:tcW w:w="48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CAHILL GORDON &amp; REINDEL (UK) LLP WARREN NEWTON §</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HERBERT S. WASHER</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EMEKA C. CHINWUBA</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TIMOTHY B. HOWELL</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20 FENCHURCH STREET</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JULIANA OBREGON</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FRANK WEIGAND</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JOYDEEP CHOUDHURI *</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COLLEEN TRACY JAMES</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LONDON EC3M 3BY</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JAVIER ORTIZ</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MICHAEL B. WEISS</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J. CLARK</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DAVID G. JANUSZEWSKI</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+44 (0) 20 7920 9800</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DAVID R. OWEN</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MILES C. WILEY</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W. CLEMENT</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JAKE KEAVENY</w:t>
            </w:r>
          </w:p>
        </w:tc>
        <w:tc>
          <w:tcPr>
            <w:tcW w:w="26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___________</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JOHN PAPACHRISTOS</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DAVID WISHENGRAD</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AYANO K. CREED</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BRIAN S. KELLEHER</w:t>
            </w:r>
          </w:p>
        </w:tc>
        <w:tc>
          <w:tcPr>
            <w:tcW w:w="2680" w:type="dxa"/>
            <w:vAlign w:val="bottom"/>
            <w:vMerge w:val="restart"/>
          </w:tcPr>
          <w:p>
            <w:pPr>
              <w:jc w:val="center"/>
              <w:ind w:left="144"/>
              <w:spacing w:after="0"/>
              <w:rPr>
                <w:sz w:val="20"/>
                <w:szCs w:val="20"/>
                <w:color w:val="auto"/>
              </w:rPr>
            </w:pPr>
            <w:r>
              <w:rPr>
                <w:rFonts w:ascii="Times New Roman" w:cs="Times New Roman" w:eastAsia="Times New Roman" w:hAnsi="Times New Roman"/>
                <w:sz w:val="14"/>
                <w:szCs w:val="14"/>
                <w:color w:val="auto"/>
              </w:rPr>
              <w:t>WRITER’S DIRECT NUMBER</w:t>
            </w: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LUIS R. PENALVER</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 ANTHONY WOLFE</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PRUE CRIDDLE ±</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RICHARD KELLY</w:t>
            </w:r>
          </w:p>
        </w:tc>
        <w:tc>
          <w:tcPr>
            <w:tcW w:w="2680" w:type="dxa"/>
            <w:vAlign w:val="bottom"/>
            <w:vMerge w:val="continue"/>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SHEILA C. RAMESH</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ELIZABETH M. YAHL</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SEAN M. DAVIS</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CHÉRIE R. KISER ‡</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MICHAEL W. REDDY</w:t>
            </w:r>
          </w:p>
        </w:tc>
        <w:tc>
          <w:tcPr>
            <w:tcW w:w="22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 ADMITTED AS A</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STUART G. DOWNING</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JOEL KURTZBERG</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OLEG REZZY</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ADAM M. DWORKIN</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TED B. LACEY</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THOMAS ROCHER *</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SOLICITOR IN</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ANASTASIA EFIMOVA</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ANDREW E. LEE</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PETER J. ROONEY</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ENGLAND AND WALES ONLY</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SAMSON A. ENZER</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ALIZA R. LEVINE</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MATTHEW E. ROSENTHAL</w:t>
            </w:r>
          </w:p>
        </w:tc>
        <w:tc>
          <w:tcPr>
            <w:tcW w:w="22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 ADMITTED AS A</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Z. FANG</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JOEL H. LEVITIN</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THORN ROSENTHAL</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SOLICITOR IN</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GERALD J. FLATTMANN JR.</w:t>
            </w:r>
          </w:p>
        </w:tc>
        <w:tc>
          <w:tcPr>
            <w:tcW w:w="2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MARK LOFTUS</w:t>
            </w:r>
          </w:p>
        </w:tc>
        <w:tc>
          <w:tcPr>
            <w:tcW w:w="268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TAMMY L. ROY</w:t>
            </w: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WESTERN AUSTRALIA ONLY</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 ADMITTED IN DC ONLY</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 ADMITTED AS AN</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ATTORNEY</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 THE REPUBLIC OF SOUTH</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AFRICA ONLY</w:t>
            </w:r>
          </w:p>
        </w:tc>
        <w:tc>
          <w:tcPr>
            <w:tcW w:w="0" w:type="dxa"/>
            <w:vAlign w:val="bottom"/>
          </w:tcPr>
          <w:p>
            <w:pPr>
              <w:spacing w:after="0"/>
              <w:rPr>
                <w:sz w:val="1"/>
                <w:szCs w:val="1"/>
                <w:color w:val="auto"/>
              </w:rPr>
            </w:pPr>
          </w:p>
        </w:tc>
      </w:tr>
      <w:tr>
        <w:trPr>
          <w:trHeight w:val="415"/>
        </w:trPr>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80" w:type="dxa"/>
            <w:vAlign w:val="bottom"/>
          </w:tcPr>
          <w:p>
            <w:pPr>
              <w:jc w:val="center"/>
              <w:ind w:left="124"/>
              <w:spacing w:after="0"/>
              <w:rPr>
                <w:sz w:val="20"/>
                <w:szCs w:val="20"/>
                <w:color w:val="auto"/>
              </w:rPr>
            </w:pPr>
            <w:r>
              <w:rPr>
                <w:rFonts w:ascii="Times New Roman" w:cs="Times New Roman" w:eastAsia="Times New Roman" w:hAnsi="Times New Roman"/>
                <w:sz w:val="18"/>
                <w:szCs w:val="18"/>
                <w:color w:val="auto"/>
                <w:w w:val="99"/>
              </w:rPr>
              <w:t>(212) 701-3000</w:t>
            </w:r>
          </w:p>
        </w:tc>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May 8,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public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County Business Park, Leopardstown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18, D18 X5R3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ICON plc, an Irish public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ICON Investments Six Designated Activity Company, an Irish designated activity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in connection with the Issuer’s offering pursuant to a registration statement on Form F-3 (No. 333-278943), dated as of April 26, 2024 (including the documents incorporated by reference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prospectus, dated as of April 26, 2024, as supplemented by the prospectus supplement thereto, dated as of April 30, 2024 (together,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of (i) $750,000,000 aggregate principal amount of 5.809% Senior Secured Notes due 2027 (the “</w:t>
      </w:r>
      <w:r>
        <w:rPr>
          <w:rFonts w:ascii="Times New Roman" w:cs="Times New Roman" w:eastAsia="Times New Roman" w:hAnsi="Times New Roman"/>
          <w:sz w:val="18"/>
          <w:szCs w:val="18"/>
          <w:u w:val="single" w:color="auto"/>
          <w:color w:val="auto"/>
        </w:rPr>
        <w:t>2027 Notes</w:t>
      </w:r>
      <w:r>
        <w:rPr>
          <w:rFonts w:ascii="Times New Roman" w:cs="Times New Roman" w:eastAsia="Times New Roman" w:hAnsi="Times New Roman"/>
          <w:sz w:val="18"/>
          <w:szCs w:val="18"/>
          <w:color w:val="auto"/>
        </w:rPr>
        <w:t>”), (ii) $750,000,000 aggregate principal amount of 5.849% Senior Secured Notes due 2029 (the “</w:t>
      </w:r>
      <w:r>
        <w:rPr>
          <w:rFonts w:ascii="Times New Roman" w:cs="Times New Roman" w:eastAsia="Times New Roman" w:hAnsi="Times New Roman"/>
          <w:sz w:val="18"/>
          <w:szCs w:val="18"/>
          <w:u w:val="single" w:color="auto"/>
          <w:color w:val="auto"/>
        </w:rPr>
        <w:t>2029 Notes</w:t>
      </w:r>
      <w:r>
        <w:rPr>
          <w:rFonts w:ascii="Times New Roman" w:cs="Times New Roman" w:eastAsia="Times New Roman" w:hAnsi="Times New Roman"/>
          <w:sz w:val="18"/>
          <w:szCs w:val="18"/>
          <w:color w:val="auto"/>
        </w:rPr>
        <w:t>”) and (iii) $500,000,000 aggregate principal amount of 6.000% Senior Secured Notes due 2034 (the “</w:t>
      </w:r>
      <w:r>
        <w:rPr>
          <w:rFonts w:ascii="Times New Roman" w:cs="Times New Roman" w:eastAsia="Times New Roman" w:hAnsi="Times New Roman"/>
          <w:sz w:val="18"/>
          <w:szCs w:val="18"/>
          <w:u w:val="single" w:color="auto"/>
          <w:color w:val="auto"/>
        </w:rPr>
        <w:t>2034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together with the 2027 Notes and the 2029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Notes were issued under a base indenture, dated as of May 8,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among the Issuer, the Company, and Citibank, N.A.,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that certain First Supplemental Indenture, dated as of May 8, 2024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Company, the other guarantors from time to time party thereto (together with the Company,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Trustee and Citibank, N.A., London Branch, as notes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18"/>
          <w:szCs w:val="18"/>
          <w:color w:val="auto"/>
        </w:rPr>
        <w:t>In rendering the opinions set forth herein, we have examined, among other documents, the following documents:</w:t>
      </w:r>
    </w:p>
    <w:p>
      <w:pPr>
        <w:spacing w:after="0" w:line="225" w:lineRule="exact"/>
        <w:rPr>
          <w:sz w:val="20"/>
          <w:szCs w:val="20"/>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April 30, 2024 among the Issuer, the Company, the guarantors party thereto and the several underwriters party thereto;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Guarantees (as defined in the Supplemental Indenture) issued on the date of this letter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Notes in global form as executed by the Issuer and authenticated by the Trustee;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respective organizational documents certified by the secretary (or assistant secretary) of each Subsidiary Guarantor listed on Schedule I hereto and incorporated as a corporation in the State of Delaware (each, a “</w:t>
      </w:r>
      <w:r>
        <w:rPr>
          <w:rFonts w:ascii="Times New Roman" w:cs="Times New Roman" w:eastAsia="Times New Roman" w:hAnsi="Times New Roman"/>
          <w:sz w:val="18"/>
          <w:szCs w:val="18"/>
          <w:u w:val="single" w:color="auto"/>
          <w:color w:val="auto"/>
        </w:rPr>
        <w:t>Delaware Corporate 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each Subsidiary Guarantor listed on Schedule I hereto and formed as a limited liability company in the State of Delaware (each, a “</w:t>
      </w:r>
      <w:r>
        <w:rPr>
          <w:rFonts w:ascii="Times New Roman" w:cs="Times New Roman" w:eastAsia="Times New Roman" w:hAnsi="Times New Roman"/>
          <w:sz w:val="18"/>
          <w:szCs w:val="18"/>
          <w:u w:val="single" w:color="auto"/>
          <w:color w:val="auto"/>
        </w:rPr>
        <w:t>Delaware LLC Subsidiary Guarantor</w:t>
      </w:r>
      <w:r>
        <w:rPr>
          <w:rFonts w:ascii="Times New Roman" w:cs="Times New Roman" w:eastAsia="Times New Roman" w:hAnsi="Times New Roman"/>
          <w:sz w:val="18"/>
          <w:szCs w:val="18"/>
          <w:color w:val="auto"/>
        </w:rPr>
        <w:t>” and, together with the Delaware Corporate Subsidiary Guarantors, the “</w:t>
      </w:r>
      <w:r>
        <w:rPr>
          <w:rFonts w:ascii="Times New Roman" w:cs="Times New Roman" w:eastAsia="Times New Roman" w:hAnsi="Times New Roman"/>
          <w:sz w:val="18"/>
          <w:szCs w:val="18"/>
          <w:u w:val="single" w:color="auto"/>
          <w:color w:val="auto"/>
        </w:rPr>
        <w:t>Delaware Guarantors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relied, without independent verification as to all matters of fact, upon certificates and written statements of officers of the Issuer and the Guarantors and we have assumed (i) the genuineness of all signatures, the authenticity of all documents submitted to us as originals and the conformity to the originals of all documents submitted to us as copies, (ii) the Issuer and each Guarantor (other than the Delaware Guarantors) has been duly incorporated and is a validly existing company under the laws of its respective jurisdiction of organization, (iii) the Base Indenture has been duly authorized, executed and delivered by the Company and the Issuer, (iv) the Supplemental Indenture has been duly authorized, executed and delivered by the Issuer and the Guarantors (other than the Delaware Guarantors), (v) the Base Indenture has been duly authorized, executed and delivered by the Trustee, (vi) the Supplemental Indenture has been duly authorized, executed and delivered by each of the Trustee and the Notes Collateral Agent and (vii) the opinion letters of (a) A&amp;L Goodbody, which is being furnished as Exhibit 5.2 to the Current Report on Form 6-K of the Company dated May 8, 2024 (the “</w:t>
      </w:r>
      <w:r>
        <w:rPr>
          <w:rFonts w:ascii="Times New Roman" w:cs="Times New Roman" w:eastAsia="Times New Roman" w:hAnsi="Times New Roman"/>
          <w:sz w:val="18"/>
          <w:szCs w:val="18"/>
          <w:u w:val="single" w:color="auto"/>
          <w:color w:val="auto"/>
        </w:rPr>
        <w:t>6-K</w:t>
      </w:r>
      <w:r>
        <w:rPr>
          <w:rFonts w:ascii="Times New Roman" w:cs="Times New Roman" w:eastAsia="Times New Roman" w:hAnsi="Times New Roman"/>
          <w:sz w:val="18"/>
          <w:szCs w:val="18"/>
          <w:color w:val="auto"/>
        </w:rPr>
        <w:t>”), (b) Loyens &amp; Loeff Luxembourg SARL, which is being furnished as Exhibit 5.3 to the 6-K, (c) McGuireWoods LLP, which is being furnished as Exhibit 5.4 to the 6-K and (d) Locke Lord LLP, which is being furnished as Exhibit 5.5 to the 6-K, are accurate at the time of any offer or sale of the Notes and the Guarantee of the Notes by the Guarantors.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4" w:name="page235"/>
    <w:bookmarkEnd w:id="23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exceptions, qualifications and limitations set forth herein, we are of the opinion that, when the Notes are authenticated in accordance with the provisions of the Indenture and delivered and paid for as contemplated in the Registration Statement, as amended:</w:t>
      </w:r>
    </w:p>
    <w:p>
      <w:pPr>
        <w:spacing w:after="0" w:line="176" w:lineRule="exact"/>
        <w:rPr>
          <w:sz w:val="20"/>
          <w:szCs w:val="20"/>
          <w:color w:val="auto"/>
        </w:rPr>
      </w:pPr>
    </w:p>
    <w:p>
      <w:pPr>
        <w:ind w:left="660" w:right="780" w:firstLine="1292"/>
        <w:spacing w:after="0" w:line="282" w:lineRule="auto"/>
        <w:tabs>
          <w:tab w:leader="none" w:pos="217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constitute legal, valid and binding obligations of the Issuer thereof, enforceable against the Issuer in accordance with their respective terms, and</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22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will constitute legal, valid and binding obligations of each Guarantor, enforceable against such Guarantor in accordance with their terms.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exceptions, qualifications, limitations, and assumptions:</w:t>
      </w:r>
    </w:p>
    <w:p>
      <w:pPr>
        <w:spacing w:after="0" w:line="225" w:lineRule="exact"/>
        <w:rPr>
          <w:sz w:val="20"/>
          <w:szCs w:val="20"/>
          <w:color w:val="auto"/>
        </w:rPr>
      </w:pPr>
    </w:p>
    <w:p>
      <w:pPr>
        <w:ind w:right="520" w:firstLine="656"/>
        <w:spacing w:after="0" w:line="266" w:lineRule="auto"/>
        <w:tabs>
          <w:tab w:leader="none" w:pos="127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members of the bar of the State of New York, and in rendering this opinion we express no opinion as to the laws of any jurisdiction other than the laws of the State of New York, the General Corporation Law of the State of Delaware and the Delaware Limited Liability Company Act.</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126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and (iii) the effects of the possible judicial application of foreign laws.</w:t>
      </w:r>
    </w:p>
    <w:p>
      <w:pPr>
        <w:spacing w:after="0" w:line="183" w:lineRule="exact"/>
        <w:rPr>
          <w:rFonts w:ascii="Times New Roman" w:cs="Times New Roman" w:eastAsia="Times New Roman" w:hAnsi="Times New Roman"/>
          <w:sz w:val="18"/>
          <w:szCs w:val="18"/>
          <w:color w:val="auto"/>
        </w:rPr>
      </w:pPr>
    </w:p>
    <w:p>
      <w:pPr>
        <w:ind w:right="20" w:firstLine="656"/>
        <w:spacing w:after="0" w:line="254" w:lineRule="auto"/>
        <w:tabs>
          <w:tab w:leader="none" w:pos="126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regarding the effectiveness of (i) any waiver of stay, extension or usury laws or of unknown future rights, (ii) any waiver (whether or not stated as such) under the Indenture or any other applicable document of, or any consent thereunder relating to, unknown future rights or the rights of any party thereto existing, or duties owing to it, as a matter of law, (iii) any waiver (whether or not stated as such) contained in the Indenture or any other applicable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securities laws or due to the negligence or willful misconduct of an indemnified party, (v) any purported fraudulent transfer “savings” clause, or (vi) any provision to the effect that every right or remedy is cumulative and may be exercised in addition to any other right or remedy or that the election of some particular remedy does not preclude recourse to one or more others.</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35" w:name="page236"/>
    <w:bookmarkEnd w:id="235"/>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For purposes of this opinion, we have also examined and relied without investigation upon the accuracy of the opinion letters of (i) A&amp;L Goodbody, dated the date hereof and furnished as Exhibit 5.2 to the 6-K, (ii) Loyens &amp; Loeff Luxembourg SARL, dated the date hereof and furnished as Exhibit 5.3 to the 6-K, (iii) McGuireWoods LLP, dated the date hereof and furnished as Exhibit 5.4 to the 6-K and (iv) Locke Lord LLP, dated the date hereof and furnished as Exhibit 5.5 to the 6-K.</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firm’s name under the caption “Legal Matters” in the Prospectus and to the furnishing of this opinion with the Commission as an exhibit to the 6-K. In giving such consent we do not hereby admit that we are within the category of persons whose consent is required under Section 7 of the Act or the rules and regulations of the Commission thereunder.</w:t>
      </w:r>
    </w:p>
    <w:p>
      <w:pPr>
        <w:spacing w:after="0" w:line="3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Cahill Gordon &amp; Reindel LLP</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CORPORATIONS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Beacon Bioscience, Inc.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ICON Laboratory Services, Inc.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MolecularMD Corp.</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ICON US Holdings Inc.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PRA Health Sciences, Inc.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ReSearch Pharmaceutical Services, Inc.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Symphony Health Solutions Corporation</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PRA Holdings,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LIMITED LIABILITY COMPANIES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ICON Clinical Research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PriceSpective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ICON Clinical Investments,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Source Healthcare Analytics,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CRN Holdings,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PRA International,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Roy RPS Holdings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RPS Global Holdings, LLC</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RPS Parent Holding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7" w:name="page238"/>
    <w:bookmarkEnd w:id="237"/>
    <w:tbl>
      <w:tblPr>
        <w:tblLayout w:type="fixed"/>
        <w:tblInd w:w="620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tc>
      </w:tr>
      <w:tr>
        <w:trPr>
          <w:trHeight w:val="342"/>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333333"/>
              </w:rPr>
              <w:t>A&amp;L Goodbody LLP</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Dublin</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333333"/>
              </w:rPr>
              <w:t>3 Dublin Landings</w:t>
            </w: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333333"/>
              </w:rPr>
              <w:t>Belfast</w:t>
            </w: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333333"/>
              </w:rPr>
              <w:t>North Wall Quay, Dublin 1</w:t>
            </w: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333333"/>
              </w:rPr>
              <w:t>London</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333333"/>
              </w:rPr>
              <w:t>D01 C4E0</w:t>
            </w: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333333"/>
              </w:rPr>
              <w:t>New York</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333333"/>
              </w:rPr>
              <w:t>T: +353 1 649 2000</w:t>
            </w: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333333"/>
              </w:rPr>
              <w:t>San Francisco</w:t>
            </w:r>
          </w:p>
        </w:tc>
      </w:tr>
      <w:tr>
        <w:trPr>
          <w:trHeight w:val="18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333333"/>
              </w:rPr>
              <w:t>DX: 29 Dublin | www.algoodbody.com</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Palo Alto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-575945</wp:posOffset>
            </wp:positionV>
            <wp:extent cx="8255" cy="5657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2143125" cy="3517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43125" cy="3517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333333"/>
              </w:rPr>
              <w:t>Date</w:t>
            </w:r>
          </w:p>
        </w:tc>
        <w:tc>
          <w:tcPr>
            <w:tcW w:w="20" w:type="dxa"/>
            <w:vAlign w:val="bottom"/>
            <w:shd w:val="clear" w:color="auto" w:fill="1A1A1A"/>
          </w:tcPr>
          <w:p>
            <w:pPr>
              <w:spacing w:after="0"/>
              <w:rPr>
                <w:sz w:val="18"/>
                <w:szCs w:val="18"/>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1A1A1A"/>
                <w:w w:val="96"/>
              </w:rPr>
              <w:t>8 May 2024</w:t>
            </w: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333333"/>
              </w:rPr>
              <w:t>Our ref</w:t>
            </w:r>
          </w:p>
        </w:tc>
        <w:tc>
          <w:tcPr>
            <w:tcW w:w="20" w:type="dxa"/>
            <w:vAlign w:val="bottom"/>
          </w:tcPr>
          <w:p>
            <w:pPr>
              <w:spacing w:after="0"/>
              <w:rPr>
                <w:sz w:val="18"/>
                <w:szCs w:val="18"/>
                <w:color w:val="auto"/>
              </w:rPr>
            </w:pP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1A1A1A"/>
              </w:rPr>
              <w:t>01445620</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20" w:type="dxa"/>
            <w:vAlign w:val="bottom"/>
            <w:shd w:val="clear" w:color="auto" w:fill="1A1A1A"/>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333333"/>
              </w:rPr>
              <w:t>Your ref</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20" w:type="dxa"/>
            <w:vAlign w:val="bottom"/>
            <w:shd w:val="clear" w:color="auto" w:fill="1A1A1A"/>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ICON Public Limited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South County Business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Leopardstown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Dublin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Dublin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D18X5R3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Addressee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acted on the behalf of the companies listed in Schedule 1 hereto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have requested us to give you this opinion in connection with the offering by ICON Investments Six DAC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of USD$2,000,000,000 aggregate principal amount of: (i) 5.809% USD$750,000,000 Senior Secured Notes due 2027; (ii) 5.849% USD$750,000,000 Senior Secured Notes due 2029; and (iii) 6% USD$500,000,000 Senior Secured Notes due 2034 pursuant to a base indenture between, among others, the Issuer, ICON public limited company (</w:t>
      </w:r>
      <w:r>
        <w:rPr>
          <w:rFonts w:ascii="Times New Roman" w:cs="Times New Roman" w:eastAsia="Times New Roman" w:hAnsi="Times New Roman"/>
          <w:sz w:val="18"/>
          <w:szCs w:val="18"/>
          <w:b w:val="1"/>
          <w:bCs w:val="1"/>
          <w:color w:val="auto"/>
        </w:rPr>
        <w:t>ICON plc</w:t>
      </w:r>
      <w:r>
        <w:rPr>
          <w:rFonts w:ascii="Times New Roman" w:cs="Times New Roman" w:eastAsia="Times New Roman" w:hAnsi="Times New Roman"/>
          <w:sz w:val="18"/>
          <w:szCs w:val="18"/>
          <w:color w:val="auto"/>
        </w:rPr>
        <w:t xml:space="preserve">), and Citibank,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as supplemented by a supplemental indenture for each series of Notes between, amongst others, the Issuer, ICON plc, the other guarantors party thereto, the Trustee, and Citibank, N.A., London Brach, as notes collateral agent (the </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 and an underwriting agreement between, amongst others, the Issuer, ICON plc as parent and as a guarantor, the other guarantors as listed therein and Citigroup Global Markets Inc., HSBC Securities (USA)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J.P. Morgan Securities LLC, Morgan Stanley &amp; Co. LLC and Santander US Capital Markets LLC as representatives of the underwriters listed therein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offer and sale of the Notes is being made pursuant to the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26 April 2024 (File No. 333-278943) by ICON plc and the Issuer which Registration Statement includes a prospectus dated 26 April 2024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as supplemented by the preliminary prospectus dated 26 April 2024 and the final prospectus supplement dated as of 30 April 2024 relating to the issuance by the Issuer of the Notes.</w:t>
      </w:r>
    </w:p>
    <w:p>
      <w:pPr>
        <w:spacing w:after="0" w:line="180" w:lineRule="exact"/>
        <w:rPr>
          <w:sz w:val="20"/>
          <w:szCs w:val="20"/>
          <w:color w:val="auto"/>
        </w:rPr>
      </w:pPr>
    </w:p>
    <w:p>
      <w:pPr>
        <w:ind w:left="560" w:hanging="552"/>
        <w:spacing w:after="0"/>
        <w:tabs>
          <w:tab w:leader="none" w:pos="5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examined pdf copies of:</w:t>
      </w:r>
    </w:p>
    <w:p>
      <w:pPr>
        <w:spacing w:after="0" w:line="225"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the base indenture dated 8 May 2024, including the guarantees contained therein, between among others, the Issuer, ICON plc,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a supplemental indenture dated 8 May 2024 in respect of the Notes (as defined below), including the guarantees contained therein, between, amongst others, the Issuer, ICON plc, the other Companies as guarantors, the Trustee and the Notes Collateral Agent (the </w:t>
      </w:r>
      <w:r>
        <w:rPr>
          <w:rFonts w:ascii="Times New Roman" w:cs="Times New Roman" w:eastAsia="Times New Roman" w:hAnsi="Times New Roman"/>
          <w:sz w:val="18"/>
          <w:szCs w:val="18"/>
          <w:b w:val="1"/>
          <w:bCs w:val="1"/>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 xml:space="preserve">the notes issued pursuant to the Base Indenture and the Supplemental Indenture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4D4D4D"/>
        </w:rPr>
        <w:t>CE Gill • JG Grennan • PD White • VJ Power • SM Doggett • M Sherlock • KP Allen • C Rogers • G O’Toole • JN Kelly • N O’Sullivan • MJ Ward • D Widger • C Christle • S Ó Cróinin DR Baxter • A McCarthy • JF Whelan • JB Somerville • MF Barr • AM Curran • A Roberts • RM Moore • D Main • J Cahir • M Traynor • PM Murray • P Walker • K Furlong PT Fahy • D Inverarity</w:t>
      </w:r>
    </w:p>
    <w:p>
      <w:pPr>
        <w:jc w:val="both"/>
        <w:ind w:firstLine="8"/>
        <w:spacing w:after="0" w:line="221" w:lineRule="auto"/>
        <w:tabs>
          <w:tab w:leader="none" w:pos="90" w:val="left"/>
        </w:tabs>
        <w:numPr>
          <w:ilvl w:val="0"/>
          <w:numId w:val="261"/>
        </w:numPr>
        <w:rPr>
          <w:rFonts w:ascii="Times New Roman" w:cs="Times New Roman" w:eastAsia="Times New Roman" w:hAnsi="Times New Roman"/>
          <w:sz w:val="14"/>
          <w:szCs w:val="14"/>
          <w:color w:val="4D4D4D"/>
        </w:rPr>
      </w:pPr>
      <w:r>
        <w:rPr>
          <w:rFonts w:ascii="Times New Roman" w:cs="Times New Roman" w:eastAsia="Times New Roman" w:hAnsi="Times New Roman"/>
          <w:sz w:val="14"/>
          <w:szCs w:val="14"/>
          <w:color w:val="4D4D4D"/>
        </w:rPr>
        <w:t>M Coghlan • DR Francis • A Casey • B Hosty • M O’Brien • L Mulleady • K Ryan • E Hurley • D Dagostino • R Grey • R Lyons • J Sheehy • C Carroll • SE Carson P Diggin • J Williams • A O’Beirne • J Dallas • SM Lynch • M McElhinney • C Owens • AD Ion • K O'Connor • JH Milne • T Casey • M Doyle • CJ Comerford • R Marron • K O'Shaughnessy S O'Connor • SE Murphy • D Nangle • C Ó Conluain • N McMahon • HP Brandt • A Sheridan • N Cole • M Devane • D Fitzgerald • G McDonald • N Meehan • R O'Driscoll • B O'Malley C Bollard • M Daly • D Geraghty</w:t>
      </w:r>
    </w:p>
    <w:p>
      <w:pPr>
        <w:ind w:right="20" w:firstLine="8"/>
        <w:spacing w:after="0" w:line="239" w:lineRule="auto"/>
        <w:tabs>
          <w:tab w:leader="none" w:pos="87" w:val="left"/>
        </w:tabs>
        <w:numPr>
          <w:ilvl w:val="0"/>
          <w:numId w:val="261"/>
        </w:numPr>
        <w:rPr>
          <w:rFonts w:ascii="Times New Roman" w:cs="Times New Roman" w:eastAsia="Times New Roman" w:hAnsi="Times New Roman"/>
          <w:sz w:val="14"/>
          <w:szCs w:val="14"/>
          <w:color w:val="4D4D4D"/>
        </w:rPr>
      </w:pPr>
      <w:r>
        <w:rPr>
          <w:rFonts w:ascii="Times New Roman" w:cs="Times New Roman" w:eastAsia="Times New Roman" w:hAnsi="Times New Roman"/>
          <w:sz w:val="14"/>
          <w:szCs w:val="14"/>
          <w:color w:val="4D4D4D"/>
        </w:rPr>
        <w:t>LC Kennedy • E Mulhern • E O'Keeffe • MJ Ellis • D Griffin • D McElroy • C Culleton • B Nic Suibhne • S Quinlivan • J Rattigan • K Mulhern A Muldowney • L Dunne • A Burke • C Bergin • P Fogarty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D4D4D"/>
        </w:rPr>
        <w:t>Consultants: Professor JCW Wylie • MA Greene • AV Fanagan • PM Law • SW Haughey • PV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38" w:name="page239"/>
    <w:bookmarkEnd w:id="238"/>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2143125" cy="3511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51155"/>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8"/>
          <w:szCs w:val="18"/>
          <w:color w:val="auto"/>
        </w:rPr>
        <w:t xml:space="preserve">the underwriting agreement between dated 30 April 2024, amongst others, the Issuer, ICON plc as parent and as a guarantor, the other Companies as guarantors and Citigroup Global Markets Inc., HSBC Securities (USA) Inc., J.P. Morgan Securities LLC, Morgan Stanley &amp; Co. LLC and Santander US Capital Markets LLC as underwriters listed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the form F-3 registration statement dated 26 April 2024 executed by each of the Companies;</w:t>
      </w:r>
    </w:p>
    <w:p>
      <w:pPr>
        <w:spacing w:after="0" w:line="22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 xml:space="preserve">the preliminary prospectus supplement dated 26 April 2024 relating to the Notes (the </w:t>
      </w:r>
      <w:r>
        <w:rPr>
          <w:rFonts w:ascii="Times New Roman" w:cs="Times New Roman" w:eastAsia="Times New Roman" w:hAnsi="Times New Roman"/>
          <w:sz w:val="17"/>
          <w:szCs w:val="17"/>
          <w:b w:val="1"/>
          <w:bCs w:val="1"/>
          <w:color w:val="auto"/>
        </w:rPr>
        <w:t>Preliminary Prospectus Supplement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 xml:space="preserve">the final prospectus supplement dated 30 April 2024 relating to the Notes (the </w:t>
      </w:r>
      <w:r>
        <w:rPr>
          <w:rFonts w:ascii="Times New Roman" w:cs="Times New Roman" w:eastAsia="Times New Roman" w:hAnsi="Times New Roman"/>
          <w:sz w:val="17"/>
          <w:szCs w:val="17"/>
          <w:b w:val="1"/>
          <w:bCs w:val="1"/>
          <w:color w:val="auto"/>
        </w:rPr>
        <w:t>Final Prospectus Supplement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documents above, excluding the Preliminary Prospectus Supplement and the Final Prospectus Supplement, are the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 xml:space="preserve">a corporate certificate dated on or about the date hereof (the </w:t>
      </w:r>
      <w:r>
        <w:rPr>
          <w:rFonts w:ascii="Times New Roman" w:cs="Times New Roman" w:eastAsia="Times New Roman" w:hAnsi="Times New Roman"/>
          <w:sz w:val="17"/>
          <w:szCs w:val="17"/>
          <w:b w:val="1"/>
          <w:bCs w:val="1"/>
          <w:color w:val="auto"/>
        </w:rPr>
        <w:t>Certificate</w:t>
      </w:r>
      <w:r>
        <w:rPr>
          <w:rFonts w:ascii="Times New Roman" w:cs="Times New Roman" w:eastAsia="Times New Roman" w:hAnsi="Times New Roman"/>
          <w:sz w:val="17"/>
          <w:szCs w:val="17"/>
          <w:color w:val="auto"/>
        </w:rPr>
        <w:t>) of each Company attaching:</w:t>
      </w:r>
    </w:p>
    <w:p>
      <w:pPr>
        <w:spacing w:after="0" w:line="229"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copies of the certificate of incorporation, the certificate on change of name (as applicable) and the constitution of each Company;</w:t>
      </w:r>
    </w:p>
    <w:p>
      <w:pPr>
        <w:spacing w:after="0" w:line="225" w:lineRule="exact"/>
        <w:rPr>
          <w:sz w:val="20"/>
          <w:szCs w:val="20"/>
          <w:color w:val="auto"/>
        </w:rPr>
      </w:pPr>
    </w:p>
    <w:p>
      <w:pPr>
        <w:jc w:val="both"/>
        <w:ind w:left="1320" w:hanging="755"/>
        <w:spacing w:after="0" w:line="266" w:lineRule="auto"/>
        <w:tabs>
          <w:tab w:leader="none" w:pos="130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in respect of the Certificate of ICON plc only, an extract of the minutes of a meeting of the board of directors of ICON plc held on 23 April 2024 and in respect of each other Company, a copy of the minutes of a meeting of the board of directors of such Company held on 25 April 2024;</w:t>
      </w:r>
    </w:p>
    <w:p>
      <w:pPr>
        <w:spacing w:after="0" w:line="176"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in respect of the Issuer, a copy of the minutes of a meeting of the board of directors held on 7 May 2024; and</w:t>
      </w:r>
    </w:p>
    <w:p>
      <w:pPr>
        <w:spacing w:after="0" w:line="225"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a copy of the power of attorney of each Company dated 25 April 2024;</w:t>
      </w:r>
    </w:p>
    <w:p>
      <w:pPr>
        <w:spacing w:after="0" w:line="225"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color w:val="auto"/>
        </w:rPr>
        <w:t>in respect of the Issuer, a copy of the power of attorney dated 7 May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such other documents as we have considered necessary or desirable to examine in order that we may give this opinion.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Capitalised terms used but not defined herein shall have their meaning assigned to them in the Underwriting Agreement.</w:t>
      </w:r>
    </w:p>
    <w:p>
      <w:pPr>
        <w:spacing w:after="0" w:line="225" w:lineRule="exact"/>
        <w:rPr>
          <w:sz w:val="20"/>
          <w:szCs w:val="20"/>
          <w:color w:val="auto"/>
        </w:rPr>
      </w:pPr>
    </w:p>
    <w:p>
      <w:pPr>
        <w:ind w:left="560" w:hanging="552"/>
        <w:spacing w:after="0"/>
        <w:tabs>
          <w:tab w:leader="none" w:pos="5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giving this opinion we have assumed:</w:t>
      </w:r>
    </w:p>
    <w:p>
      <w:pPr>
        <w:spacing w:after="0" w:line="225"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authenticity of all documents submitted to us as originals and the completeness and conformity to the originals of all copies of documents of any kind furnished to us;</w:t>
      </w:r>
    </w:p>
    <w:p>
      <w:pPr>
        <w:spacing w:after="0" w:line="162"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that the copies produced to us of minutes of meetings and/or of resolutions are true copies and correctly record the proceedings of such meetings and/or the subject-matter which they purport to record and that any meetings referred to in such copies were duly convened and held and that all resolutions set out in such minutes were duly passed and are in full force and effect;</w:t>
      </w:r>
    </w:p>
    <w:p>
      <w:pPr>
        <w:spacing w:after="0" w:line="176"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genuineness of all the signatures (electronic or otherwise), stamps and seals on all original and copy documents which we have examined, and that any signatures (electronic or otherwise) are the signatures of the persons who they purport to be, that each witness to a signature (electronic or otherwise) actually physically witnessed that signature, and that each original was executed in the manner appearing on the copy;</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39" w:name="page240"/>
    <w:bookmarkEnd w:id="239"/>
    <w:p>
      <w:pPr>
        <w:jc w:val="both"/>
        <w:ind w:left="560" w:hanging="552"/>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143125" cy="3511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51155"/>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color w:val="auto"/>
        </w:rPr>
        <w:t>that each party to each of the Agreements has consented to the execution by each Company by way of electronic signature (where applicable) and that where each Agreement has been executed on behalf of the Company using a software platform, that enables an advanced electronic signature or a qualified electronic signature to be applied to the Agreement, each such signature was applied under the authority and control of the relevant signatory;</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that the constitution and/or memorandum and articles of association of each Company is correct and up to date;</w:t>
      </w:r>
    </w:p>
    <w:p>
      <w:pPr>
        <w:spacing w:after="0" w:line="225" w:lineRule="exact"/>
        <w:rPr>
          <w:sz w:val="20"/>
          <w:szCs w:val="20"/>
          <w:color w:val="auto"/>
        </w:rPr>
      </w:pPr>
    </w:p>
    <w:p>
      <w:pPr>
        <w:jc w:val="both"/>
        <w:ind w:left="560"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accuracy and completeness as to factual matters of the representations and warranties of each Company contained in the Agreements and the accuracy of all Certificates provided to us by each Company;</w:t>
      </w:r>
    </w:p>
    <w:p>
      <w:pPr>
        <w:spacing w:after="0" w:line="162"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that there are no agreements or arrangements in existence which in any way amend or vary the terms of the Transaction as disclosed by the Agreements;</w:t>
      </w:r>
    </w:p>
    <w:p>
      <w:pPr>
        <w:spacing w:after="0" w:line="162" w:lineRule="exact"/>
        <w:rPr>
          <w:sz w:val="20"/>
          <w:szCs w:val="20"/>
          <w:color w:val="auto"/>
        </w:rPr>
      </w:pPr>
    </w:p>
    <w:p>
      <w:pPr>
        <w:jc w:val="both"/>
        <w:ind w:left="560"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without having made any investigation, that the terms of the Agreements are lawful and fully enforceable under the laws of the State of New York and any other applicable laws other than the laws of Ireland;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 accuracy and completeness of all information appearing on public records;</w:t>
      </w:r>
    </w:p>
    <w:p>
      <w:pPr>
        <w:spacing w:after="0" w:line="225"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2.10</w:t>
        <w:tab/>
        <w:t>that each Company has entered into the Transaction and the Agreements in good faith, for its legitimate business purposes, for good consideration, and that it derives commercial benefit from the Transaction commensurate with the risks undertaken by it in the Transaction;</w:t>
      </w:r>
    </w:p>
    <w:p>
      <w:pPr>
        <w:spacing w:after="0" w:line="162"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2.11</w:t>
        <w:tab/>
        <w:t>the Base Indenture and the Supplemental Indenture remain in full force and effect and have not been revoked, rescinded or terminated, or amended or varied save as pursuant to the Agreements;</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that the Notes issued in connection with the Transaction will not be sold or offered for sale to any persons resident in Ireland; and</w:t>
      </w:r>
    </w:p>
    <w:p>
      <w:pPr>
        <w:spacing w:after="0" w:line="225" w:lineRule="exact"/>
        <w:rPr>
          <w:sz w:val="20"/>
          <w:szCs w:val="20"/>
          <w:color w:val="auto"/>
        </w:rPr>
      </w:pPr>
    </w:p>
    <w:p>
      <w:pPr>
        <w:jc w:val="both"/>
        <w:ind w:left="560"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2.13</w:t>
        <w:tab/>
        <w:t>that each Company will not, by the entry into the Agreements and the performance of the transactions contemplated thereby, be giving financial assistance for the purposes of Section 82 of the Companies Act.</w:t>
      </w:r>
    </w:p>
    <w:p>
      <w:pPr>
        <w:spacing w:after="0" w:line="162" w:lineRule="exact"/>
        <w:rPr>
          <w:sz w:val="20"/>
          <w:szCs w:val="20"/>
          <w:color w:val="auto"/>
        </w:rPr>
      </w:pPr>
    </w:p>
    <w:p>
      <w:pPr>
        <w:jc w:val="both"/>
        <w:ind w:left="560" w:hanging="552"/>
        <w:spacing w:after="0" w:line="266" w:lineRule="auto"/>
        <w:tabs>
          <w:tab w:leader="none" w:pos="5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matters falling to be determined other than under the laws of Ireland and, without reference to provisions of other laws imported by Irish private international law, in Ireland as of the date of this letter. Subject to that qualification and to the other qualifications set out herein, we are of the opinion that:</w:t>
      </w:r>
    </w:p>
    <w:p>
      <w:pPr>
        <w:spacing w:after="0" w:line="176" w:lineRule="exact"/>
        <w:rPr>
          <w:sz w:val="20"/>
          <w:szCs w:val="20"/>
          <w:color w:val="auto"/>
        </w:rPr>
      </w:pPr>
    </w:p>
    <w:p>
      <w:pPr>
        <w:jc w:val="both"/>
        <w:ind w:left="560" w:hanging="552"/>
        <w:spacing w:after="0" w:line="255" w:lineRule="auto"/>
        <w:tabs>
          <w:tab w:leader="none" w:pos="5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each Company is duly incorporated under the laws of Ireland (as: in the case of ICON plc, a public limited company; as in the case of ICON Clinical Research Limited, Accellacare Limited, DOCS Resourcing Limited and ICON Clinical Research Property Development (Ireland) Limited, ICON Clinical Research International Limited, ICON Clinical Research Property Holdings (Ireland) Limited, private companies; as in the case of the Issuer, a designated activity company; and as in the case of the Unlimited Companies (as defined below) are unlimited companies) and is a separate legal entity, subject to suit in its own name. Based only on searches carried out in the Irish Companies Registration Office (the </w:t>
      </w:r>
      <w:r>
        <w:rPr>
          <w:rFonts w:ascii="Times New Roman" w:cs="Times New Roman" w:eastAsia="Times New Roman" w:hAnsi="Times New Roman"/>
          <w:sz w:val="18"/>
          <w:szCs w:val="18"/>
          <w:b w:val="1"/>
          <w:bCs w:val="1"/>
          <w:color w:val="auto"/>
        </w:rPr>
        <w:t>CRO</w:t>
      </w:r>
      <w:r>
        <w:rPr>
          <w:rFonts w:ascii="Times New Roman" w:cs="Times New Roman" w:eastAsia="Times New Roman" w:hAnsi="Times New Roman"/>
          <w:sz w:val="18"/>
          <w:szCs w:val="18"/>
          <w:color w:val="auto"/>
        </w:rPr>
        <w:t>) and the Central Office of the High Court on the date of this opinion, each Company is validly existing under the laws of Ireland and no steps have been taken or are being taken to appoint a receiver, examiner or liquidator over it or to wind it up;</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0" w:name="page241"/>
    <w:bookmarkEnd w:id="240"/>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2143125" cy="3511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51155"/>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8"/>
          <w:szCs w:val="18"/>
          <w:color w:val="auto"/>
        </w:rPr>
        <w:t>each Company has the necessary power and authority, and all necessary corporate and other action has been taken, to enable it to execute, deliver and perform the obligations undertaken by it under the Agreements to which it is a party, and the implementation by each Company of the foregoing will not cause:</w:t>
      </w:r>
    </w:p>
    <w:p>
      <w:pPr>
        <w:spacing w:after="0" w:line="176" w:lineRule="exact"/>
        <w:rPr>
          <w:sz w:val="20"/>
          <w:szCs w:val="20"/>
          <w:color w:val="auto"/>
        </w:rPr>
      </w:pPr>
    </w:p>
    <w:p>
      <w:pPr>
        <w:ind w:left="1320" w:right="20" w:hanging="755"/>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any limit on it or on its directors (whether imposed by the documents constituting the relevant Company or by statute or regulation) to be exceeded; or</w:t>
      </w:r>
    </w:p>
    <w:p>
      <w:pPr>
        <w:spacing w:after="0" w:line="162"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any law or order to be contravened;</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each of the Agreements to which the relevant Company is party has been duly executed on its behalf;</w:t>
      </w:r>
    </w:p>
    <w:p>
      <w:pPr>
        <w:spacing w:after="0" w:line="225"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no authorisations, approvals, licences, exemptions or consents of governmental or regulatory authorities with respect to the Agreements are required to be obtained by any Company in Ireland; and</w:t>
      </w:r>
    </w:p>
    <w:p>
      <w:pPr>
        <w:spacing w:after="0" w:line="162"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it is not necessary or advisable under the laws of Ireland in order to ensure the validity, enforceability or priority of the obligations or rights of any party to the Agreements that any of the Agreements be filed, registered, recorded, or notarised in any public office or elsewhere or that any other instrument relating thereto be signed, delivered, filed, registered or recorded;</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no Company is entitled to claim any immunity from suit, execution, attachment or other legal process in Ireland;</w:t>
      </w:r>
    </w:p>
    <w:p>
      <w:pPr>
        <w:spacing w:after="0" w:line="225"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in any proceedings taken in Ireland for the enforcement of the Agreements, the choice of the laws of the State of New York as the governing law of the Agreements would be upheld by the Irish courts in accordance with the provisions of the Rome/Regulation EC No. 593/2008 on the Law Applicable to Contractual Obligations;</w:t>
      </w:r>
    </w:p>
    <w:p>
      <w:pPr>
        <w:spacing w:after="0" w:line="176"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 submission on the part of any Company under the Agreements to the jurisdiction of the courts of the State of New York is valid and binding on such Company and will be upheld by the Irish courts;</w:t>
      </w:r>
    </w:p>
    <w:p>
      <w:pPr>
        <w:spacing w:after="0" w:line="162" w:lineRule="exact"/>
        <w:rPr>
          <w:sz w:val="20"/>
          <w:szCs w:val="20"/>
          <w:color w:val="auto"/>
        </w:rPr>
      </w:pPr>
    </w:p>
    <w:p>
      <w:pPr>
        <w:jc w:val="both"/>
        <w:ind w:left="560" w:hanging="552"/>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in any proceedings taken in Ireland for the enforcement of a judgment obtained against any Company in the courts of the State of New York (a </w:t>
      </w:r>
      <w:r>
        <w:rPr>
          <w:rFonts w:ascii="Times New Roman" w:cs="Times New Roman" w:eastAsia="Times New Roman" w:hAnsi="Times New Roman"/>
          <w:sz w:val="18"/>
          <w:szCs w:val="18"/>
          <w:b w:val="1"/>
          <w:bCs w:val="1"/>
          <w:color w:val="auto"/>
        </w:rPr>
        <w:t>Foreign Judgment</w:t>
      </w:r>
      <w:r>
        <w:rPr>
          <w:rFonts w:ascii="Times New Roman" w:cs="Times New Roman" w:eastAsia="Times New Roman" w:hAnsi="Times New Roman"/>
          <w:sz w:val="18"/>
          <w:szCs w:val="18"/>
          <w:color w:val="auto"/>
        </w:rPr>
        <w:t>) the Foreign Judgment should be recognised and enforced by the courts of Ireland save that to enforce such a Foreign Judgment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Ireland it would be necessary to obtain an order of the Irish courts. Such order should be granted on proper proof of the Foreign Judgment without any re-trial or examination of the merits of the case subject to the following qualifications:</w:t>
      </w:r>
    </w:p>
    <w:p>
      <w:pPr>
        <w:spacing w:after="0" w:line="180"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7"/>
          <w:szCs w:val="17"/>
          <w:color w:val="auto"/>
        </w:rPr>
        <w:t>that the foreign court had jurisdiction, according to the laws of Ireland;</w:t>
      </w:r>
    </w:p>
    <w:p>
      <w:pPr>
        <w:spacing w:after="0" w:line="223"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1A1A1A"/>
        </w:rPr>
        <w:t>3.9.2</w:t>
      </w:r>
      <w:r>
        <w:rPr>
          <w:sz w:val="20"/>
          <w:szCs w:val="20"/>
          <w:color w:val="auto"/>
        </w:rPr>
        <w:tab/>
      </w:r>
      <w:r>
        <w:rPr>
          <w:rFonts w:ascii="Times New Roman" w:cs="Times New Roman" w:eastAsia="Times New Roman" w:hAnsi="Times New Roman"/>
          <w:sz w:val="17"/>
          <w:szCs w:val="17"/>
          <w:color w:val="auto"/>
        </w:rPr>
        <w:t xml:space="preserve">that the Foreign </w:t>
      </w:r>
      <w:r>
        <w:rPr>
          <w:rFonts w:ascii="Times New Roman" w:cs="Times New Roman" w:eastAsia="Times New Roman" w:hAnsi="Times New Roman"/>
          <w:sz w:val="17"/>
          <w:szCs w:val="17"/>
          <w:i w:val="1"/>
          <w:iCs w:val="1"/>
          <w:color w:val="1A1A1A"/>
        </w:rPr>
        <w:t>Judgment was not obtained by fraud;</w:t>
      </w:r>
    </w:p>
    <w:p>
      <w:pPr>
        <w:spacing w:after="0" w:line="227"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7"/>
          <w:szCs w:val="17"/>
          <w:color w:val="auto"/>
        </w:rPr>
        <w:t>that the Foreign Judgment is not contrary to public policy or natural justice as understood in Irish law;</w:t>
      </w:r>
    </w:p>
    <w:p>
      <w:pPr>
        <w:spacing w:after="0" w:line="225"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that the Foreign Judgment is final and conclusive;</w:t>
      </w:r>
    </w:p>
    <w:p>
      <w:pPr>
        <w:spacing w:after="0" w:line="225"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7"/>
          <w:szCs w:val="17"/>
          <w:color w:val="auto"/>
        </w:rPr>
        <w:t>that the Foreign Judgment is for a definite sum of money;</w:t>
      </w:r>
    </w:p>
    <w:p>
      <w:pPr>
        <w:spacing w:after="0" w:line="225"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8"/>
          <w:szCs w:val="18"/>
          <w:color w:val="auto"/>
        </w:rPr>
        <w:t>that the procedural rules of the court giving the Foreign Judgment have been observed; and</w:t>
      </w:r>
    </w:p>
    <w:p>
      <w:pPr>
        <w:spacing w:after="0" w:line="225"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8"/>
          <w:szCs w:val="18"/>
          <w:color w:val="auto"/>
        </w:rPr>
        <w:t xml:space="preserve">any such order of the Irish courts may be expressed in a currency other than euro in respect of the amount due and payable by the Company but such order may be issued out of the Central Office of the Irish High Court expressed in euro by reference to the official rate of exchange prevailing on the date of issue of such order. However, in the event of a winding up of the Company, amounts claimed by or against the Company in a currency other than the euro (the </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would, to the extent properly payable in the winding up, be paid if not in the Foreign Currency in the euro equivalent of the amount due in the Foreign Currency converted at the rate of exchange pertaining on the date of the commencement of such winding up.</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41" w:name="page242"/>
    <w:bookmarkEnd w:id="241"/>
    <w:p>
      <w:pPr>
        <w:ind w:left="560" w:hanging="552"/>
        <w:spacing w:after="0"/>
        <w:tabs>
          <w:tab w:leader="none" w:pos="5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2143125" cy="3511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51155"/>
                    </a:xfrm>
                    <a:prstGeom prst="rect">
                      <a:avLst/>
                    </a:prstGeom>
                    <a:noFill/>
                  </pic:spPr>
                </pic:pic>
              </a:graphicData>
            </a:graphic>
          </wp:anchor>
        </w:drawing>
        <w:t>The opinions set forth in this opinion letter are given subject to the following qualifications:</w:t>
      </w:r>
    </w:p>
    <w:p>
      <w:pPr>
        <w:spacing w:after="0" w:line="225"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an order of specific performance or any other equitable remedy is a discretionary remedy and is not available when damages are considered to be an adequate remedy;</w:t>
      </w:r>
    </w:p>
    <w:p>
      <w:pPr>
        <w:spacing w:after="0" w:line="162"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this opinion is given subject to general provisions of Irish law relating to insolvency, bankruptcy, liquidation, reorganisation, receivership, moratoria, court scheme of arrangement, administration and examination, and the unfair preference of creditors and other Irish law generally affecting the rights of creditors;</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this opinion is subject to the general laws relating to the limitation of actions in Ireland;</w:t>
      </w:r>
    </w:p>
    <w:p>
      <w:pPr>
        <w:spacing w:after="0" w:line="225" w:lineRule="exact"/>
        <w:rPr>
          <w:sz w:val="20"/>
          <w:szCs w:val="20"/>
          <w:color w:val="auto"/>
        </w:rPr>
      </w:pPr>
    </w:p>
    <w:p>
      <w:pPr>
        <w:jc w:val="both"/>
        <w:ind w:left="560"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a determination, description, calculation, opinion or certificate of any person as to any matter provided for in the Agreements might be held by the Irish courts not to be final, conclusive or binding if it could be shown to have an unreasonable, incorrect, or arbitrary basis or not to have been made in good faith;</w:t>
      </w:r>
    </w:p>
    <w:p>
      <w:pPr>
        <w:spacing w:after="0" w:line="176" w:lineRule="exact"/>
        <w:rPr>
          <w:sz w:val="20"/>
          <w:szCs w:val="20"/>
          <w:color w:val="auto"/>
        </w:rPr>
      </w:pPr>
    </w:p>
    <w:p>
      <w:pPr>
        <w:jc w:val="both"/>
        <w:ind w:left="560" w:hanging="552"/>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additional interest imposed by any clause of any Agreement might be held to constitute a penalty and the provisions of that clause imposing additional interest would thus be held to be void. The fact that such provisions are held to be void would not in itself prejudice the legality and enforceability of any other provisions of the relevant Agreements but could restrict the amount recoverable by way of interest under such Agreements;</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claims may be or become subject to defences of set-off or counter-claim;</w:t>
      </w:r>
    </w:p>
    <w:p>
      <w:pPr>
        <w:spacing w:after="0" w:line="225" w:lineRule="exact"/>
        <w:rPr>
          <w:sz w:val="20"/>
          <w:szCs w:val="20"/>
          <w:color w:val="auto"/>
        </w:rPr>
      </w:pPr>
    </w:p>
    <w:p>
      <w:pPr>
        <w:jc w:val="both"/>
        <w:ind w:left="560" w:hanging="552"/>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an Irish court has power to stay an action where it is shown that there is some other forum having competent jurisdiction which is more appropriate for the trial of the action, in which the case can be tried more suitably for the interests of all the parties and the ends of justice, and where staying the action is not inconsistent with the provisions of Regulation (EU) No. 1215/2012 (recast) on jurisdiction and the recognition and the enforcement of judgments in civil and commercial matters;</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the enforceability of severance clauses is at the discretion of the court and may not be enforceable in all circumstances;</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a waiver of all defences to any proceedings may not be enforceable;</w:t>
      </w:r>
    </w:p>
    <w:p>
      <w:pPr>
        <w:spacing w:after="0" w:line="225"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4.10</w:t>
        <w:tab/>
        <w:t>provisions in any of the Agreements providing for indemnification resulting from loss suffered on conversion of the amount of a claim made in a foreign currency into euro in a liquidation may not be enforceable;</w:t>
      </w:r>
    </w:p>
    <w:p>
      <w:pPr>
        <w:spacing w:after="0" w:line="162"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4.11</w:t>
        <w:tab/>
        <w:t>an Irish court may refuse to give effect to undertakings contained in any of the Agreements that the Company will pay legal expenses and costs in respect of any action before the Irish courts; and</w:t>
      </w:r>
    </w:p>
    <w:p>
      <w:pPr>
        <w:spacing w:after="0" w:line="162" w:lineRule="exact"/>
        <w:rPr>
          <w:sz w:val="20"/>
          <w:szCs w:val="20"/>
          <w:color w:val="auto"/>
        </w:rPr>
      </w:pPr>
    </w:p>
    <w:p>
      <w:pPr>
        <w:jc w:val="both"/>
        <w:ind w:left="56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4.12</w:t>
        <w:tab/>
        <w:t>we express no opinion on any taxation matters or on the contractual terms of the relevant documents other than by reference to the legal character thereof.</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opinion letter is given on the basis that it will be construed in accordance with, and governed in all respects by, the laws of Ireland which shall apply between us and all persons interested. We hereby consent to the filing of this opinion with the SEC as an exhibit to the Issuer's Current Report on Form 6-K to be filed on the date hereof, which Form 6-K will be incorporated by reference into the Registration Statement and to the reference to our firm contained under the heading “Legal Matters” in the Base Prospectus, Preliminary Prospectus Supplement and Final Prospectus Supplement included therein. In giving such consent, we do not hereby admit that we are in the category of persons whose consent is required under Section 7 of the Securities Act of 1933 as amended, or the rules and regulations of the SEC.</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42" w:name="page243"/>
    <w:bookmarkEnd w:id="24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2143125" cy="3511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51155"/>
                    </a:xfrm>
                    <a:prstGeom prst="rect">
                      <a:avLst/>
                    </a:prstGeom>
                    <a:noFill/>
                  </pic:spPr>
                </pic:pic>
              </a:graphicData>
            </a:graphic>
          </wp:anchor>
        </w:drawing>
        <w:t>This Opinion is being delivered to you and may not be relied upon or distributed to any other person without our prior written consent, other than Cahill Gordon &amp; Reindel LLP for the purposes solely of any legal opinion that they may be required to give with respect to the Registration Statement.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opinion letter speaks only as of the date hereof and we disclaim any obligation to advise you or any other person of changes of law or fact that occur after the date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/s/ A&amp;L Goodbody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A&amp;L Goodbody LLP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226060</wp:posOffset>
            </wp:positionV>
            <wp:extent cx="2143125" cy="3511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5115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9" w:lineRule="exact"/>
        <w:rPr>
          <w:sz w:val="20"/>
          <w:szCs w:val="20"/>
          <w:color w:val="auto"/>
        </w:rPr>
      </w:pPr>
    </w:p>
    <w:p>
      <w:pPr>
        <w:ind w:left="560" w:hanging="552"/>
        <w:spacing w:after="0"/>
        <w:tabs>
          <w:tab w:leader="none" w:pos="5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ind w:left="560" w:hanging="552"/>
        <w:spacing w:after="0"/>
        <w:tabs>
          <w:tab w:leader="none" w:pos="5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Investments Six Designated Activity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3ICON Clinical Research Limited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Accellacare Limited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DOCS Resourcing Limited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ICON Clinical Research Property Development (Ireland) Limited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ICON Clinical Research International Limited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8ICON Clinical Research Property Holdings (Ireland) Limited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9ICON Clinical Global Holdings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7"/>
          <w:szCs w:val="17"/>
          <w:color w:val="auto"/>
        </w:rPr>
        <w:t>ICON Holdings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ICON Operational Financing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7"/>
          <w:szCs w:val="17"/>
          <w:color w:val="auto"/>
        </w:rPr>
        <w:t>ICON Operational Holdings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ICON Investments Four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7"/>
          <w:szCs w:val="17"/>
          <w:color w:val="auto"/>
        </w:rPr>
        <w:t>ICON Global Treasury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7"/>
          <w:szCs w:val="17"/>
          <w:color w:val="auto"/>
        </w:rPr>
        <w:t>ICON Clinical International Unlimited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16ICON Clinical Research Holdings (Ireland) Unlimited Company</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listed at 9 to 16 above together are referred to as the </w:t>
      </w:r>
      <w:r>
        <w:rPr>
          <w:rFonts w:ascii="Times New Roman" w:cs="Times New Roman" w:eastAsia="Times New Roman" w:hAnsi="Times New Roman"/>
          <w:sz w:val="18"/>
          <w:szCs w:val="18"/>
          <w:b w:val="1"/>
          <w:bCs w:val="1"/>
          <w:color w:val="auto"/>
        </w:rPr>
        <w:t>Unlimited Companies</w:t>
      </w:r>
      <w:r>
        <w:rPr>
          <w:rFonts w:ascii="Times New Roman" w:cs="Times New Roman" w:eastAsia="Times New Roman" w:hAnsi="Times New Roman"/>
          <w:sz w:val="18"/>
          <w:szCs w:val="18"/>
          <w:color w:val="auto"/>
        </w:rPr>
        <w:t xml:space="preserve"> in this opinion letter.</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4" w:name="page245"/>
    <w:bookmarkEnd w:id="244"/>
    <w:p>
      <w:pPr>
        <w:ind w:left="9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7301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973010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9792970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129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9712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97212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212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9721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532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953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4286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717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Investments Six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Activity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County Business Park, Leopardstown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18, D18 X5R3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0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$750,000,000 5.809% Senior Secured Notes due 2027</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$750,000,000 5.849% Senior Secured Notes due 2029</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$500,000,000 6.000% Senior Secured Notes due 2034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We have acted as special counsel to each of the Guarantors identified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connection with (i) the Registration Statement on Form F-3 (File No. 333-278943-18)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April 26, 2024,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ICON Public Limited Company, a public limited company in Ireland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ICON Investments Six Designated Activity Company, a designated activity company limited by shares in Ireland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Guarantors, and the other co-registrants named therein in connection with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certain securities of the Company, and (ii) the issuance by the Company of (A) $750,000,000 principal amount of its 5.809% Senior Secured Notes due 2027, (B) $750,000,000 principal amount of its 5.849% Senior Secured Notes due 2029, and (C) $500,000,000 principal amount of its 6.000% Senior Secured Notes due 2034 (collectively,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as described in the prospectus dated April 26, 2024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contained in the Registration Statement and the prospectus supplement dated April 30, 2024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Notes are to be fully and unconditionally guaranteed as to the payment of principal, premium and interest by certain subsidiary guarantors, including the Guarantors (the “</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This opinion letter is being furnished in accordance with the requirements of Item 9 of Form F-3 and Item 601(b)(5)(i) of Regulation S-K promulgated under the Securities Act. Capitalized terms used in this opinion letter and not otherwise defined herein shall have the respective meanings set forth in the Registration Statement or the Indenture (as defined below), as applicable.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Notes are being issued under the Indenture, dated May 8,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among the Company, the Parent, and Citibank, N.A.,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First Supplemental Indenture, dated May 8, 2024 (the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the Base Indenture as so supplemented,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Company, the Parent, the Guarantors, the other subsidiary guarantors party thereto, the Trustee, and Citibank, N.A., London Branch, as notes collateral agent. The Notes are being offered and sold to the public in accordance with the Underwriting Agreement, dated April 30, 2024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xml:space="preserve">”), by and among the Company, the Guarantors, the other subsidiary guarantors party thereto, and the several Underwriters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thereto. The Supplemental Indenture contains the Note Guarantee.</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McGuireWoods LLP | www.mcguirewoods.com</w:t>
      </w:r>
    </w:p>
    <w:p>
      <w:pPr>
        <w:spacing w:after="0" w:line="15" w:lineRule="exact"/>
        <w:rPr>
          <w:sz w:val="20"/>
          <w:szCs w:val="20"/>
          <w:color w:val="auto"/>
        </w:rPr>
      </w:pPr>
    </w:p>
    <w:p>
      <w:pPr>
        <w:ind w:left="1680" w:right="1360" w:hanging="354"/>
        <w:spacing w:after="0" w:line="264" w:lineRule="auto"/>
        <w:rPr>
          <w:sz w:val="20"/>
          <w:szCs w:val="20"/>
          <w:color w:val="auto"/>
        </w:rPr>
      </w:pPr>
      <w:r>
        <w:rPr>
          <w:rFonts w:ascii="Arial" w:cs="Arial" w:eastAsia="Arial" w:hAnsi="Arial"/>
          <w:sz w:val="14"/>
          <w:szCs w:val="14"/>
          <w:color w:val="auto"/>
        </w:rPr>
        <w:t>Atlanta | Austin | Baltimore | Charlotte | Charlottesville | Chicago | Dallas | Houston | Jacksonville | London | Los Angeles - Century City Los Angeles - Downtown | New York | Norfolk | Pittsburgh | Raleigh | Richmond | San Francisco | Tysons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Documents Reviewed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this opinion letter, we have examined the following documents:</w:t>
      </w:r>
    </w:p>
    <w:p>
      <w:pPr>
        <w:spacing w:after="0" w:line="225" w:lineRule="exact"/>
        <w:rPr>
          <w:sz w:val="20"/>
          <w:szCs w:val="20"/>
          <w:color w:val="auto"/>
        </w:rPr>
      </w:pPr>
    </w:p>
    <w:p>
      <w:pPr>
        <w:ind w:left="2080" w:hanging="776"/>
        <w:spacing w:after="0"/>
        <w:tabs>
          <w:tab w:leader="none" w:pos="2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documents referred to in clauses (a) through (g) above are referred to, collectively, as the “</w:t>
      </w:r>
      <w:r>
        <w:rPr>
          <w:rFonts w:ascii="Times New Roman" w:cs="Times New Roman" w:eastAsia="Times New Roman" w:hAnsi="Times New Roman"/>
          <w:sz w:val="18"/>
          <w:szCs w:val="18"/>
          <w:u w:val="single" w:color="auto"/>
          <w:color w:val="auto"/>
        </w:rPr>
        <w:t>Subject Documents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Subject Document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we have examined and relied upon the following:</w:t>
      </w:r>
    </w:p>
    <w:p>
      <w:pPr>
        <w:spacing w:after="0" w:line="225" w:lineRule="exact"/>
        <w:rPr>
          <w:sz w:val="20"/>
          <w:szCs w:val="20"/>
          <w:color w:val="auto"/>
        </w:rPr>
      </w:pPr>
    </w:p>
    <w:p>
      <w:pPr>
        <w:jc w:val="both"/>
        <w:ind w:left="660" w:firstLine="1292"/>
        <w:spacing w:after="0" w:line="266" w:lineRule="auto"/>
        <w:tabs>
          <w:tab w:leader="none" w:pos="259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a certificate dated the date hereof from an authorized representative of such Guarantor certifying as to true and correct copies of the organizational documents of such Guarantor and resolutions of its board of directors or other governing body, as applicable, authorizing, among other actions, the filing of the Registration Statement and the issuance of the Note Guarantee;</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1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date hereof issued by the Office of the Secretary of State of the State of Illinois attesting to the limited liability company status of Clinical Resource Network, LLC (the “</w:t>
      </w:r>
      <w:r>
        <w:rPr>
          <w:rFonts w:ascii="Times New Roman" w:cs="Times New Roman" w:eastAsia="Times New Roman" w:hAnsi="Times New Roman"/>
          <w:sz w:val="18"/>
          <w:szCs w:val="18"/>
          <w:u w:val="single" w:color="auto"/>
          <w:color w:val="auto"/>
        </w:rPr>
        <w:t>Illinois Guarantor</w:t>
      </w:r>
      <w:r>
        <w:rPr>
          <w:rFonts w:ascii="Times New Roman" w:cs="Times New Roman" w:eastAsia="Times New Roman" w:hAnsi="Times New Roman"/>
          <w:sz w:val="18"/>
          <w:szCs w:val="18"/>
          <w:color w:val="auto"/>
        </w:rPr>
        <w:t>”) in the State of Illinois;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4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date hereof issued by the Office of the Secretary of State of the State of North Carolina attesting to the corporate status of Accellacare US Inc. (the “</w:t>
      </w:r>
      <w:r>
        <w:rPr>
          <w:rFonts w:ascii="Times New Roman" w:cs="Times New Roman" w:eastAsia="Times New Roman" w:hAnsi="Times New Roman"/>
          <w:sz w:val="18"/>
          <w:szCs w:val="18"/>
          <w:u w:val="single" w:color="auto"/>
          <w:color w:val="auto"/>
        </w:rPr>
        <w:t>North Carolina Guarantor</w:t>
      </w:r>
      <w:r>
        <w:rPr>
          <w:rFonts w:ascii="Times New Roman" w:cs="Times New Roman" w:eastAsia="Times New Roman" w:hAnsi="Times New Roman"/>
          <w:sz w:val="18"/>
          <w:szCs w:val="18"/>
          <w:color w:val="auto"/>
        </w:rPr>
        <w:t>”) in the State of North Carolina;</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2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date hereof issued by the Office of the Secretary of State of the State of Texas attesting to the limited liability company status of ICON Early Phase Services, LLC (the “</w:t>
      </w:r>
      <w:r>
        <w:rPr>
          <w:rFonts w:ascii="Times New Roman" w:cs="Times New Roman" w:eastAsia="Times New Roman" w:hAnsi="Times New Roman"/>
          <w:sz w:val="18"/>
          <w:szCs w:val="18"/>
          <w:u w:val="single" w:color="auto"/>
          <w:color w:val="auto"/>
        </w:rPr>
        <w:t>Texas Guarantor</w:t>
      </w:r>
      <w:r>
        <w:rPr>
          <w:rFonts w:ascii="Times New Roman" w:cs="Times New Roman" w:eastAsia="Times New Roman" w:hAnsi="Times New Roman"/>
          <w:sz w:val="18"/>
          <w:szCs w:val="18"/>
          <w:color w:val="auto"/>
        </w:rPr>
        <w:t>”) in the State of Texas;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3" w:name="page264"/>
    <w:bookmarkEnd w:id="263"/>
    <w:p>
      <w:pPr>
        <w:ind w:left="660" w:firstLine="1292"/>
        <w:spacing w:after="0" w:line="282" w:lineRule="auto"/>
        <w:tabs>
          <w:tab w:leader="none" w:pos="254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date hereof issued by the Clerk of the State Corporation Commission of Virginia attesting to the corporate status of Pharmaceutical Research Associates, Inc. (the “</w:t>
      </w:r>
      <w:r>
        <w:rPr>
          <w:rFonts w:ascii="Times New Roman" w:cs="Times New Roman" w:eastAsia="Times New Roman" w:hAnsi="Times New Roman"/>
          <w:sz w:val="18"/>
          <w:szCs w:val="18"/>
          <w:u w:val="single" w:color="auto"/>
          <w:color w:val="auto"/>
        </w:rPr>
        <w:t>Virginia Guarantor</w:t>
      </w:r>
      <w:r>
        <w:rPr>
          <w:rFonts w:ascii="Times New Roman" w:cs="Times New Roman" w:eastAsia="Times New Roman" w:hAnsi="Times New Roman"/>
          <w:sz w:val="18"/>
          <w:szCs w:val="18"/>
          <w:color w:val="auto"/>
        </w:rPr>
        <w:t>”) in the Commonwealth of Virginia;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31"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identified to our satisfaction as being true copies, of such other records, documents and instruments as we have deemed necessary for the purposes of this opinion letter.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documents referred to in clauses (i) through (vi) above are referred to, collectively, as the “</w:t>
      </w: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and each, individually, as an “</w:t>
      </w:r>
      <w:r>
        <w:rPr>
          <w:rFonts w:ascii="Times New Roman" w:cs="Times New Roman" w:eastAsia="Times New Roman" w:hAnsi="Times New Roman"/>
          <w:sz w:val="18"/>
          <w:szCs w:val="18"/>
          <w:u w:val="single" w:color="auto"/>
          <w:color w:val="auto"/>
        </w:rPr>
        <w:t>Other Document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Defined Terms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opinion letter, the following terms have the respective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(i) with respect to the Illinois Guarantor, the laws of the State of Illinois, (ii) with respect to the North Carolina Guarantor, the laws of the State of North Carolina, (iii) with respect to the Texas Guarantor, the laws of the State of Texas, and (iv) with respect to the Virginia Guarantor, the laws of the Commonwealth of Virginia.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means, collectively, the Subject Documents and the Other Documents, and a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Jurisdiction</w:t>
      </w:r>
      <w:r>
        <w:rPr>
          <w:rFonts w:ascii="Times New Roman" w:cs="Times New Roman" w:eastAsia="Times New Roman" w:hAnsi="Times New Roman"/>
          <w:sz w:val="18"/>
          <w:szCs w:val="18"/>
          <w:color w:val="auto"/>
        </w:rPr>
        <w:t>” means, with respect to any Guarantor, the organizational jurisdiction set forth for such Guarantor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Assumptions Underlying Our Opinions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For all purposes of the opinions expressed herein, we have assumed, without independent investigation, the following:</w:t>
      </w:r>
    </w:p>
    <w:p>
      <w:pPr>
        <w:spacing w:after="0" w:line="225" w:lineRule="exact"/>
        <w:rPr>
          <w:sz w:val="20"/>
          <w:szCs w:val="20"/>
          <w:color w:val="auto"/>
        </w:rPr>
      </w:pPr>
    </w:p>
    <w:p>
      <w:pPr>
        <w:jc w:val="both"/>
        <w:ind w:firstLine="1304"/>
        <w:spacing w:after="0" w:line="261" w:lineRule="auto"/>
        <w:tabs>
          <w:tab w:leader="none" w:pos="223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Factual Matters</w:t>
      </w:r>
      <w:r>
        <w:rPr>
          <w:rFonts w:ascii="Times New Roman" w:cs="Times New Roman" w:eastAsia="Times New Roman" w:hAnsi="Times New Roman"/>
          <w:sz w:val="18"/>
          <w:szCs w:val="18"/>
          <w:color w:val="auto"/>
        </w:rPr>
        <w:t>. To the extent that we have reviewed and relied upon (i) certificates of any Guarantor or authorized representatives thereof, (ii) representations of any Guarantor set forth in the Documents and (iii) certificates and assurances from public officials, all of such certificates, representations and assurances are accurate with regard to factual matters and all official records (including filings with public authorities) are properly indexed and filed and are accurate and complete.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3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 and Conforming Documents</w:t>
      </w:r>
      <w:r>
        <w:rPr>
          <w:rFonts w:ascii="Times New Roman" w:cs="Times New Roman" w:eastAsia="Times New Roman" w:hAnsi="Times New Roman"/>
          <w:sz w:val="18"/>
          <w:szCs w:val="18"/>
          <w:color w:val="auto"/>
        </w:rPr>
        <w:t>. All Documents submitted to us as originals are authentic, complete and accurate, and all Documents submitted to us as copies conform to authentic original Documents.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Mutual Mistake, Amendments, etc</w:t>
      </w:r>
      <w:r>
        <w:rPr>
          <w:rFonts w:ascii="Times New Roman" w:cs="Times New Roman" w:eastAsia="Times New Roman" w:hAnsi="Times New Roman"/>
          <w:sz w:val="18"/>
          <w:szCs w:val="18"/>
          <w:color w:val="auto"/>
        </w:rPr>
        <w:t>. There has not been any mutual mistake of fact, fraud, duress or undue influence in connection with the issuance of the Notes or the Note Guarantee. There are no oral or written statements or agreements that modify, amend or vary, or purport to modify, amend or vary, any of the terms of any Subject Document, except that the Supplemental Indenture modifies the terms of the Base Indenture.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Our Opinions</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and the exclusions, qualifications, limitations and other assumptions set forth in this opinion letter, we are of the opinion that:</w:t>
      </w:r>
    </w:p>
    <w:p>
      <w:pPr>
        <w:spacing w:after="0" w:line="162" w:lineRule="exact"/>
        <w:rPr>
          <w:sz w:val="20"/>
          <w:szCs w:val="20"/>
          <w:color w:val="auto"/>
        </w:rPr>
      </w:pPr>
    </w:p>
    <w:p>
      <w:pPr>
        <w:jc w:val="both"/>
        <w:ind w:firstLine="1304"/>
        <w:spacing w:after="0" w:line="266" w:lineRule="auto"/>
        <w:tabs>
          <w:tab w:leader="none" w:pos="147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Status</w:t>
      </w:r>
      <w:r>
        <w:rPr>
          <w:rFonts w:ascii="Times New Roman" w:cs="Times New Roman" w:eastAsia="Times New Roman" w:hAnsi="Times New Roman"/>
          <w:sz w:val="18"/>
          <w:szCs w:val="18"/>
          <w:color w:val="auto"/>
        </w:rPr>
        <w:t xml:space="preserve">. Each Guarantor is a validly existing corporation or limited liability company, as applicable, under the laws of its Organizational Jurisdiction and, if so indicated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that its Organizational Jurisdiction is an applicable jurisdiction, is in good standing under such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Authorization</w:t>
      </w:r>
      <w:r>
        <w:rPr>
          <w:rFonts w:ascii="Times New Roman" w:cs="Times New Roman" w:eastAsia="Times New Roman" w:hAnsi="Times New Roman"/>
          <w:sz w:val="18"/>
          <w:szCs w:val="18"/>
          <w:color w:val="auto"/>
        </w:rPr>
        <w:t>. Each Guarantor has the corporate or limited liability company, as applicable, power and authority to issue the Note Guarantee and has taken all necessary corporate or limited liability company, as applicable, action to authorize the execution and delivery of, and the performance of the terms and provisions of, the Supplemental Indenture (including the Note Guarantee contained therein).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 Each Guarantor has duly executed and delivered the Supplemental Indenture (including the Note Guarantee contained therein) in accordance with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Matters Excluded from Our Opinions</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We express no opinion with respect to the validity, binding effect or enforceability of the Base Indenture, the Supplemental Indenture, the Notes, or the Underwriting Agreement.</w:t>
      </w:r>
    </w:p>
    <w:p>
      <w:pPr>
        <w:spacing w:after="0" w:line="15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u w:val="single" w:color="auto"/>
          <w:color w:val="auto"/>
        </w:rPr>
        <w:t>Qualifications and Limitations Applicable to Our Opinions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qualifications and limitations:</w:t>
      </w:r>
    </w:p>
    <w:p>
      <w:pPr>
        <w:spacing w:after="0" w:line="225" w:lineRule="exact"/>
        <w:rPr>
          <w:sz w:val="20"/>
          <w:szCs w:val="20"/>
          <w:color w:val="auto"/>
        </w:rPr>
      </w:pPr>
    </w:p>
    <w:p>
      <w:pPr>
        <w:ind w:left="1900" w:hanging="596"/>
        <w:spacing w:after="0"/>
        <w:tabs>
          <w:tab w:leader="none" w:pos="19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Our opinions are limited to Applicable Law, and we do not express any opinion concerning any other law.</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Our opinions are subject to the effect of any applicable bankruptcy, insolvency (including, without limitation, laws relating to preferences, fraudulent transfers and equitable subordination), reorganization, moratorium and other similar laws affecting creditors’ rights generally.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2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Principles</w:t>
      </w:r>
      <w:r>
        <w:rPr>
          <w:rFonts w:ascii="Times New Roman" w:cs="Times New Roman" w:eastAsia="Times New Roman" w:hAnsi="Times New Roman"/>
          <w:sz w:val="18"/>
          <w:szCs w:val="18"/>
          <w:color w:val="auto"/>
        </w:rPr>
        <w:t>. Our opinions are subject to the effect of general principles of equity (regardless of whether considered in a proceeding in equity or at law), including concepts of materiality, reasonableness, good faith and fair dealing.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foregoing opinions are being furnished only for the purpose referred to in the first paragraph of this opinion letter. Our opinions are based on statutes, regulations and administrative and judicial interpretations that are subject to change. We undertake no responsibility to update or supplement our opinions after the date hereof. The headings in this opinion letter are intended for convenience of reference only and shall not affect its interpretation.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5.4 to the Company’s Current Report on Form 6-K being filed on the date hereof and to the incorporation by reference of this opinion letter into the Registration Statement. In giving this consent, we do not admit that we are within the category of persons whose consent is required by Section 7 of the Securities Act or the rules and regulations of the SEC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McGuireWoods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960" w:val="left"/>
          <w:tab w:leader="none" w:pos="1420" w:val="left"/>
        </w:tabs>
        <w:rPr>
          <w:sz w:val="20"/>
          <w:szCs w:val="20"/>
          <w:color w:val="auto"/>
        </w:rPr>
      </w:pPr>
      <w:r>
        <w:rPr>
          <w:rFonts w:ascii="Times New Roman" w:cs="Times New Roman" w:eastAsia="Times New Roman" w:hAnsi="Times New Roman"/>
          <w:sz w:val="18"/>
          <w:szCs w:val="18"/>
          <w:color w:val="auto"/>
        </w:rPr>
        <w:t>Schedule 1</w:t>
        <w:tab/>
        <w:t>-</w:t>
      </w:r>
      <w:r>
        <w:rPr>
          <w:sz w:val="20"/>
          <w:szCs w:val="20"/>
          <w:color w:val="auto"/>
        </w:rPr>
        <w:tab/>
      </w:r>
      <w:r>
        <w:rPr>
          <w:rFonts w:ascii="Times New Roman" w:cs="Times New Roman" w:eastAsia="Times New Roman" w:hAnsi="Times New Roman"/>
          <w:sz w:val="18"/>
          <w:szCs w:val="18"/>
          <w:color w:val="auto"/>
        </w:rPr>
        <w:t>Guarantors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45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Type of Entity</w:t>
            </w:r>
          </w:p>
        </w:tc>
        <w:tc>
          <w:tcPr>
            <w:tcW w:w="21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Organizational</w:t>
            </w:r>
          </w:p>
        </w:tc>
        <w:tc>
          <w:tcPr>
            <w:tcW w:w="21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Good Standing</w:t>
            </w:r>
          </w:p>
        </w:tc>
      </w:tr>
      <w:tr>
        <w:trPr>
          <w:trHeight w:val="238"/>
        </w:trPr>
        <w:tc>
          <w:tcPr>
            <w:tcW w:w="45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Applicable</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r>
      <w:tr>
        <w:trPr>
          <w:trHeight w:val="318"/>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Yes</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r>
      <w:tr>
        <w:trPr>
          <w:trHeight w:val="318"/>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Accellacare US Inc.</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North Carolina</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r>
      <w:tr>
        <w:trPr>
          <w:trHeight w:val="318"/>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Texas</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r>
      <w:tr>
        <w:trPr>
          <w:trHeight w:val="318"/>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Virginia</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Yes</w:t>
            </w:r>
          </w:p>
        </w:tc>
      </w:tr>
      <w:tr>
        <w:trPr>
          <w:trHeight w:val="108"/>
        </w:trPr>
        <w:tc>
          <w:tcPr>
            <w:tcW w:w="452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r>
      <w:tr>
        <w:trPr>
          <w:trHeight w:val="270"/>
        </w:trPr>
        <w:tc>
          <w:tcPr>
            <w:tcW w:w="452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r>
    </w:tbl>
    <w:p>
      <w:pPr>
        <w:sectPr>
          <w:pgSz w:w="11900" w:h="16838" w:orient="portrait"/>
          <w:cols w:equalWidth="0" w:num="1">
            <w:col w:w="11240"/>
          </w:cols>
          <w:pgMar w:left="320" w:top="117"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5.5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808084"/>
        </w:rPr>
        <w:t>60 Park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285875" cy="9347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85875" cy="934720"/>
                    </a:xfrm>
                    <a:prstGeom prst="rect">
                      <a:avLst/>
                    </a:prstGeom>
                    <a:noFill/>
                  </pic:spPr>
                </pic:pic>
              </a:graphicData>
            </a:graphic>
          </wp:anchor>
        </w:drawing>
      </w:r>
    </w:p>
    <w:p>
      <w:pPr>
        <w:jc w:val="right"/>
        <w:spacing w:after="0" w:line="226" w:lineRule="auto"/>
        <w:rPr>
          <w:sz w:val="20"/>
          <w:szCs w:val="20"/>
          <w:color w:val="auto"/>
        </w:rPr>
      </w:pPr>
      <w:r>
        <w:rPr>
          <w:rFonts w:ascii="Times New Roman" w:cs="Times New Roman" w:eastAsia="Times New Roman" w:hAnsi="Times New Roman"/>
          <w:sz w:val="14"/>
          <w:szCs w:val="14"/>
          <w:color w:val="808084"/>
        </w:rPr>
        <w:t>Suite 404</w:t>
      </w:r>
    </w:p>
    <w:p>
      <w:pPr>
        <w:jc w:val="right"/>
        <w:spacing w:after="0" w:line="222" w:lineRule="auto"/>
        <w:rPr>
          <w:sz w:val="20"/>
          <w:szCs w:val="20"/>
          <w:color w:val="auto"/>
        </w:rPr>
      </w:pPr>
      <w:r>
        <w:rPr>
          <w:rFonts w:ascii="Times New Roman" w:cs="Times New Roman" w:eastAsia="Times New Roman" w:hAnsi="Times New Roman"/>
          <w:sz w:val="14"/>
          <w:szCs w:val="14"/>
          <w:color w:val="808084"/>
        </w:rPr>
        <w:t>Newark, NJ 07102</w:t>
      </w:r>
    </w:p>
    <w:p>
      <w:pPr>
        <w:ind w:left="9760"/>
        <w:spacing w:after="0" w:line="221" w:lineRule="auto"/>
        <w:rPr>
          <w:sz w:val="20"/>
          <w:szCs w:val="20"/>
          <w:color w:val="auto"/>
        </w:rPr>
      </w:pPr>
      <w:r>
        <w:rPr>
          <w:rFonts w:ascii="Times New Roman" w:cs="Times New Roman" w:eastAsia="Times New Roman" w:hAnsi="Times New Roman"/>
          <w:sz w:val="14"/>
          <w:szCs w:val="14"/>
          <w:color w:val="808084"/>
        </w:rPr>
        <w:t>Telephone: 973-520-2300</w:t>
      </w:r>
    </w:p>
    <w:p>
      <w:pPr>
        <w:ind w:left="10140"/>
        <w:spacing w:after="0" w:line="221" w:lineRule="auto"/>
        <w:rPr>
          <w:sz w:val="20"/>
          <w:szCs w:val="20"/>
          <w:color w:val="auto"/>
        </w:rPr>
      </w:pPr>
      <w:r>
        <w:rPr>
          <w:rFonts w:ascii="Times New Roman" w:cs="Times New Roman" w:eastAsia="Times New Roman" w:hAnsi="Times New Roman"/>
          <w:sz w:val="14"/>
          <w:szCs w:val="14"/>
          <w:color w:val="808084"/>
        </w:rPr>
        <w:t>Fax: 212-303-2754</w:t>
      </w:r>
    </w:p>
    <w:p>
      <w:pPr>
        <w:spacing w:after="0" w:line="1"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color w:val="808084"/>
        </w:rPr>
        <w:t>www.lockelord.com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DOCS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 T.W. Alexander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‎4401 Research Commons,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N.C.‎22709‎</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F-3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New Jersey counsel to DOCS Global, Inc., a New Jersey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filing of a registration statement on Form F-3 by ICON plc, an Irish public limited company (“</w:t>
      </w:r>
      <w:r>
        <w:rPr>
          <w:rFonts w:ascii="Times New Roman" w:cs="Times New Roman" w:eastAsia="Times New Roman" w:hAnsi="Times New Roman"/>
          <w:sz w:val="18"/>
          <w:szCs w:val="18"/>
          <w:u w:val="single" w:color="auto"/>
          <w:color w:val="auto"/>
        </w:rPr>
        <w:t>ICON</w:t>
      </w:r>
      <w:r>
        <w:rPr>
          <w:rFonts w:ascii="Times New Roman" w:cs="Times New Roman" w:eastAsia="Times New Roman" w:hAnsi="Times New Roman"/>
          <w:sz w:val="18"/>
          <w:szCs w:val="18"/>
          <w:color w:val="auto"/>
        </w:rPr>
        <w:t>”) (Registration No. 333-278943) (including the documents incorporated by reference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relating to the registration pursuant to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pursuant to which ICON Investments Six Designated Activity Company, an Irish designated activity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is issuing (i) $750,000,000 aggregate principal amount of 5.809% Senior Secured Notes due 2027; (ii) $750,000,000 aggregated principal amount of 5.849% Senior Secured Notes due 2029; and (iii) $500,000,000 aggregate principal amount of 6.000% Senior Secured Notes due 2034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which Securities will be guaranteed by the Company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pursuant to Article 5 of the Supplemental Indenture and Article 10 of the Base Indenture (each, as‎ defined below).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being issued under an indenture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dated as of May 8, 2024, entered into among the ICON, the Issuer and Citibank, N.A.,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a first supplemental indenture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entered into among ICON, the Issuer, the Company, the other guarantors party thereto, the Trustee and Citibank, N.A., London Branch, as notes collateral agent (the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opinions set forth in this opinion letter, we have reviewed copies of the following documents:</w:t>
      </w:r>
    </w:p>
    <w:p>
      <w:pPr>
        <w:spacing w:after="0" w:line="225" w:lineRule="exact"/>
        <w:rPr>
          <w:sz w:val="20"/>
          <w:szCs w:val="20"/>
          <w:color w:val="auto"/>
        </w:rPr>
      </w:pPr>
    </w:p>
    <w:p>
      <w:pPr>
        <w:ind w:left="1140" w:hanging="646"/>
        <w:spacing w:after="0"/>
        <w:tabs>
          <w:tab w:leader="none" w:pos="11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w:t>
      </w:r>
    </w:p>
    <w:p>
      <w:pPr>
        <w:spacing w:after="0" w:line="225"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808084"/>
        </w:rPr>
        <w:t>Atlanta | Austin | Boston | Brussels | Chicago | Cincinnati | Dallas | Hartford | Houston | London | Los Angeles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808084"/>
        </w:rPr>
        <w:t>Miami | New Orleans | New York | Newark | Providence | San Francisco | Stamford | Washington DC | West Palm Beach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0"/>
          <w:szCs w:val="20"/>
          <w:color w:val="auto"/>
        </w:rPr>
        <w:t>DOCS Global,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8, 2024</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12" w:lineRule="exact"/>
        <w:rPr>
          <w:sz w:val="20"/>
          <w:szCs w:val="20"/>
          <w:color w:val="auto"/>
        </w:rPr>
      </w:pPr>
    </w:p>
    <w:p>
      <w:pPr>
        <w:jc w:val="both"/>
        <w:ind w:left="1140" w:hanging="646"/>
        <w:spacing w:after="0" w:line="258" w:lineRule="auto"/>
        <w:tabs>
          <w:tab w:leader="none" w:pos="11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dated April 26, 2024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as supplemented by the preliminary prospectus supplement, dated April 26, 2024 (including the documents incorporated therein by reference, together with the Base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filed pursuant to Rule 424(b) under the Securities Act and the prospectus supplement dated April 30, 2024 (including the documents incorporated therein by reference,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pursuant to Rule 424(b) under the Securities Act;</w:t>
      </w:r>
    </w:p>
    <w:p>
      <w:pPr>
        <w:spacing w:after="0" w:line="183"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dated as of April 30, 2024, among ICON, the Issuer, the Company, the other guarantors party thereto and Citigroup Global Markets Inc., HSBC Securities (USA) Inc., J.P. Morgan Securities LLC, Morgan Stanley &amp; Co. LLC and Santander US Capital Markets LLC as underwriters listed therein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Certificate of Incorporation of the Company, as amended to date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as certified by the New Jersey Division of Revenue and Enterprise Services of the Department of the Treasury of the State of New Jersey (the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on February 13, 2024;</w:t>
      </w:r>
    </w:p>
    <w:p>
      <w:pPr>
        <w:spacing w:after="0" w:line="175" w:lineRule="exact"/>
        <w:rPr>
          <w:rFonts w:ascii="Times New Roman" w:cs="Times New Roman" w:eastAsia="Times New Roman" w:hAnsi="Times New Roman"/>
          <w:sz w:val="18"/>
          <w:szCs w:val="18"/>
          <w:color w:val="auto"/>
        </w:rPr>
      </w:pPr>
    </w:p>
    <w:p>
      <w:pPr>
        <w:ind w:left="1140" w:hanging="646"/>
        <w:spacing w:after="0" w:line="282" w:lineRule="auto"/>
        <w:tabs>
          <w:tab w:leader="none" w:pos="11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bylaws of the Company, certified by an officer of the Company as being true, complete and correct and in full force and effect;</w:t>
      </w:r>
    </w:p>
    <w:p>
      <w:pPr>
        <w:spacing w:after="0" w:line="161" w:lineRule="exact"/>
        <w:rPr>
          <w:rFonts w:ascii="Times New Roman" w:cs="Times New Roman" w:eastAsia="Times New Roman" w:hAnsi="Times New Roman"/>
          <w:sz w:val="18"/>
          <w:szCs w:val="18"/>
          <w:color w:val="auto"/>
        </w:rPr>
      </w:pPr>
    </w:p>
    <w:p>
      <w:pPr>
        <w:ind w:left="1140" w:hanging="646"/>
        <w:spacing w:after="0" w:line="282" w:lineRule="auto"/>
        <w:tabs>
          <w:tab w:leader="none" w:pos="11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standing issued by the Division, dated April 12, 2024, and a Status Report, dated May 6, 2024, in each case in respect of the Company (collectively, the “</w:t>
      </w:r>
      <w:r>
        <w:rPr>
          <w:rFonts w:ascii="Times New Roman" w:cs="Times New Roman" w:eastAsia="Times New Roman" w:hAnsi="Times New Roman"/>
          <w:sz w:val="18"/>
          <w:szCs w:val="18"/>
          <w:u w:val="single" w:color="auto"/>
          <w:color w:val="auto"/>
        </w:rPr>
        <w:t>Standing Certificate</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of the Company dated May 8,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documents specified in items (v) and (vi) above are referred to herein collectively herein as the “Governing‎ Documents”.‎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relied, without independent verification as to all matters of fact, upon certificates and written statements of officers of the Company and we have assumed that (i) the Registration Statement, and any amendments thereto (including any post effective amendments), will have become effective, (ii) all Securities will be issued and sold in compliance with applicable federal and state securities laws and in the manner stated in the Registration Statement and the Prospectus, (iii) the Issuer is validly existing and in good standing under the laws of the jurisdiction in which it is organized, (iv) all corporate or other action required to be taken to duly authorize each proposed issuance by the Issuer and any related documentation shall have been duly completed and shall remain in full force and effect, (v) except as provided in our opinions herein, the Underwriting Agreement has been duly authorized and validly executed and delivered by the Issuer and the other parties thereto in accordance with their respective organizational documents and the laws of the respective jurisdictions in which the Issuer and such other parties are organized, (vi) except as provided in our opinions herein, the Indenture has been duly executed and delivered by the Issuer and all other parties thereto and duly qualified under the Trust Indenture Act of 1939, as amended, and (vii) the execution, delivery, issuance and performance, as applicable, by the Issuer of the Underwriting Agreement will not constitute a breach or violation of its organizational documents or violate the law of the jurisdiction in which the Issuer is organized.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0"/>
          <w:szCs w:val="20"/>
          <w:color w:val="auto"/>
        </w:rPr>
        <w:t>DOCS Global,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8, 2024</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advise you that, (i) we do not represent the Company on a regular basis and there are consequently many matters of a legal nature concerning the Company, as well as other matters about which we have not been consulted and about which we have no knowledge and (ii) we were not involved in the drafting or negotiation of the Registration Statement, the Indenture or the Prospectus or any amendments of supplements to any of them, and express no opinion with respect to any representations, warranties, covenants or facts set forth in any of the foregoing.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rendering the following opinions, we are expressing no opinion as to Federal or state laws relating to voidable or fraudulent transfers and we are not passing upon, and assume no responsibility for, any disclosure in any registration statement or any related prospectus or other offering material relating to the offer and sale of the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exceptions, qualifications and limitations set forth herein, we are of the opinion that:</w:t>
      </w:r>
    </w:p>
    <w:p>
      <w:pPr>
        <w:spacing w:after="0" w:line="225" w:lineRule="exact"/>
        <w:rPr>
          <w:sz w:val="20"/>
          <w:szCs w:val="20"/>
          <w:color w:val="auto"/>
        </w:rPr>
      </w:pPr>
    </w:p>
    <w:p>
      <w:pPr>
        <w:jc w:val="both"/>
        <w:ind w:firstLine="656"/>
        <w:spacing w:after="0" w:line="266" w:lineRule="auto"/>
        <w:tabs>
          <w:tab w:leader="none" w:pos="132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validly existing and in good standing under the laws of the State of New Jersey. The Company has all requisite corporate power and authority under the New Jersey Business Corporation Act (Title 14A of the New Jersey Revised Statutes) to enter into, execute, deliver and perform its obligations under the Supplemental Indenture, including the Guarantee contained therein and in the Base Indenture.</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3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Supplemental Indenture (including the Guarantee contained therein), the performance of the Company’s obligations thereunder and the consummation of the transactions contemplated thereby have been duly authorized by all necessary corporate action on the part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order, license or permit from, or filing, registration or qualification with, or exemption by, any New Jersey governmental body or authority, or subdivision thereof or any other person or entity is required to authorize the Company, or is required on the Company’s part in connection with the execution, validity, delivery and performance by the Company of the Guarantee under the laws of New Jersey applicable to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the Supplemental Indenture (including the Guarantee contained therein) will not violate or conflict with any provision of, or constitute a default under, the Company’s Governing Documents, and will not violate any New Jersey law, rule or regulation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0"/>
          <w:szCs w:val="20"/>
          <w:color w:val="auto"/>
        </w:rPr>
        <w:t>DOCS Global,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8, 2024</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and other matters in this opinion letter are qualified in their entirety and subject to the following:</w:t>
      </w:r>
    </w:p>
    <w:p>
      <w:pPr>
        <w:spacing w:after="0" w:line="225" w:lineRule="exact"/>
        <w:rPr>
          <w:sz w:val="20"/>
          <w:szCs w:val="20"/>
          <w:color w:val="auto"/>
        </w:rPr>
      </w:pPr>
    </w:p>
    <w:p>
      <w:pPr>
        <w:ind w:left="1300" w:hanging="644"/>
        <w:spacing w:after="0" w:line="282" w:lineRule="auto"/>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members of the bar of the State of New Jersey, and in rendering this opinion we express no opinion as to the laws of any jurisdiction other than the laws of the State of New Jersey.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and the opinions contained herein are given as of the date hereof, and we undertake no, and hereby disclaim any, obligation to advise you of any change in any matter set forth herein, whether based on a change in the law, a change in any fact relating to the Company or any other person, or any other circumstance. This opinion letter is limited to the matters expressly stated herein and no other opinions are implied or are otherwise to be inferred.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been called upon to, and accordingly do not, express any opinion as to the enforceability of any Transaction Document.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Cahill Gordon &amp; Reindel LLP (“</w:t>
      </w:r>
      <w:r>
        <w:rPr>
          <w:rFonts w:ascii="Times New Roman" w:cs="Times New Roman" w:eastAsia="Times New Roman" w:hAnsi="Times New Roman"/>
          <w:sz w:val="18"/>
          <w:szCs w:val="18"/>
          <w:u w:val="single" w:color="auto"/>
          <w:color w:val="auto"/>
        </w:rPr>
        <w:t>Cahill</w:t>
      </w:r>
      <w:r>
        <w:rPr>
          <w:rFonts w:ascii="Times New Roman" w:cs="Times New Roman" w:eastAsia="Times New Roman" w:hAnsi="Times New Roman"/>
          <w:sz w:val="18"/>
          <w:szCs w:val="18"/>
          <w:color w:val="auto"/>
        </w:rPr>
        <w:t>”) will rely as to matters of New Jersey law, as applicable, upon this opinion in connection with any legal opinion that they may be required to give with respect to the Registration Statement. In connection with the foregoing, we hereby consent to your and Cahill’s relying as to matters of New Jersey law, as applicable, upon this opinion.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ICON’s Current Report on Form 6-K to be filed on the date hereof, which Form 6-K will be incorporated by reference into the Registration Statement, and to the reference to our firm under the heading “Legal Matters” in the prospectus included in the Registration Statement. In giving such consent, we do not thereby admit that we are in the category of persons whose consent is required under Section 7 of the Securities Act. This opinion is furnished to you in connection with the filing of the Registration Statement and in accordance with the requirements of Item 601(b)(5) of Regulation S-K promulgated under the Securities Act, and is not to be used, circulated, quoted or otherwise relied upon for any other purposes.</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LOCKE LORD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1" w:name="page272"/>
    <w:bookmarkEnd w:id="271"/>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 OF GUARANTEED SECURITIES AND AFFILIATES WHOSE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COLLATERALIZE SECURITIES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ICON plc, (the “Company”) are guarantors of ICON Investments Six Designated Activity Company’s (the “Issuer”) 5.809%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 5.849% Senior Secured Notes due 2029 and 6.000% Senior Secured Notes due 2034: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r>
      <w:tr>
        <w:trPr>
          <w:trHeight w:val="216"/>
        </w:trPr>
        <w:tc>
          <w:tcPr>
            <w:tcW w:w="6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INCORPORATION OR</w:t>
            </w:r>
          </w:p>
        </w:tc>
      </w:tr>
      <w:tr>
        <w:trPr>
          <w:trHeight w:val="245"/>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320" w:type="dxa"/>
            <w:vAlign w:val="bottom"/>
          </w:tcPr>
          <w:p>
            <w:pPr>
              <w:spacing w:after="0"/>
              <w:rPr>
                <w:sz w:val="21"/>
                <w:szCs w:val="21"/>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ORGANIZATION</w:t>
            </w: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ICON Global Treasury Unlimited Company</w:t>
            </w:r>
          </w:p>
        </w:tc>
        <w:tc>
          <w:tcPr>
            <w:tcW w:w="132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DOCS Resourcing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Investments Four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Luxembourg S.à r.l.</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Beacon Bioscience,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MolecularMD Corp.</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PriceSpective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DOCS Global,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US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Illinois</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CRN Holdings,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183"/>
        </w:trPr>
        <w:tc>
          <w:tcPr>
            <w:tcW w:w="6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266"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All issued and outstanding equity securities of the following subsidiaries of the Company, subject to the limitations set forth below, collateralize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5.809% Senior Secured Notes due 2027, 5.849% Senior Secured Notes due 2029 and 6.000% Senior Secured Notes due 2034: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(STATE OR OTHER JURISDICTION OF</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PLEDGED</w:t>
            </w:r>
          </w:p>
        </w:tc>
      </w:tr>
      <w:tr>
        <w:trPr>
          <w:trHeight w:val="198"/>
        </w:trPr>
        <w:tc>
          <w:tcPr>
            <w:tcW w:w="45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ICON Investments Six Designated Activity Company</w:t>
            </w:r>
          </w:p>
        </w:tc>
        <w:tc>
          <w:tcPr>
            <w:tcW w:w="460" w:type="dxa"/>
            <w:vAlign w:val="bottom"/>
          </w:tcPr>
          <w:p>
            <w:pPr>
              <w:spacing w:after="0"/>
              <w:rPr>
                <w:sz w:val="17"/>
                <w:szCs w:val="17"/>
                <w:color w:val="auto"/>
              </w:rPr>
            </w:pPr>
          </w:p>
        </w:tc>
        <w:tc>
          <w:tcPr>
            <w:tcW w:w="4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ICON plc</w:t>
            </w:r>
          </w:p>
        </w:tc>
        <w:tc>
          <w:tcPr>
            <w:tcW w:w="26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Investments Four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Holdings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Investments Five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DOCS Resourcing Limited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Property Holdings (Ireland) Limited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(LR) Limited (United Kingdom)</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Accellacare Limited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r.l.(Luxembourg)</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Early Phase Services, LLC (f/k/a Healthcare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Discoveries, LLC) (Texas)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Beacon Bioscience, Inc.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Laboratories, Inc.) (Delaware)</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MolecularMD Corp.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Laboratories, Inc.)</w:t>
            </w: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PriceSpective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CRN Holdings,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Investments,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Resource Network, LLC (d/b/a Symphony Clinical</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CRN Holdings,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(Illinois)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DOCS Global, Inc. (New Jersey)</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Accellacare US Inc. (North Carolina)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RPS Bermuda, Ltd. (Bermuda)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de Recherche Pharmaceutique Srl (Canada)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 Health Sciences Colombia Ltda. (Colombia)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183"/>
        </w:trPr>
        <w:tc>
          <w:tcPr>
            <w:tcW w:w="4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Hungary Research and</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Ltd. (Hungary)</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Italy S.r.l. (Italy)</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Mexico S. de R.L. de C.</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 (Mexico)</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Mexico S. de R.L. de C.</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 International,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 (Mexico)</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Netherlands B.V.</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RPS Perú S.A.C. (Peru)</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Puerto Rico, Inc. (Puerto</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Rico)</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Romania S.R.L.</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España, S.A.U. (Spain)</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Sweden AB (Sweden)</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RPS Research (Thailand) Co., Ltd. (Thailand)</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Sterling Synergy Systems Limited (United Kingdom)</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ClinStar LLC (California)</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Nextrials, Inc. (California)</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Care Innovations, Inc.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CRI NewCo, Inc.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Medical Technical Consultants,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Parallel 6, Inc.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 Early Development Research, Inc. (f/k/a Pharma Bio-</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USA, Inc.) (Delaware)</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ICON US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 Health Sciences,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 Receivables,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 RPS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Source Healthcare Analytics,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Sunset Hills,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Symphony Health Solutions Corporation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 (Virginia)</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 International,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RPS Parent Holding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PRA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 (Delaware)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RPS Global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ICON Government and Public Health Solutions, Inc.</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ICON US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4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Bristol, LLC (Tennessee)</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Charleston, LLC (South Carolina)</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Charlotte, LLC (North Carolina)</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Christie Clinic, LLC (Illinois)</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Hickory, LLC (North Carolina)</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3"/>
        </w:trPr>
        <w:tc>
          <w:tcPr>
            <w:tcW w:w="474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Raleigh,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Rocky Mount,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Salisbury,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Wilmington,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Winston-Salem,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Averion Europe GmbH (Germany)</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CHC Group,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PubsHub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Global Pharmaceutical Strategies Group,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MMMM Group,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Tennessee,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ADDPLAN,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Tennessee,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CRN North America, LLC (d/b/a Symphony Clinical Staffing)</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CRN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Symphony Clinical Research Sp. Z O O. (Poland)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CRN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(U.K.) Limited (United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Oncacare Limited (Ireland)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Biotel Research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HumanFirst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3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17"/>
        </w:trPr>
        <w:tc>
          <w:tcPr>
            <w:tcW w:w="47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34C574C"/>
    <w:multiLevelType w:val="hybridMultilevel"/>
    <w:lvl w:ilvl="0">
      <w:lvlJc w:val="left"/>
      <w:lvlText w:val="$"/>
      <w:numFmt w:val="bullet"/>
      <w:start w:val="1"/>
    </w:lvl>
  </w:abstractNum>
  <w:abstractNum w:abstractNumId="1">
    <w:nsid w:val="24E99DD7"/>
    <w:multiLevelType w:val="hybridMultilevel"/>
    <w:lvl w:ilvl="0">
      <w:lvlJc w:val="left"/>
      <w:lvlText w:val="%1."/>
      <w:numFmt w:val="decimal"/>
      <w:start w:val="1"/>
    </w:lvl>
  </w:abstractNum>
  <w:abstractNum w:abstractNumId="2">
    <w:nsid w:val="2A31B62D"/>
    <w:multiLevelType w:val="hybridMultilevel"/>
    <w:lvl w:ilvl="0">
      <w:lvlJc w:val="left"/>
      <w:lvlText w:val="%1."/>
      <w:numFmt w:val="decimal"/>
      <w:start w:val="2"/>
    </w:lvl>
  </w:abstractNum>
  <w:abstractNum w:abstractNumId="3">
    <w:nsid w:val="1849C29B"/>
    <w:multiLevelType w:val="hybridMultilevel"/>
    <w:lvl w:ilvl="0">
      <w:lvlJc w:val="left"/>
      <w:lvlText w:val="(%1)"/>
      <w:numFmt w:val="lowerLetter"/>
      <w:start w:val="1"/>
    </w:lvl>
  </w:abstractNum>
  <w:abstractNum w:abstractNumId="4">
    <w:nsid w:val="7DFF9D09"/>
    <w:multiLevelType w:val="hybridMultilevel"/>
    <w:lvl w:ilvl="0">
      <w:lvlJc w:val="left"/>
      <w:lvlText w:val="(%1)"/>
      <w:numFmt w:val="lowerLetter"/>
      <w:start w:val="4"/>
    </w:lvl>
  </w:abstractNum>
  <w:abstractNum w:abstractNumId="5">
    <w:nsid w:val="754342"/>
    <w:multiLevelType w:val="hybridMultilevel"/>
    <w:lvl w:ilvl="0">
      <w:lvlJc w:val="left"/>
      <w:lvlText w:val="%1."/>
      <w:numFmt w:val="decimal"/>
      <w:start w:val="3"/>
    </w:lvl>
  </w:abstractNum>
  <w:abstractNum w:abstractNumId="6">
    <w:nsid w:val="69E7F3E5"/>
    <w:multiLevelType w:val="hybridMultilevel"/>
    <w:lvl w:ilvl="0">
      <w:lvlJc w:val="left"/>
      <w:lvlText w:val="%1"/>
      <w:numFmt w:val="lowerLetter"/>
      <w:start w:val="1"/>
    </w:lvl>
    <w:lvl w:ilvl="1">
      <w:lvlJc w:val="left"/>
      <w:lvlText w:val="(%2)"/>
      <w:numFmt w:val="lowerLetter"/>
      <w:start w:val="1"/>
    </w:lvl>
  </w:abstractNum>
  <w:abstractNum w:abstractNumId="7">
    <w:nsid w:val="2A6DE806"/>
    <w:multiLevelType w:val="hybridMultilevel"/>
    <w:lvl w:ilvl="0">
      <w:lvlJc w:val="left"/>
      <w:lvlText w:val="(%1)"/>
      <w:numFmt w:val="lowerLetter"/>
      <w:start w:val="1"/>
    </w:lvl>
    <w:lvl w:ilvl="1">
      <w:lvlJc w:val="left"/>
      <w:lvlText w:val="%2"/>
      <w:numFmt w:val="lowerLetter"/>
      <w:start w:val="1"/>
    </w:lvl>
  </w:abstractNum>
  <w:abstractNum w:abstractNumId="8">
    <w:nsid w:val="1816F8C4"/>
    <w:multiLevelType w:val="hybridMultilevel"/>
    <w:lvl w:ilvl="0">
      <w:lvlJc w:val="left"/>
      <w:lvlText w:val="(%1)"/>
      <w:numFmt w:val="lowerLetter"/>
      <w:start w:val="4"/>
    </w:lvl>
  </w:abstractNum>
  <w:abstractNum w:abstractNumId="9">
    <w:nsid w:val="37DF2233"/>
    <w:multiLevelType w:val="hybridMultilevel"/>
    <w:lvl w:ilvl="0">
      <w:lvlJc w:val="left"/>
      <w:lvlText w:val="(%1)"/>
      <w:numFmt w:val="lowerLetter"/>
      <w:start w:val="6"/>
    </w:lvl>
  </w:abstractNum>
  <w:abstractNum w:abstractNumId="10">
    <w:nsid w:val="7AB49DAF"/>
    <w:multiLevelType w:val="hybridMultilevel"/>
    <w:lvl w:ilvl="0">
      <w:lvlJc w:val="left"/>
      <w:lvlText w:val="(%1)"/>
      <w:numFmt w:val="lowerLetter"/>
      <w:start w:val="11"/>
    </w:lvl>
  </w:abstractNum>
  <w:abstractNum w:abstractNumId="11">
    <w:nsid w:val="759F82CD"/>
    <w:multiLevelType w:val="hybridMultilevel"/>
    <w:lvl w:ilvl="0">
      <w:lvlJc w:val="left"/>
      <w:lvlText w:val="(%1)"/>
      <w:numFmt w:val="lowerLetter"/>
      <w:start w:val="15"/>
    </w:lvl>
  </w:abstractNum>
  <w:abstractNum w:abstractNumId="12">
    <w:nsid w:val="61E74EA3"/>
    <w:multiLevelType w:val="hybridMultilevel"/>
    <w:lvl w:ilvl="0">
      <w:lvlJc w:val="left"/>
      <w:lvlText w:val="(%1)"/>
      <w:numFmt w:val="lowerLetter"/>
      <w:start w:val="19"/>
    </w:lvl>
  </w:abstractNum>
  <w:abstractNum w:abstractNumId="13">
    <w:nsid w:val="597B4D84"/>
    <w:multiLevelType w:val="hybridMultilevel"/>
    <w:lvl w:ilvl="0">
      <w:lvlJc w:val="left"/>
      <w:lvlText w:val="(%1)"/>
      <w:numFmt w:val="lowerLetter"/>
      <w:start w:val="22"/>
    </w:lvl>
  </w:abstractNum>
  <w:abstractNum w:abstractNumId="14">
    <w:nsid w:val="F819E7F"/>
    <w:multiLevelType w:val="hybridMultilevel"/>
    <w:lvl w:ilvl="0">
      <w:lvlJc w:val="left"/>
      <w:lvlText w:val="(%1)"/>
      <w:numFmt w:val="lowerLetter"/>
      <w:start w:val="25"/>
    </w:lvl>
  </w:abstractNum>
  <w:abstractNum w:abstractNumId="15">
    <w:nsid w:val="57C7D42D"/>
    <w:multiLevelType w:val="hybridMultilevel"/>
    <w:lvl w:ilvl="0">
      <w:lvlJc w:val="left"/>
      <w:lvlText w:val="%1"/>
      <w:numFmt w:val="lowerLetter"/>
      <w:start w:val="1"/>
    </w:lvl>
    <w:lvl w:ilvl="1">
      <w:lvlJc w:val="left"/>
      <w:lvlText w:val="(%2)"/>
      <w:numFmt w:val="lowerLetter"/>
      <w:start w:val="27"/>
    </w:lvl>
  </w:abstractNum>
  <w:abstractNum w:abstractNumId="16">
    <w:nsid w:val="312167AD"/>
    <w:multiLevelType w:val="hybridMultilevel"/>
    <w:lvl w:ilvl="0">
      <w:lvlJc w:val="left"/>
      <w:lvlText w:val="(%1)"/>
      <w:numFmt w:val="lowerLetter"/>
      <w:start w:val="35"/>
    </w:lvl>
    <w:lvl w:ilvl="1">
      <w:lvlJc w:val="left"/>
      <w:lvlText w:val="(%2)"/>
      <w:numFmt w:val="lowerLetter"/>
      <w:start w:val="28"/>
    </w:lvl>
  </w:abstractNum>
  <w:abstractNum w:abstractNumId="17">
    <w:nsid w:val="631B64D4"/>
    <w:multiLevelType w:val="hybridMultilevel"/>
    <w:lvl w:ilvl="0">
      <w:lvlJc w:val="left"/>
      <w:lvlText w:val="(%1)"/>
      <w:numFmt w:val="lowerLetter"/>
      <w:start w:val="30"/>
    </w:lvl>
  </w:abstractNum>
  <w:abstractNum w:abstractNumId="18">
    <w:nsid w:val="78B5E776"/>
    <w:multiLevelType w:val="hybridMultilevel"/>
    <w:lvl w:ilvl="0">
      <w:lvlJc w:val="left"/>
      <w:lvlText w:val="(%1)"/>
      <w:numFmt w:val="lowerLetter"/>
      <w:start w:val="34"/>
    </w:lvl>
  </w:abstractNum>
  <w:abstractNum w:abstractNumId="19">
    <w:nsid w:val="75486E47"/>
    <w:multiLevelType w:val="hybridMultilevel"/>
    <w:lvl w:ilvl="0">
      <w:lvlJc w:val="left"/>
      <w:lvlText w:val="%1"/>
      <w:numFmt w:val="lowerLetter"/>
      <w:start w:val="1"/>
    </w:lvl>
    <w:lvl w:ilvl="1">
      <w:lvlJc w:val="left"/>
      <w:lvlText w:val="(%2)"/>
      <w:numFmt w:val="lowerLetter"/>
      <w:start w:val="37"/>
    </w:lvl>
  </w:abstractNum>
  <w:abstractNum w:abstractNumId="20">
    <w:nsid w:val="6E534CDE"/>
    <w:multiLevelType w:val="hybridMultilevel"/>
    <w:lvl w:ilvl="0">
      <w:lvlJc w:val="left"/>
      <w:lvlText w:val="(%1)"/>
      <w:numFmt w:val="lowerLetter"/>
      <w:start w:val="35"/>
    </w:lvl>
    <w:lvl w:ilvl="1">
      <w:lvlJc w:val="left"/>
      <w:lvlText w:val="(%2)"/>
      <w:numFmt w:val="lowerLetter"/>
      <w:start w:val="42"/>
    </w:lvl>
  </w:abstractNum>
  <w:abstractNum w:abstractNumId="21">
    <w:nsid w:val="1A0DDE32"/>
    <w:multiLevelType w:val="hybridMultilevel"/>
    <w:lvl w:ilvl="0">
      <w:lvlJc w:val="left"/>
      <w:lvlText w:val="%1."/>
      <w:numFmt w:val="decimal"/>
      <w:start w:val="4"/>
    </w:lvl>
  </w:abstractNum>
  <w:abstractNum w:abstractNumId="22">
    <w:nsid w:val="65968C1C"/>
    <w:multiLevelType w:val="hybridMultilevel"/>
    <w:lvl w:ilvl="0">
      <w:lvlJc w:val="left"/>
      <w:lvlText w:val="(%1)"/>
      <w:numFmt w:val="lowerLetter"/>
      <w:start w:val="1"/>
    </w:lvl>
  </w:abstractNum>
  <w:abstractNum w:abstractNumId="23">
    <w:nsid w:val="46263DEC"/>
    <w:multiLevelType w:val="hybridMultilevel"/>
    <w:lvl w:ilvl="0">
      <w:lvlJc w:val="left"/>
      <w:lvlText w:val="(%1)"/>
      <w:numFmt w:val="lowerLetter"/>
      <w:start w:val="2"/>
    </w:lvl>
  </w:abstractNum>
  <w:abstractNum w:abstractNumId="24">
    <w:nsid w:val="260D8C4A"/>
    <w:multiLevelType w:val="hybridMultilevel"/>
    <w:lvl w:ilvl="0">
      <w:lvlJc w:val="left"/>
      <w:lvlText w:val="(%1)"/>
      <w:numFmt w:val="lowerLetter"/>
      <w:start w:val="5"/>
    </w:lvl>
  </w:abstractNum>
  <w:abstractNum w:abstractNumId="25">
    <w:nsid w:val="73D4D3C4"/>
    <w:multiLevelType w:val="hybridMultilevel"/>
    <w:lvl w:ilvl="0">
      <w:lvlJc w:val="left"/>
      <w:lvlText w:val="(%1)"/>
      <w:numFmt w:val="lowerLetter"/>
      <w:start w:val="10"/>
    </w:lvl>
  </w:abstractNum>
  <w:abstractNum w:abstractNumId="26">
    <w:nsid w:val="746F2E30"/>
    <w:multiLevelType w:val="hybridMultilevel"/>
    <w:lvl w:ilvl="0">
      <w:lvlJc w:val="left"/>
      <w:lvlText w:val="(%1)"/>
      <w:numFmt w:val="lowerLetter"/>
      <w:start w:val="1"/>
    </w:lvl>
  </w:abstractNum>
  <w:abstractNum w:abstractNumId="27">
    <w:nsid w:val="6FDE8AF6"/>
    <w:multiLevelType w:val="hybridMultilevel"/>
    <w:lvl w:ilvl="0">
      <w:lvlJc w:val="left"/>
      <w:lvlText w:val="%1"/>
      <w:numFmt w:val="lowerLetter"/>
      <w:start w:val="1"/>
    </w:lvl>
    <w:lvl w:ilvl="1">
      <w:lvlJc w:val="left"/>
      <w:lvlText w:val="(%2)"/>
      <w:numFmt w:val="lowerLetter"/>
      <w:start w:val="2"/>
    </w:lvl>
  </w:abstractNum>
  <w:abstractNum w:abstractNumId="28">
    <w:nsid w:val="3FC32E20"/>
    <w:multiLevelType w:val="hybridMultilevel"/>
    <w:lvl w:ilvl="0">
      <w:lvlJc w:val="left"/>
      <w:lvlText w:val="(%1)"/>
      <w:numFmt w:val="lowerLetter"/>
      <w:start w:val="9"/>
    </w:lvl>
    <w:lvl w:ilvl="1">
      <w:lvlJc w:val="left"/>
      <w:lvlText w:val="(%2)"/>
      <w:numFmt w:val="lowerLetter"/>
      <w:start w:val="7"/>
    </w:lvl>
  </w:abstractNum>
  <w:abstractNum w:abstractNumId="29">
    <w:nsid w:val="49C0E823"/>
    <w:multiLevelType w:val="hybridMultilevel"/>
    <w:lvl w:ilvl="0">
      <w:lvlJc w:val="left"/>
      <w:lvlText w:val="%1."/>
      <w:numFmt w:val="decimal"/>
      <w:start w:val="6"/>
    </w:lvl>
  </w:abstractNum>
  <w:abstractNum w:abstractNumId="30">
    <w:nsid w:val="14D53685"/>
    <w:multiLevelType w:val="hybridMultilevel"/>
    <w:lvl w:ilvl="0">
      <w:lvlJc w:val="left"/>
      <w:lvlText w:val="(%1)"/>
      <w:numFmt w:val="lowerLetter"/>
      <w:start w:val="1"/>
    </w:lvl>
  </w:abstractNum>
  <w:abstractNum w:abstractNumId="31">
    <w:nsid w:val="230F856C"/>
    <w:multiLevelType w:val="hybridMultilevel"/>
    <w:lvl w:ilvl="0">
      <w:lvlJc w:val="left"/>
      <w:lvlText w:val="(%1)"/>
      <w:numFmt w:val="lowerLetter"/>
      <w:start w:val="2"/>
    </w:lvl>
  </w:abstractNum>
  <w:abstractNum w:abstractNumId="32">
    <w:nsid w:val="6EAA85FB"/>
    <w:multiLevelType w:val="hybridMultilevel"/>
    <w:lvl w:ilvl="0">
      <w:lvlJc w:val="left"/>
      <w:lvlText w:val="(%1)"/>
      <w:numFmt w:val="lowerLetter"/>
      <w:start w:val="8"/>
    </w:lvl>
  </w:abstractNum>
  <w:abstractNum w:abstractNumId="33">
    <w:nsid w:val="3F06ECB2"/>
    <w:multiLevelType w:val="hybridMultilevel"/>
    <w:lvl w:ilvl="0">
      <w:lvlJc w:val="left"/>
      <w:lvlText w:val="(%1)"/>
      <w:numFmt w:val="lowerLetter"/>
      <w:start w:val="14"/>
    </w:lvl>
  </w:abstractNum>
  <w:abstractNum w:abstractNumId="34">
    <w:nsid w:val="3B594807"/>
    <w:multiLevelType w:val="hybridMultilevel"/>
    <w:lvl w:ilvl="0">
      <w:lvlJc w:val="left"/>
      <w:lvlText w:val="%1."/>
      <w:numFmt w:val="decimal"/>
      <w:start w:val="7"/>
    </w:lvl>
  </w:abstractNum>
  <w:abstractNum w:abstractNumId="35">
    <w:nsid w:val="6CAA2304"/>
    <w:multiLevelType w:val="hybridMultilevel"/>
    <w:lvl w:ilvl="0">
      <w:lvlJc w:val="left"/>
      <w:lvlText w:val="(%1)"/>
      <w:numFmt w:val="lowerLetter"/>
      <w:start w:val="1"/>
    </w:lvl>
  </w:abstractNum>
  <w:abstractNum w:abstractNumId="36">
    <w:nsid w:val="3F7C2FF4"/>
    <w:multiLevelType w:val="hybridMultilevel"/>
    <w:lvl w:ilvl="0">
      <w:lvlJc w:val="left"/>
      <w:lvlText w:val="(%1)"/>
      <w:numFmt w:val="lowerLetter"/>
      <w:start w:val="3"/>
    </w:lvl>
  </w:abstractNum>
  <w:abstractNum w:abstractNumId="37">
    <w:nsid w:val="25413BEC"/>
    <w:multiLevelType w:val="hybridMultilevel"/>
    <w:lvl w:ilvl="0">
      <w:lvlJc w:val="left"/>
      <w:lvlText w:val="(%1)"/>
      <w:numFmt w:val="lowerLetter"/>
      <w:start w:val="4"/>
    </w:lvl>
  </w:abstractNum>
  <w:abstractNum w:abstractNumId="38">
    <w:nsid w:val="17180B0B"/>
    <w:multiLevelType w:val="hybridMultilevel"/>
    <w:lvl w:ilvl="0">
      <w:lvlJc w:val="left"/>
      <w:lvlText w:val="(%1)"/>
      <w:numFmt w:val="lowerLetter"/>
      <w:start w:val="6"/>
    </w:lvl>
  </w:abstractNum>
  <w:abstractNum w:abstractNumId="39">
    <w:nsid w:val="579328B9"/>
    <w:multiLevelType w:val="hybridMultilevel"/>
    <w:lvl w:ilvl="0">
      <w:lvlJc w:val="left"/>
      <w:lvlText w:val="%1."/>
      <w:numFmt w:val="decimal"/>
      <w:start w:val="8"/>
    </w:lvl>
  </w:abstractNum>
  <w:abstractNum w:abstractNumId="40">
    <w:nsid w:val="5D205E20"/>
    <w:multiLevelType w:val="hybridMultilevel"/>
    <w:lvl w:ilvl="0">
      <w:lvlJc w:val="left"/>
      <w:lvlText w:val="(%1)"/>
      <w:numFmt w:val="lowerLetter"/>
      <w:start w:val="1"/>
    </w:lvl>
  </w:abstractNum>
  <w:abstractNum w:abstractNumId="41">
    <w:nsid w:val="11CCA8BA"/>
    <w:multiLevelType w:val="hybridMultilevel"/>
    <w:lvl w:ilvl="0">
      <w:lvlJc w:val="left"/>
      <w:lvlText w:val="(%1)"/>
      <w:numFmt w:val="lowerLetter"/>
      <w:start w:val="4"/>
    </w:lvl>
  </w:abstractNum>
  <w:abstractNum w:abstractNumId="42">
    <w:nsid w:val="4D32AB86"/>
    <w:multiLevelType w:val="hybridMultilevel"/>
    <w:lvl w:ilvl="0">
      <w:lvlJc w:val="left"/>
      <w:lvlText w:val="%1."/>
      <w:numFmt w:val="decimal"/>
      <w:start w:val="11"/>
    </w:lvl>
  </w:abstractNum>
  <w:abstractNum w:abstractNumId="43">
    <w:nsid w:val="3F07ACC3"/>
    <w:multiLevelType w:val="hybridMultilevel"/>
    <w:lvl w:ilvl="0">
      <w:lvlJc w:val="left"/>
      <w:lvlText w:val="(%1)"/>
      <w:numFmt w:val="lowerLetter"/>
      <w:start w:val="1"/>
    </w:lvl>
  </w:abstractNum>
  <w:abstractNum w:abstractNumId="44">
    <w:nsid w:val="6B47F63E"/>
    <w:multiLevelType w:val="hybridMultilevel"/>
    <w:lvl w:ilvl="0">
      <w:lvlJc w:val="left"/>
      <w:lvlText w:val="%1."/>
      <w:numFmt w:val="decimal"/>
      <w:start w:val="12"/>
    </w:lvl>
  </w:abstractNum>
  <w:abstractNum w:abstractNumId="45">
    <w:nsid w:val="5CB44A05"/>
    <w:multiLevelType w:val="hybridMultilevel"/>
    <w:lvl w:ilvl="0">
      <w:lvlJc w:val="left"/>
      <w:lvlText w:val="%1."/>
      <w:numFmt w:val="decimal"/>
      <w:start w:val="13"/>
    </w:lvl>
  </w:abstractNum>
  <w:abstractNum w:abstractNumId="46">
    <w:nsid w:val="16CF80F1"/>
    <w:multiLevelType w:val="hybridMultilevel"/>
    <w:lvl w:ilvl="0">
      <w:lvlJc w:val="left"/>
      <w:lvlText w:val="(%1)"/>
      <w:numFmt w:val="lowerLetter"/>
      <w:start w:val="1"/>
    </w:lvl>
  </w:abstractNum>
  <w:abstractNum w:abstractNumId="47">
    <w:nsid w:val="1C695DEC"/>
    <w:multiLevelType w:val="hybridMultilevel"/>
    <w:lvl w:ilvl="0">
      <w:lvlJc w:val="left"/>
      <w:lvlText w:val="(%1)"/>
      <w:numFmt w:val="lowerLetter"/>
      <w:start w:val="3"/>
    </w:lvl>
    <w:lvl w:ilvl="1">
      <w:lvlJc w:val="left"/>
      <w:lvlText w:val="(%2)"/>
      <w:numFmt w:val="lowerLetter"/>
      <w:start w:val="9"/>
    </w:lvl>
  </w:abstractNum>
  <w:abstractNum w:abstractNumId="48">
    <w:nsid w:val="3FCFAED9"/>
    <w:multiLevelType w:val="hybridMultilevel"/>
    <w:lvl w:ilvl="0">
      <w:lvlJc w:val="left"/>
      <w:lvlText w:val="(%1)"/>
      <w:numFmt w:val="lowerRoman"/>
      <w:start w:val="2"/>
    </w:lvl>
  </w:abstractNum>
  <w:abstractNum w:abstractNumId="49">
    <w:nsid w:val="F856867"/>
    <w:multiLevelType w:val="hybridMultilevel"/>
    <w:lvl w:ilvl="0">
      <w:lvlJc w:val="left"/>
      <w:lvlText w:val="(%1)"/>
      <w:numFmt w:val="lowerRoman"/>
      <w:start w:val="1"/>
    </w:lvl>
  </w:abstractNum>
  <w:abstractNum w:abstractNumId="50">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1">
    <w:nsid w:val="2E22FBB7"/>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52">
    <w:nsid w:val="2993469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3">
    <w:nsid w:val="77485850"/>
    <w:multiLevelType w:val="hybridMultilevel"/>
    <w:lvl w:ilvl="0">
      <w:lvlJc w:val="left"/>
      <w:lvlText w:val="(%1)"/>
      <w:numFmt w:val="lowerLetter"/>
      <w:start w:val="11"/>
    </w:lvl>
  </w:abstractNum>
  <w:abstractNum w:abstractNumId="54">
    <w:nsid w:val="744939A3"/>
    <w:multiLevelType w:val="hybridMultilevel"/>
    <w:lvl w:ilvl="0">
      <w:lvlJc w:val="left"/>
      <w:lvlText w:val="●"/>
      <w:numFmt w:val="bullet"/>
      <w:start w:val="1"/>
    </w:lvl>
  </w:abstractNum>
  <w:abstractNum w:abstractNumId="55">
    <w:nsid w:val="4FA0D2E3"/>
    <w:multiLevelType w:val="hybridMultilevel"/>
    <w:lvl w:ilvl="0">
      <w:lvlJc w:val="left"/>
      <w:lvlText w:val="(%1)"/>
      <w:numFmt w:val="decimal"/>
      <w:start w:val="1"/>
    </w:lvl>
  </w:abstractNum>
  <w:abstractNum w:abstractNumId="56">
    <w:nsid w:val="6B1D2C14"/>
    <w:multiLevelType w:val="hybridMultilevel"/>
    <w:lvl w:ilvl="0">
      <w:lvlJc w:val="left"/>
      <w:lvlText w:val="(%1)"/>
      <w:numFmt w:val="decimal"/>
      <w:start w:val="2"/>
    </w:lvl>
  </w:abstractNum>
  <w:abstractNum w:abstractNumId="57">
    <w:nsid w:val="68B867D3"/>
    <w:multiLevelType w:val="hybridMultilevel"/>
    <w:lvl w:ilvl="0">
      <w:lvlJc w:val="left"/>
      <w:lvlText w:val="(%1)"/>
      <w:numFmt w:val="decimal"/>
      <w:start w:val="1"/>
    </w:lvl>
  </w:abstractNum>
  <w:abstractNum w:abstractNumId="58">
    <w:nsid w:val="3F7F5DD9"/>
    <w:multiLevelType w:val="hybridMultilevel"/>
    <w:lvl w:ilvl="0">
      <w:lvlJc w:val="left"/>
      <w:lvlText w:val="(%1)"/>
      <w:numFmt w:val="lowerLetter"/>
      <w:start w:val="1"/>
    </w:lvl>
  </w:abstractNum>
  <w:abstractNum w:abstractNumId="59">
    <w:nsid w:val="2AE05A34"/>
    <w:multiLevelType w:val="hybridMultilevel"/>
    <w:lvl w:ilvl="0">
      <w:lvlJc w:val="left"/>
      <w:lvlText w:val="(%1)"/>
      <w:numFmt w:val="lowerLetter"/>
      <w:start w:val="5"/>
    </w:lvl>
  </w:abstractNum>
  <w:abstractNum w:abstractNumId="60">
    <w:nsid w:val="32794FF7"/>
    <w:multiLevelType w:val="hybridMultilevel"/>
    <w:lvl w:ilvl="0">
      <w:lvlJc w:val="left"/>
      <w:lvlText w:val="(%1)"/>
      <w:numFmt w:val="lowerLetter"/>
      <w:start w:val="1"/>
    </w:lvl>
  </w:abstractNum>
  <w:abstractNum w:abstractNumId="61">
    <w:nsid w:val="5454945E"/>
    <w:multiLevelType w:val="hybridMultilevel"/>
    <w:lvl w:ilvl="0">
      <w:lvlJc w:val="left"/>
      <w:lvlText w:val="(%1)"/>
      <w:numFmt w:val="lowerLetter"/>
      <w:start w:val="15"/>
    </w:lvl>
  </w:abstractNum>
  <w:abstractNum w:abstractNumId="62">
    <w:nsid w:val="4DEFDFA0"/>
    <w:multiLevelType w:val="hybridMultilevel"/>
    <w:lvl w:ilvl="0">
      <w:lvlJc w:val="left"/>
      <w:lvlText w:val="(%1)"/>
      <w:numFmt w:val="lowerLetter"/>
      <w:start w:val="1"/>
    </w:lvl>
  </w:abstractNum>
  <w:abstractNum w:abstractNumId="63">
    <w:nsid w:val="2123D5F2"/>
    <w:multiLevelType w:val="hybridMultilevel"/>
    <w:lvl w:ilvl="0">
      <w:lvlJc w:val="left"/>
      <w:lvlText w:val="(%1)"/>
      <w:numFmt w:val="lowerLetter"/>
      <w:start w:val="3"/>
    </w:lvl>
  </w:abstractNum>
  <w:abstractNum w:abstractNumId="64">
    <w:nsid w:val="135B8110"/>
    <w:multiLevelType w:val="hybridMultilevel"/>
    <w:lvl w:ilvl="0">
      <w:lvlJc w:val="left"/>
      <w:lvlText w:val="(%1)"/>
      <w:numFmt w:val="lowerLetter"/>
      <w:start w:val="1"/>
    </w:lvl>
  </w:abstractNum>
  <w:abstractNum w:abstractNumId="65">
    <w:nsid w:val="94927A8"/>
    <w:multiLevelType w:val="hybridMultilevel"/>
    <w:lvl w:ilvl="0">
      <w:lvlJc w:val="left"/>
      <w:lvlText w:val="(%1)"/>
      <w:numFmt w:val="lowerLetter"/>
      <w:start w:val="4"/>
    </w:lvl>
  </w:abstractNum>
  <w:abstractNum w:abstractNumId="66">
    <w:nsid w:val="DCDF8F6"/>
    <w:multiLevelType w:val="hybridMultilevel"/>
    <w:lvl w:ilvl="0">
      <w:lvlJc w:val="left"/>
      <w:lvlText w:val="(%1)"/>
      <w:numFmt w:val="lowerLetter"/>
      <w:start w:val="10"/>
    </w:lvl>
  </w:abstractNum>
  <w:abstractNum w:abstractNumId="67">
    <w:nsid w:val="52D7B105"/>
    <w:multiLevelType w:val="hybridMultilevel"/>
    <w:lvl w:ilvl="0">
      <w:lvlJc w:val="left"/>
      <w:lvlText w:val="(%1)"/>
      <w:numFmt w:val="decimal"/>
      <w:start w:val="1"/>
    </w:lvl>
  </w:abstractNum>
  <w:abstractNum w:abstractNumId="68">
    <w:nsid w:val="2E8A6394"/>
    <w:multiLevelType w:val="hybridMultilevel"/>
    <w:lvl w:ilvl="0">
      <w:lvlJc w:val="left"/>
      <w:lvlText w:val="(%1)"/>
      <w:numFmt w:val="lowerLetter"/>
      <w:start w:val="1"/>
    </w:lvl>
  </w:abstractNum>
  <w:abstractNum w:abstractNumId="69">
    <w:nsid w:val="24E60401"/>
    <w:multiLevelType w:val="hybridMultilevel"/>
    <w:lvl w:ilvl="0">
      <w:lvlJc w:val="left"/>
      <w:lvlText w:val="(%1)"/>
      <w:numFmt w:val="lowerLetter"/>
      <w:start w:val="1"/>
    </w:lvl>
  </w:abstractNum>
  <w:abstractNum w:abstractNumId="70">
    <w:nsid w:val="2A6AD9BE"/>
    <w:multiLevelType w:val="hybridMultilevel"/>
    <w:lvl w:ilvl="0">
      <w:lvlJc w:val="left"/>
      <w:lvlText w:val="(%1)"/>
      <w:numFmt w:val="lowerLetter"/>
      <w:start w:val="7"/>
    </w:lvl>
  </w:abstractNum>
  <w:abstractNum w:abstractNumId="71">
    <w:nsid w:val="BAAC1B4"/>
    <w:multiLevelType w:val="hybridMultilevel"/>
    <w:lvl w:ilvl="0">
      <w:lvlJc w:val="left"/>
      <w:lvlText w:val="(%1)"/>
      <w:numFmt w:val="lowerLetter"/>
      <w:start w:val="1"/>
    </w:lvl>
    <w:lvl w:ilvl="1">
      <w:lvlJc w:val="left"/>
      <w:lvlText w:val="(%2)"/>
      <w:numFmt w:val="decimal"/>
      <w:start w:val="1"/>
    </w:lvl>
  </w:abstractNum>
  <w:abstractNum w:abstractNumId="72">
    <w:nsid w:val="36B2ACBC"/>
    <w:multiLevelType w:val="hybridMultilevel"/>
    <w:lvl w:ilvl="0">
      <w:lvlJc w:val="left"/>
      <w:lvlText w:val="(%1)"/>
      <w:numFmt w:val="lowerLetter"/>
      <w:start w:val="2"/>
    </w:lvl>
    <w:lvl w:ilvl="1">
      <w:lvlJc w:val="left"/>
      <w:lvlText w:val="(%2)"/>
      <w:numFmt w:val="decimal"/>
      <w:start w:val="1"/>
    </w:lvl>
  </w:abstractNum>
  <w:abstractNum w:abstractNumId="73">
    <w:nsid w:val="779D8544"/>
    <w:multiLevelType w:val="hybridMultilevel"/>
    <w:lvl w:ilvl="0">
      <w:lvlJc w:val="left"/>
      <w:lvlText w:val="(%1)"/>
      <w:numFmt w:val="decimal"/>
      <w:start w:val="1"/>
    </w:lvl>
    <w:lvl w:ilvl="1">
      <w:lvlJc w:val="left"/>
      <w:lvlText w:val="(%2)"/>
      <w:numFmt w:val="upperLetter"/>
      <w:start w:val="1"/>
    </w:lvl>
  </w:abstractNum>
  <w:abstractNum w:abstractNumId="74">
    <w:nsid w:val="4AB26E78"/>
    <w:multiLevelType w:val="hybridMultilevel"/>
    <w:lvl w:ilvl="0">
      <w:lvlJc w:val="left"/>
      <w:lvlText w:val="(%1)"/>
      <w:numFmt w:val="decimal"/>
      <w:start w:val="5"/>
    </w:lvl>
    <w:lvl w:ilvl="1">
      <w:lvlJc w:val="left"/>
      <w:lvlText w:val="(%2)"/>
      <w:numFmt w:val="upperLetter"/>
      <w:start w:val="1"/>
    </w:lvl>
  </w:abstractNum>
  <w:abstractNum w:abstractNumId="75">
    <w:nsid w:val="21FAA2FA"/>
    <w:multiLevelType w:val="hybridMultilevel"/>
    <w:lvl w:ilvl="0">
      <w:lvlJc w:val="left"/>
      <w:lvlText w:val="(%1)"/>
      <w:numFmt w:val="decimal"/>
      <w:start w:val="6"/>
    </w:lvl>
  </w:abstractNum>
  <w:abstractNum w:abstractNumId="76">
    <w:nsid w:val="5451CF49"/>
    <w:multiLevelType w:val="hybridMultilevel"/>
    <w:lvl w:ilvl="0">
      <w:lvlJc w:val="left"/>
      <w:lvlText w:val="(%1)"/>
      <w:numFmt w:val="lowerLetter"/>
      <w:start w:val="1"/>
    </w:lvl>
  </w:abstractNum>
  <w:abstractNum w:abstractNumId="77">
    <w:nsid w:val="6181EF69"/>
    <w:multiLevelType w:val="hybridMultilevel"/>
    <w:lvl w:ilvl="0">
      <w:lvlJc w:val="left"/>
      <w:lvlText w:val="(%1)"/>
      <w:numFmt w:val="lowerLetter"/>
      <w:start w:val="1"/>
    </w:lvl>
  </w:abstractNum>
  <w:abstractNum w:abstractNumId="78">
    <w:nsid w:val="3E6400E6"/>
    <w:multiLevelType w:val="hybridMultilevel"/>
    <w:lvl w:ilvl="0">
      <w:lvlJc w:val="left"/>
      <w:lvlText w:val="(%1)"/>
      <w:numFmt w:val="lowerLetter"/>
      <w:start w:val="2"/>
    </w:lvl>
    <w:lvl w:ilvl="1">
      <w:lvlJc w:val="left"/>
      <w:lvlText w:val="(%2)"/>
      <w:numFmt w:val="decimal"/>
      <w:start w:val="1"/>
    </w:lvl>
  </w:abstractNum>
  <w:abstractNum w:abstractNumId="79">
    <w:nsid w:val="14217E23"/>
    <w:multiLevelType w:val="hybridMultilevel"/>
    <w:lvl w:ilvl="0">
      <w:lvlJc w:val="left"/>
      <w:lvlText w:val="(%1)"/>
      <w:numFmt w:val="lowerLetter"/>
      <w:start w:val="1"/>
    </w:lvl>
  </w:abstractNum>
  <w:abstractNum w:abstractNumId="80">
    <w:nsid w:val="710757D0"/>
    <w:multiLevelType w:val="hybridMultilevel"/>
    <w:lvl w:ilvl="0">
      <w:lvlJc w:val="left"/>
      <w:lvlText w:val="(%1)"/>
      <w:numFmt w:val="lowerLetter"/>
      <w:start w:val="12"/>
    </w:lvl>
  </w:abstractNum>
  <w:abstractNum w:abstractNumId="81">
    <w:nsid w:val="5015CD1A"/>
    <w:multiLevelType w:val="hybridMultilevel"/>
    <w:lvl w:ilvl="0">
      <w:lvlJc w:val="left"/>
      <w:lvlText w:val="(%1)"/>
      <w:numFmt w:val="lowerLetter"/>
      <w:start w:val="13"/>
    </w:lvl>
  </w:abstractNum>
  <w:abstractNum w:abstractNumId="82">
    <w:nsid w:val="424479DA"/>
    <w:multiLevelType w:val="hybridMultilevel"/>
    <w:lvl w:ilvl="0">
      <w:lvlJc w:val="left"/>
      <w:lvlText w:val="(%1)"/>
      <w:numFmt w:val="lowerLetter"/>
      <w:start w:val="1"/>
    </w:lvl>
  </w:abstractNum>
  <w:abstractNum w:abstractNumId="83">
    <w:nsid w:val="1A9A9E69"/>
    <w:multiLevelType w:val="hybridMultilevel"/>
    <w:lvl w:ilvl="0">
      <w:lvlJc w:val="left"/>
      <w:lvlText w:val="(%1)"/>
      <w:numFmt w:val="lowerLetter"/>
      <w:start w:val="1"/>
    </w:lvl>
  </w:abstractNum>
  <w:abstractNum w:abstractNumId="84">
    <w:nsid w:val="475E256A"/>
    <w:multiLevelType w:val="hybridMultilevel"/>
    <w:lvl w:ilvl="0">
      <w:lvlJc w:val="left"/>
      <w:lvlText w:val="(%1)"/>
      <w:numFmt w:val="lowerLetter"/>
      <w:start w:val="3"/>
    </w:lvl>
  </w:abstractNum>
  <w:abstractNum w:abstractNumId="85">
    <w:nsid w:val="368DB37E"/>
    <w:multiLevelType w:val="hybridMultilevel"/>
    <w:lvl w:ilvl="0">
      <w:lvlJc w:val="left"/>
      <w:lvlText w:val="(%1)"/>
      <w:numFmt w:val="lowerLetter"/>
      <w:start w:val="1"/>
    </w:lvl>
    <w:lvl w:ilvl="1">
      <w:lvlJc w:val="left"/>
      <w:lvlText w:val="(%2)"/>
      <w:numFmt w:val="decimal"/>
      <w:start w:val="1"/>
    </w:lvl>
  </w:abstractNum>
  <w:abstractNum w:abstractNumId="86">
    <w:nsid w:val="6A3B714C"/>
    <w:multiLevelType w:val="hybridMultilevel"/>
    <w:lvl w:ilvl="0">
      <w:lvlJc w:val="left"/>
      <w:lvlText w:val="(%1)"/>
      <w:numFmt w:val="lowerLetter"/>
      <w:start w:val="3"/>
    </w:lvl>
  </w:abstractNum>
  <w:abstractNum w:abstractNumId="87">
    <w:nsid w:val="327B517E"/>
    <w:multiLevelType w:val="hybridMultilevel"/>
    <w:lvl w:ilvl="0">
      <w:lvlJc w:val="left"/>
      <w:lvlText w:val="(%1)"/>
      <w:numFmt w:val="lowerLetter"/>
      <w:start w:val="1"/>
    </w:lvl>
  </w:abstractNum>
  <w:abstractNum w:abstractNumId="88">
    <w:nsid w:val="1F461B51"/>
    <w:multiLevelType w:val="hybridMultilevel"/>
    <w:lvl w:ilvl="0">
      <w:lvlJc w:val="left"/>
      <w:lvlText w:val="(%1)"/>
      <w:numFmt w:val="lowerLetter"/>
      <w:start w:val="1"/>
    </w:lvl>
  </w:abstractNum>
  <w:abstractNum w:abstractNumId="89">
    <w:nsid w:val="29BACF25"/>
    <w:multiLevelType w:val="hybridMultilevel"/>
    <w:lvl w:ilvl="0">
      <w:lvlJc w:val="left"/>
      <w:lvlText w:val="(%1)"/>
      <w:numFmt w:val="lowerLetter"/>
      <w:start w:val="2"/>
    </w:lvl>
    <w:lvl w:ilvl="1">
      <w:lvlJc w:val="left"/>
      <w:lvlText w:val="(%2)"/>
      <w:numFmt w:val="decimal"/>
      <w:start w:val="1"/>
    </w:lvl>
  </w:abstractNum>
  <w:abstractNum w:abstractNumId="90">
    <w:nsid w:val="5D5BABB3"/>
    <w:multiLevelType w:val="hybridMultilevel"/>
    <w:lvl w:ilvl="0">
      <w:lvlJc w:val="left"/>
      <w:lvlText w:val="(%1)"/>
      <w:numFmt w:val="lowerLetter"/>
      <w:start w:val="3"/>
    </w:lvl>
  </w:abstractNum>
  <w:abstractNum w:abstractNumId="91">
    <w:nsid w:val="51BF6B48"/>
    <w:multiLevelType w:val="hybridMultilevel"/>
    <w:lvl w:ilvl="0">
      <w:lvlJc w:val="left"/>
      <w:lvlText w:val="(%1)"/>
      <w:numFmt w:val="decimal"/>
      <w:start w:val="5"/>
    </w:lvl>
  </w:abstractNum>
  <w:abstractNum w:abstractNumId="92">
    <w:nsid w:val="7E0F6384"/>
    <w:multiLevelType w:val="hybridMultilevel"/>
    <w:lvl w:ilvl="0">
      <w:lvlJc w:val="left"/>
      <w:lvlText w:val="(%1)"/>
      <w:numFmt w:val="lowerLetter"/>
      <w:start w:val="1"/>
    </w:lvl>
  </w:abstractNum>
  <w:abstractNum w:abstractNumId="93">
    <w:nsid w:val="2B4B8B53"/>
    <w:multiLevelType w:val="hybridMultilevel"/>
    <w:lvl w:ilvl="0">
      <w:lvlJc w:val="left"/>
      <w:lvlText w:val="(%1)"/>
      <w:numFmt w:val="lowerLetter"/>
      <w:start w:val="9"/>
    </w:lvl>
  </w:abstractNum>
  <w:abstractNum w:abstractNumId="94">
    <w:nsid w:val="72E3413A"/>
    <w:multiLevelType w:val="hybridMultilevel"/>
    <w:lvl w:ilvl="0">
      <w:lvlJc w:val="left"/>
      <w:lvlText w:val="(%1)"/>
      <w:numFmt w:val="lowerLetter"/>
      <w:start w:val="1"/>
    </w:lvl>
  </w:abstractNum>
  <w:abstractNum w:abstractNumId="95">
    <w:nsid w:val="116AE494"/>
    <w:multiLevelType w:val="hybridMultilevel"/>
    <w:lvl w:ilvl="0">
      <w:lvlJc w:val="left"/>
      <w:lvlText w:val="(%1)"/>
      <w:numFmt w:val="lowerLetter"/>
      <w:start w:val="1"/>
    </w:lvl>
    <w:lvl w:ilvl="1">
      <w:lvlJc w:val="left"/>
      <w:lvlText w:val="(%2)"/>
      <w:numFmt w:val="decimal"/>
      <w:start w:val="1"/>
    </w:lvl>
  </w:abstractNum>
  <w:abstractNum w:abstractNumId="96">
    <w:nsid w:val="3494B2FB"/>
    <w:multiLevelType w:val="hybridMultilevel"/>
    <w:lvl w:ilvl="0">
      <w:lvlJc w:val="left"/>
      <w:lvlText w:val="(%1)"/>
      <w:numFmt w:val="lowerLetter"/>
      <w:start w:val="3"/>
    </w:lvl>
  </w:abstractNum>
  <w:abstractNum w:abstractNumId="97">
    <w:nsid w:val="B13A31"/>
    <w:multiLevelType w:val="hybridMultilevel"/>
    <w:lvl w:ilvl="0">
      <w:lvlJc w:val="left"/>
      <w:lvlText w:val="(%1)"/>
      <w:numFmt w:val="lowerLetter"/>
      <w:start w:val="4"/>
    </w:lvl>
  </w:abstractNum>
  <w:abstractNum w:abstractNumId="98">
    <w:nsid w:val="6442959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9">
    <w:nsid w:val="631F1690"/>
    <w:multiLevelType w:val="hybridMultilevel"/>
    <w:lvl w:ilvl="0">
      <w:lvlJc w:val="left"/>
      <w:lvlText w:val="(%1)"/>
      <w:numFmt w:val="lowerLetter"/>
      <w:start w:val="1"/>
    </w:lvl>
  </w:abstractNum>
  <w:abstractNum w:abstractNumId="100">
    <w:nsid w:val="25973E32"/>
    <w:multiLevelType w:val="hybridMultilevel"/>
    <w:lvl w:ilvl="0">
      <w:lvlJc w:val="left"/>
      <w:lvlText w:val="(%1)"/>
      <w:numFmt w:val="lowerLetter"/>
      <w:start w:val="1"/>
    </w:lvl>
  </w:abstractNum>
  <w:abstractNum w:abstractNumId="101">
    <w:nsid w:val="EAD6F57"/>
    <w:multiLevelType w:val="hybridMultilevel"/>
    <w:lvl w:ilvl="0">
      <w:lvlJc w:val="left"/>
      <w:lvlText w:val="(%1)"/>
      <w:numFmt w:val="lowerLetter"/>
      <w:start w:val="2"/>
    </w:lvl>
  </w:abstractNum>
  <w:abstractNum w:abstractNumId="102">
    <w:nsid w:val="6EC9D844"/>
    <w:multiLevelType w:val="hybridMultilevel"/>
    <w:lvl w:ilvl="0">
      <w:lvlJc w:val="left"/>
      <w:lvlText w:val="(%1)"/>
      <w:numFmt w:val="lowerLetter"/>
      <w:start w:val="1"/>
    </w:lvl>
  </w:abstractNum>
  <w:abstractNum w:abstractNumId="103">
    <w:nsid w:val="5C49EAEE"/>
    <w:multiLevelType w:val="hybridMultilevel"/>
    <w:lvl w:ilvl="0">
      <w:lvlJc w:val="left"/>
      <w:lvlText w:val="%1"/>
      <w:numFmt w:val="lowerLetter"/>
      <w:start w:val="1"/>
    </w:lvl>
    <w:lvl w:ilvl="1">
      <w:lvlJc w:val="left"/>
      <w:lvlText w:val="(%2)"/>
      <w:numFmt w:val="decimal"/>
      <w:start w:val="1"/>
    </w:lvl>
  </w:abstractNum>
  <w:abstractNum w:abstractNumId="104">
    <w:nsid w:val="64AF49B"/>
    <w:multiLevelType w:val="hybridMultilevel"/>
    <w:lvl w:ilvl="0">
      <w:lvlJc w:val="left"/>
      <w:lvlText w:val="(%1)"/>
      <w:numFmt w:val="lowerLetter"/>
      <w:start w:val="3"/>
    </w:lvl>
    <w:lvl w:ilvl="1">
      <w:lvlJc w:val="left"/>
      <w:lvlText w:val="%2"/>
      <w:numFmt w:val="decimal"/>
      <w:start w:val="1"/>
    </w:lvl>
  </w:abstractNum>
  <w:abstractNum w:abstractNumId="105">
    <w:nsid w:val="397C46BC"/>
    <w:multiLevelType w:val="hybridMultilevel"/>
    <w:lvl w:ilvl="0">
      <w:lvlJc w:val="left"/>
      <w:lvlText w:val="(%1)"/>
      <w:numFmt w:val="decimal"/>
      <w:start w:val="2"/>
    </w:lvl>
  </w:abstractNum>
  <w:abstractNum w:abstractNumId="106">
    <w:nsid w:val="7E448DE9"/>
    <w:multiLevelType w:val="hybridMultilevel"/>
    <w:lvl w:ilvl="0">
      <w:lvlJc w:val="left"/>
      <w:lvlText w:val="(%1)"/>
      <w:numFmt w:val="decimal"/>
      <w:start w:val="1"/>
    </w:lvl>
  </w:abstractNum>
  <w:abstractNum w:abstractNumId="107">
    <w:nsid w:val="5A9CC3E5"/>
    <w:multiLevelType w:val="hybridMultilevel"/>
    <w:lvl w:ilvl="0">
      <w:lvlJc w:val="left"/>
      <w:lvlText w:val="(%1)"/>
      <w:numFmt w:val="lowerLetter"/>
      <w:start w:val="6"/>
    </w:lvl>
  </w:abstractNum>
  <w:abstractNum w:abstractNumId="108">
    <w:nsid w:val="1AFE3625"/>
    <w:multiLevelType w:val="hybridMultilevel"/>
    <w:lvl w:ilvl="0">
      <w:lvlJc w:val="left"/>
      <w:lvlText w:val="(%1)"/>
      <w:numFmt w:val="decimal"/>
      <w:start w:val="1"/>
    </w:lvl>
  </w:abstractNum>
  <w:abstractNum w:abstractNumId="109">
    <w:nsid w:val="3CA88ECF"/>
    <w:multiLevelType w:val="hybridMultilevel"/>
    <w:lvl w:ilvl="0">
      <w:lvlJc w:val="left"/>
      <w:lvlText w:val="%1"/>
      <w:numFmt w:val="lowerLetter"/>
      <w:start w:val="1"/>
    </w:lvl>
    <w:lvl w:ilvl="1">
      <w:lvlJc w:val="left"/>
      <w:lvlText w:val="(%2)"/>
      <w:numFmt w:val="decimal"/>
      <w:start w:val="2"/>
    </w:lvl>
  </w:abstractNum>
  <w:abstractNum w:abstractNumId="110">
    <w:nsid w:val="6EBE4208"/>
    <w:multiLevelType w:val="hybridMultilevel"/>
    <w:lvl w:ilvl="0">
      <w:lvlJc w:val="left"/>
      <w:lvlText w:val="(%1)"/>
      <w:numFmt w:val="lowerLetter"/>
      <w:start w:val="2"/>
    </w:lvl>
    <w:lvl w:ilvl="1">
      <w:lvlJc w:val="left"/>
      <w:lvlText w:val="(%2)"/>
      <w:numFmt w:val="decimal"/>
      <w:start w:val="8"/>
    </w:lvl>
  </w:abstractNum>
  <w:abstractNum w:abstractNumId="111">
    <w:nsid w:val="C058DF5"/>
    <w:multiLevelType w:val="hybridMultilevel"/>
    <w:lvl w:ilvl="0">
      <w:lvlJc w:val="left"/>
      <w:lvlText w:val="(%1)"/>
      <w:numFmt w:val="decimal"/>
      <w:start w:val="9"/>
    </w:lvl>
  </w:abstractNum>
  <w:abstractNum w:abstractNumId="112">
    <w:nsid w:val="CBE5BE9"/>
    <w:multiLevelType w:val="hybridMultilevel"/>
    <w:lvl w:ilvl="0">
      <w:lvlJc w:val="left"/>
      <w:lvlText w:val="(%1)"/>
      <w:numFmt w:val="decimal"/>
      <w:start w:val="19"/>
    </w:lvl>
  </w:abstractNum>
  <w:abstractNum w:abstractNumId="113">
    <w:nsid w:val="3102BBE2"/>
    <w:multiLevelType w:val="hybridMultilevel"/>
    <w:lvl w:ilvl="0">
      <w:lvlJc w:val="left"/>
      <w:lvlText w:val="(%1)"/>
      <w:numFmt w:val="decimal"/>
      <w:start w:val="30"/>
    </w:lvl>
  </w:abstractNum>
  <w:abstractNum w:abstractNumId="114">
    <w:nsid w:val="26A02C5E"/>
    <w:multiLevelType w:val="hybridMultilevel"/>
    <w:lvl w:ilvl="0">
      <w:lvlJc w:val="left"/>
      <w:lvlText w:val="(%1)"/>
      <w:numFmt w:val="lowerLetter"/>
      <w:start w:val="1"/>
    </w:lvl>
  </w:abstractNum>
  <w:abstractNum w:abstractNumId="115">
    <w:nsid w:val="541C8153"/>
    <w:multiLevelType w:val="hybridMultilevel"/>
    <w:lvl w:ilvl="0">
      <w:lvlJc w:val="left"/>
      <w:lvlText w:val="(%1)"/>
      <w:numFmt w:val="lowerLetter"/>
      <w:start w:val="3"/>
    </w:lvl>
  </w:abstractNum>
  <w:abstractNum w:abstractNumId="116">
    <w:nsid w:val="67906F60"/>
    <w:multiLevelType w:val="hybridMultilevel"/>
    <w:lvl w:ilvl="0">
      <w:lvlJc w:val="left"/>
      <w:lvlText w:val="(%1)"/>
      <w:numFmt w:val="lowerLetter"/>
      <w:start w:val="1"/>
    </w:lvl>
  </w:abstractNum>
  <w:abstractNum w:abstractNumId="117">
    <w:nsid w:val="10DB9DAA"/>
    <w:multiLevelType w:val="hybridMultilevel"/>
    <w:lvl w:ilvl="0">
      <w:lvlJc w:val="left"/>
      <w:lvlText w:val="(%1)"/>
      <w:numFmt w:val="lowerLetter"/>
      <w:start w:val="2"/>
    </w:lvl>
  </w:abstractNum>
  <w:abstractNum w:abstractNumId="118">
    <w:nsid w:val="697D2D2"/>
    <w:multiLevelType w:val="hybridMultilevel"/>
    <w:lvl w:ilvl="0">
      <w:lvlJc w:val="left"/>
      <w:lvlText w:val="(%1)"/>
      <w:numFmt w:val="decimal"/>
      <w:start w:val="2"/>
    </w:lvl>
  </w:abstractNum>
  <w:abstractNum w:abstractNumId="119">
    <w:nsid w:val="6D68AB2"/>
    <w:multiLevelType w:val="hybridMultilevel"/>
    <w:lvl w:ilvl="0">
      <w:lvlJc w:val="left"/>
      <w:lvlText w:val="(%1)"/>
      <w:numFmt w:val="decimal"/>
      <w:start w:val="6"/>
    </w:lvl>
  </w:abstractNum>
  <w:abstractNum w:abstractNumId="120">
    <w:nsid w:val="3A966CD0"/>
    <w:multiLevelType w:val="hybridMultilevel"/>
    <w:lvl w:ilvl="0">
      <w:lvlJc w:val="left"/>
      <w:lvlText w:val="(%1)"/>
      <w:numFmt w:val="lowerLetter"/>
      <w:start w:val="1"/>
    </w:lvl>
  </w:abstractNum>
  <w:abstractNum w:abstractNumId="121">
    <w:nsid w:val="63F37E85"/>
    <w:multiLevelType w:val="hybridMultilevel"/>
    <w:lvl w:ilvl="0">
      <w:lvlJc w:val="left"/>
      <w:lvlText w:val="(%1)"/>
      <w:numFmt w:val="lowerLetter"/>
      <w:start w:val="1"/>
    </w:lvl>
  </w:abstractNum>
  <w:abstractNum w:abstractNumId="122">
    <w:nsid w:val="5895F5FA"/>
    <w:multiLevelType w:val="hybridMultilevel"/>
    <w:lvl w:ilvl="0">
      <w:lvlJc w:val="left"/>
      <w:lvlText w:val="(%1)"/>
      <w:numFmt w:val="lowerLetter"/>
      <w:start w:val="1"/>
    </w:lvl>
  </w:abstractNum>
  <w:abstractNum w:abstractNumId="123">
    <w:nsid w:val="38A5D054"/>
    <w:multiLevelType w:val="hybridMultilevel"/>
    <w:lvl w:ilvl="0">
      <w:lvlJc w:val="left"/>
      <w:lvlText w:val="(%1)"/>
      <w:numFmt w:val="lowerLetter"/>
      <w:start w:val="1"/>
    </w:lvl>
  </w:abstractNum>
  <w:abstractNum w:abstractNumId="124">
    <w:nsid w:val="F3F09D8"/>
    <w:multiLevelType w:val="hybridMultilevel"/>
    <w:lvl w:ilvl="0">
      <w:lvlJc w:val="left"/>
      <w:lvlText w:val="(%1)"/>
      <w:numFmt w:val="decimal"/>
      <w:start w:val="1"/>
    </w:lvl>
  </w:abstractNum>
  <w:abstractNum w:abstractNumId="125">
    <w:nsid w:val="4B793735"/>
    <w:multiLevelType w:val="hybridMultilevel"/>
    <w:lvl w:ilvl="0">
      <w:lvlJc w:val="left"/>
      <w:lvlText w:val="(%1)"/>
      <w:numFmt w:val="lowerLetter"/>
      <w:start w:val="1"/>
    </w:lvl>
  </w:abstractNum>
  <w:abstractNum w:abstractNumId="126">
    <w:nsid w:val="4A10B4E8"/>
    <w:multiLevelType w:val="hybridMultilevel"/>
    <w:lvl w:ilvl="0">
      <w:lvlJc w:val="left"/>
      <w:lvlText w:val="(%1)"/>
      <w:numFmt w:val="lowerLetter"/>
      <w:start w:val="4"/>
    </w:lvl>
  </w:abstractNum>
  <w:abstractNum w:abstractNumId="127">
    <w:nsid w:val="43D3BCD4"/>
    <w:multiLevelType w:val="hybridMultilevel"/>
    <w:lvl w:ilvl="0">
      <w:lvlJc w:val="left"/>
      <w:lvlText w:val="(%1)"/>
      <w:numFmt w:val="lowerLetter"/>
      <w:start w:val="1"/>
    </w:lvl>
  </w:abstractNum>
  <w:abstractNum w:abstractNumId="128">
    <w:nsid w:val="4C2A7166"/>
    <w:multiLevelType w:val="hybridMultilevel"/>
    <w:lvl w:ilvl="0">
      <w:lvlJc w:val="left"/>
      <w:lvlText w:val="(%1)"/>
      <w:numFmt w:val="lowerLetter"/>
      <w:start w:val="2"/>
    </w:lvl>
  </w:abstractNum>
  <w:abstractNum w:abstractNumId="129">
    <w:nsid w:val="2E534A82"/>
    <w:multiLevelType w:val="hybridMultilevel"/>
    <w:lvl w:ilvl="0">
      <w:lvlJc w:val="left"/>
      <w:lvlText w:val="(%1)"/>
      <w:numFmt w:val="lowerLetter"/>
      <w:start w:val="10"/>
    </w:lvl>
  </w:abstractNum>
  <w:abstractNum w:abstractNumId="130">
    <w:nsid w:val="26F2D364"/>
    <w:multiLevelType w:val="hybridMultilevel"/>
    <w:lvl w:ilvl="0">
      <w:lvlJc w:val="left"/>
      <w:lvlText w:val="(%1)"/>
      <w:numFmt w:val="lowerLetter"/>
      <w:start w:val="1"/>
    </w:lvl>
  </w:abstractNum>
  <w:abstractNum w:abstractNumId="131">
    <w:nsid w:val="71C1AF98"/>
    <w:multiLevelType w:val="hybridMultilevel"/>
    <w:lvl w:ilvl="0">
      <w:lvlJc w:val="left"/>
      <w:lvlText w:val="(%1)"/>
      <w:numFmt w:val="lowerLetter"/>
      <w:start w:val="1"/>
    </w:lvl>
  </w:abstractNum>
  <w:abstractNum w:abstractNumId="132">
    <w:nsid w:val="3D00B9D9"/>
    <w:multiLevelType w:val="hybridMultilevel"/>
    <w:lvl w:ilvl="0">
      <w:lvlJc w:val="left"/>
      <w:lvlText w:val="(%1)"/>
      <w:numFmt w:val="lowerLetter"/>
      <w:start w:val="3"/>
    </w:lvl>
  </w:abstractNum>
  <w:abstractNum w:abstractNumId="133">
    <w:nsid w:val="15BCABA8"/>
    <w:multiLevelType w:val="hybridMultilevel"/>
    <w:lvl w:ilvl="0">
      <w:lvlJc w:val="left"/>
      <w:lvlText w:val="(%1)"/>
      <w:numFmt w:val="lowerLetter"/>
      <w:start w:val="1"/>
    </w:lvl>
    <w:lvl w:ilvl="1">
      <w:lvlJc w:val="left"/>
      <w:lvlText w:val="(%2)"/>
      <w:numFmt w:val="decimal"/>
      <w:start w:val="1"/>
    </w:lvl>
  </w:abstractNum>
  <w:abstractNum w:abstractNumId="134">
    <w:nsid w:val="4E0B9A87"/>
    <w:multiLevelType w:val="hybridMultilevel"/>
    <w:lvl w:ilvl="0">
      <w:lvlJc w:val="left"/>
      <w:lvlText w:val="(%1)"/>
      <w:numFmt w:val="lowerLetter"/>
      <w:start w:val="2"/>
    </w:lvl>
  </w:abstractNum>
  <w:abstractNum w:abstractNumId="135">
    <w:nsid w:val="434BAE75"/>
    <w:multiLevelType w:val="hybridMultilevel"/>
    <w:lvl w:ilvl="0">
      <w:lvlJc w:val="left"/>
      <w:lvlText w:val="(%1)"/>
      <w:numFmt w:val="decimal"/>
      <w:start w:val="1"/>
    </w:lvl>
  </w:abstractNum>
  <w:abstractNum w:abstractNumId="136">
    <w:nsid w:val="4F38F265"/>
    <w:multiLevelType w:val="hybridMultilevel"/>
    <w:lvl w:ilvl="0">
      <w:lvlJc w:val="left"/>
      <w:lvlText w:val="(%1)"/>
      <w:numFmt w:val="decimal"/>
      <w:start w:val="3"/>
    </w:lvl>
  </w:abstractNum>
  <w:abstractNum w:abstractNumId="137">
    <w:nsid w:val="4C502870"/>
    <w:multiLevelType w:val="hybridMultilevel"/>
    <w:lvl w:ilvl="0">
      <w:lvlJc w:val="left"/>
      <w:lvlText w:val="(%1)"/>
      <w:numFmt w:val="decimal"/>
      <w:start w:val="4"/>
    </w:lvl>
    <w:lvl w:ilvl="1">
      <w:lvlJc w:val="left"/>
      <w:lvlText w:val="(%2)"/>
      <w:numFmt w:val="upperLetter"/>
      <w:start w:val="1"/>
    </w:lvl>
  </w:abstractNum>
  <w:abstractNum w:abstractNumId="138">
    <w:nsid w:val="1DE8725A"/>
    <w:multiLevelType w:val="hybridMultilevel"/>
    <w:lvl w:ilvl="0">
      <w:lvlJc w:val="left"/>
      <w:lvlText w:val="(%1)"/>
      <w:numFmt w:val="decimal"/>
      <w:start w:val="7"/>
    </w:lvl>
    <w:lvl w:ilvl="1">
      <w:lvlJc w:val="left"/>
      <w:lvlText w:val="(%2)"/>
      <w:numFmt w:val="upperLetter"/>
      <w:start w:val="1"/>
    </w:lvl>
  </w:abstractNum>
  <w:abstractNum w:abstractNumId="139">
    <w:nsid w:val="6A37288A"/>
    <w:multiLevelType w:val="hybridMultilevel"/>
    <w:lvl w:ilvl="0">
      <w:lvlJc w:val="left"/>
      <w:lvlText w:val="%1"/>
      <w:numFmt w:val="decimal"/>
      <w:start w:val="1"/>
    </w:lvl>
    <w:lvl w:ilvl="1">
      <w:lvlJc w:val="left"/>
      <w:lvlText w:val="(%2)"/>
      <w:numFmt w:val="upperLetter"/>
      <w:start w:val="2"/>
    </w:lvl>
  </w:abstractNum>
  <w:abstractNum w:abstractNumId="140">
    <w:nsid w:val="8F8B73F"/>
    <w:multiLevelType w:val="hybridMultilevel"/>
    <w:lvl w:ilvl="0">
      <w:lvlJc w:val="left"/>
      <w:lvlText w:val="(%1)"/>
      <w:numFmt w:val="decimal"/>
      <w:start w:val="8"/>
    </w:lvl>
    <w:lvl w:ilvl="1">
      <w:lvlJc w:val="left"/>
      <w:lvlText w:val="%2"/>
      <w:numFmt w:val="upperLetter"/>
      <w:start w:val="1"/>
    </w:lvl>
  </w:abstractNum>
  <w:abstractNum w:abstractNumId="141">
    <w:nsid w:val="CA6B462"/>
    <w:multiLevelType w:val="hybridMultilevel"/>
    <w:lvl w:ilvl="0">
      <w:lvlJc w:val="left"/>
      <w:lvlText w:val="(%1)"/>
      <w:numFmt w:val="lowerLetter"/>
      <w:start w:val="1"/>
    </w:lvl>
  </w:abstractNum>
  <w:abstractNum w:abstractNumId="142">
    <w:nsid w:val="763CB680"/>
    <w:multiLevelType w:val="hybridMultilevel"/>
    <w:lvl w:ilvl="0">
      <w:lvlJc w:val="left"/>
      <w:lvlText w:val="(%1)"/>
      <w:numFmt w:val="lowerLetter"/>
      <w:start w:val="1"/>
    </w:lvl>
  </w:abstractNum>
  <w:abstractNum w:abstractNumId="143">
    <w:nsid w:val="15B71329"/>
    <w:multiLevelType w:val="hybridMultilevel"/>
    <w:lvl w:ilvl="0">
      <w:lvlJc w:val="left"/>
      <w:lvlText w:val="(%1)"/>
      <w:numFmt w:val="lowerLetter"/>
      <w:start w:val="2"/>
    </w:lvl>
  </w:abstractNum>
  <w:abstractNum w:abstractNumId="144">
    <w:nsid w:val="3DA97044"/>
    <w:multiLevelType w:val="hybridMultilevel"/>
    <w:lvl w:ilvl="0">
      <w:lvlJc w:val="left"/>
      <w:lvlText w:val="(%1)"/>
      <w:numFmt w:val="lowerLetter"/>
      <w:start w:val="1"/>
    </w:lvl>
  </w:abstractNum>
  <w:abstractNum w:abstractNumId="145">
    <w:nsid w:val="1CDCE2DE"/>
    <w:multiLevelType w:val="hybridMultilevel"/>
    <w:lvl w:ilvl="0">
      <w:lvlJc w:val="left"/>
      <w:lvlText w:val="(%1)"/>
      <w:numFmt w:val="upperLetter"/>
      <w:start w:val="1"/>
    </w:lvl>
  </w:abstractNum>
  <w:abstractNum w:abstractNumId="146">
    <w:nsid w:val="69D3947C"/>
    <w:multiLevelType w:val="hybridMultilevel"/>
    <w:lvl w:ilvl="0">
      <w:lvlJc w:val="left"/>
      <w:lvlText w:val="(%1)"/>
      <w:numFmt w:val="lowerRoman"/>
      <w:start w:val="2"/>
    </w:lvl>
  </w:abstractNum>
  <w:abstractNum w:abstractNumId="147">
    <w:nsid w:val="2539DFA5"/>
    <w:multiLevelType w:val="hybridMultilevel"/>
    <w:lvl w:ilvl="0">
      <w:lvlJc w:val="left"/>
      <w:lvlText w:val="(%1)"/>
      <w:numFmt w:val="upperLetter"/>
      <w:start w:val="1"/>
    </w:lvl>
  </w:abstractNum>
  <w:abstractNum w:abstractNumId="148">
    <w:nsid w:val="2DB88089"/>
    <w:multiLevelType w:val="hybridMultilevel"/>
    <w:lvl w:ilvl="0">
      <w:lvlJc w:val="left"/>
      <w:lvlText w:val="(%1)"/>
      <w:numFmt w:val="upperLetter"/>
      <w:start w:val="35"/>
    </w:lvl>
  </w:abstractNum>
  <w:abstractNum w:abstractNumId="149">
    <w:nsid w:val="706B674E"/>
    <w:multiLevelType w:val="hybridMultilevel"/>
    <w:lvl w:ilvl="0">
      <w:lvlJc w:val="left"/>
      <w:lvlText w:val="(%1)"/>
      <w:numFmt w:val="upperLetter"/>
      <w:start w:val="2"/>
    </w:lvl>
  </w:abstractNum>
  <w:abstractNum w:abstractNumId="150">
    <w:nsid w:val="2C106A57"/>
    <w:multiLevelType w:val="hybridMultilevel"/>
    <w:lvl w:ilvl="0">
      <w:lvlJc w:val="left"/>
      <w:lvlText w:val="(%1)"/>
      <w:numFmt w:val="lowerLetter"/>
      <w:start w:val="1"/>
    </w:lvl>
  </w:abstractNum>
  <w:abstractNum w:abstractNumId="151">
    <w:nsid w:val="684EED59"/>
    <w:multiLevelType w:val="hybridMultilevel"/>
    <w:lvl w:ilvl="0">
      <w:lvlJc w:val="left"/>
      <w:lvlText w:val="(%1)"/>
      <w:numFmt w:val="lowerLetter"/>
      <w:start w:val="1"/>
    </w:lvl>
  </w:abstractNum>
  <w:abstractNum w:abstractNumId="152">
    <w:nsid w:val="545EE5D3"/>
    <w:multiLevelType w:val="hybridMultilevel"/>
    <w:lvl w:ilvl="0">
      <w:lvlJc w:val="left"/>
      <w:lvlText w:val="(%1)"/>
      <w:numFmt w:val="lowerLetter"/>
      <w:start w:val="1"/>
    </w:lvl>
  </w:abstractNum>
  <w:abstractNum w:abstractNumId="153">
    <w:nsid w:val="4A66051"/>
    <w:multiLevelType w:val="hybridMultilevel"/>
    <w:lvl w:ilvl="0">
      <w:lvlJc w:val="left"/>
      <w:lvlText w:val="(%1)"/>
      <w:numFmt w:val="lowerLetter"/>
      <w:start w:val="2"/>
    </w:lvl>
  </w:abstractNum>
  <w:abstractNum w:abstractNumId="154">
    <w:nsid w:val="20F4BDAD"/>
    <w:multiLevelType w:val="hybridMultilevel"/>
    <w:lvl w:ilvl="0">
      <w:lvlJc w:val="left"/>
      <w:lvlText w:val="(%1)"/>
      <w:numFmt w:val="lowerLetter"/>
      <w:start w:val="4"/>
    </w:lvl>
  </w:abstractNum>
  <w:abstractNum w:abstractNumId="155">
    <w:nsid w:val="639DEFAC"/>
    <w:multiLevelType w:val="hybridMultilevel"/>
    <w:lvl w:ilvl="0">
      <w:lvlJc w:val="left"/>
      <w:lvlText w:val="(%1)"/>
      <w:numFmt w:val="lowerLetter"/>
      <w:start w:val="5"/>
    </w:lvl>
  </w:abstractNum>
  <w:abstractNum w:abstractNumId="156">
    <w:nsid w:val="501F9786"/>
    <w:multiLevelType w:val="hybridMultilevel"/>
    <w:lvl w:ilvl="0">
      <w:lvlJc w:val="left"/>
      <w:lvlText w:val="(%1)"/>
      <w:numFmt w:val="lowerLetter"/>
      <w:start w:val="8"/>
    </w:lvl>
  </w:abstractNum>
  <w:abstractNum w:abstractNumId="157">
    <w:nsid w:val="6B057295"/>
    <w:multiLevelType w:val="hybridMultilevel"/>
    <w:lvl w:ilvl="0">
      <w:lvlJc w:val="left"/>
      <w:lvlText w:val="%1"/>
      <w:numFmt w:val="lowerLetter"/>
      <w:start w:val="1"/>
    </w:lvl>
    <w:lvl w:ilvl="1">
      <w:lvlJc w:val="left"/>
      <w:lvlText w:val="(%2)"/>
      <w:numFmt w:val="lowerLetter"/>
      <w:start w:val="13"/>
    </w:lvl>
  </w:abstractNum>
  <w:abstractNum w:abstractNumId="158">
    <w:nsid w:val="2771AC80"/>
    <w:multiLevelType w:val="hybridMultilevel"/>
    <w:lvl w:ilvl="0">
      <w:lvlJc w:val="left"/>
      <w:lvlText w:val="(%1)"/>
      <w:numFmt w:val="lowerLetter"/>
      <w:start w:val="35"/>
    </w:lvl>
    <w:lvl w:ilvl="1">
      <w:lvlJc w:val="left"/>
      <w:lvlText w:val="(%2)"/>
      <w:numFmt w:val="lowerLetter"/>
      <w:start w:val="14"/>
    </w:lvl>
  </w:abstractNum>
  <w:abstractNum w:abstractNumId="159">
    <w:nsid w:val="1C4A08EC"/>
    <w:multiLevelType w:val="hybridMultilevel"/>
    <w:lvl w:ilvl="0">
      <w:lvlJc w:val="left"/>
      <w:lvlText w:val="(%1)"/>
      <w:numFmt w:val="lowerLetter"/>
      <w:start w:val="15"/>
    </w:lvl>
  </w:abstractNum>
  <w:abstractNum w:abstractNumId="160">
    <w:nsid w:val="1958BD17"/>
    <w:multiLevelType w:val="hybridMultilevel"/>
    <w:lvl w:ilvl="0">
      <w:lvlJc w:val="left"/>
      <w:lvlText w:val="(%1)"/>
      <w:numFmt w:val="lowerLetter"/>
      <w:start w:val="18"/>
    </w:lvl>
  </w:abstractNum>
  <w:abstractNum w:abstractNumId="161">
    <w:nsid w:val="4E647FE4"/>
    <w:multiLevelType w:val="hybridMultilevel"/>
    <w:lvl w:ilvl="0">
      <w:lvlJc w:val="left"/>
      <w:lvlText w:val="(%1)"/>
      <w:numFmt w:val="lowerLetter"/>
      <w:start w:val="20"/>
    </w:lvl>
  </w:abstractNum>
  <w:abstractNum w:abstractNumId="162">
    <w:nsid w:val="E0BB885"/>
    <w:multiLevelType w:val="hybridMultilevel"/>
    <w:lvl w:ilvl="0">
      <w:lvlJc w:val="left"/>
      <w:lvlText w:val="(%1)"/>
      <w:numFmt w:val="lowerLetter"/>
      <w:start w:val="25"/>
    </w:lvl>
  </w:abstractNum>
  <w:abstractNum w:abstractNumId="163">
    <w:nsid w:val="565976F1"/>
    <w:multiLevelType w:val="hybridMultilevel"/>
    <w:lvl w:ilvl="0">
      <w:lvlJc w:val="left"/>
      <w:lvlText w:val="(%1)"/>
      <w:numFmt w:val="lowerLetter"/>
      <w:start w:val="27"/>
    </w:lvl>
  </w:abstractNum>
  <w:abstractNum w:abstractNumId="164">
    <w:nsid w:val="64212B8C"/>
    <w:multiLevelType w:val="hybridMultilevel"/>
    <w:lvl w:ilvl="0">
      <w:lvlJc w:val="left"/>
      <w:lvlText w:val="(%1)"/>
      <w:numFmt w:val="lowerLetter"/>
      <w:start w:val="16"/>
    </w:lvl>
  </w:abstractNum>
  <w:abstractNum w:abstractNumId="165">
    <w:nsid w:val="5C17530C"/>
    <w:multiLevelType w:val="hybridMultilevel"/>
    <w:lvl w:ilvl="0">
      <w:lvlJc w:val="left"/>
      <w:lvlText w:val="(%1)"/>
      <w:numFmt w:val="lowerLetter"/>
      <w:start w:val="17"/>
    </w:lvl>
  </w:abstractNum>
  <w:abstractNum w:abstractNumId="166">
    <w:nsid w:val="19A52566"/>
    <w:multiLevelType w:val="hybridMultilevel"/>
    <w:lvl w:ilvl="0">
      <w:lvlJc w:val="left"/>
      <w:lvlText w:val="(%1)"/>
      <w:numFmt w:val="lowerLetter"/>
      <w:start w:val="1"/>
    </w:lvl>
  </w:abstractNum>
  <w:abstractNum w:abstractNumId="167">
    <w:nsid w:val="335A1DF1"/>
    <w:multiLevelType w:val="hybridMultilevel"/>
    <w:lvl w:ilvl="0">
      <w:lvlJc w:val="left"/>
      <w:lvlText w:val="(%1)"/>
      <w:numFmt w:val="lowerLetter"/>
      <w:start w:val="2"/>
    </w:lvl>
  </w:abstractNum>
  <w:abstractNum w:abstractNumId="168">
    <w:nsid w:val="28677B7C"/>
    <w:multiLevelType w:val="hybridMultilevel"/>
    <w:lvl w:ilvl="0">
      <w:lvlJc w:val="left"/>
      <w:lvlText w:val="(%1)"/>
      <w:numFmt w:val="lowerLetter"/>
      <w:start w:val="4"/>
    </w:lvl>
  </w:abstractNum>
  <w:abstractNum w:abstractNumId="169">
    <w:nsid w:val="378D97C0"/>
    <w:multiLevelType w:val="hybridMultilevel"/>
    <w:lvl w:ilvl="0">
      <w:lvlJc w:val="left"/>
      <w:lvlText w:val="(%1)"/>
      <w:numFmt w:val="lowerRoman"/>
      <w:start w:val="1"/>
    </w:lvl>
  </w:abstractNum>
  <w:abstractNum w:abstractNumId="170">
    <w:nsid w:val="1D91467C"/>
    <w:multiLevelType w:val="hybridMultilevel"/>
    <w:lvl w:ilvl="0">
      <w:lvlJc w:val="left"/>
      <w:lvlText w:val="(%1)"/>
      <w:numFmt w:val="lowerLetter"/>
      <w:start w:val="5"/>
    </w:lvl>
  </w:abstractNum>
  <w:abstractNum w:abstractNumId="171">
    <w:nsid w:val="316032BB"/>
    <w:multiLevelType w:val="hybridMultilevel"/>
    <w:lvl w:ilvl="0">
      <w:lvlJc w:val="left"/>
      <w:lvlText w:val="(%1)"/>
      <w:numFmt w:val="decimal"/>
      <w:start w:val="3"/>
    </w:lvl>
  </w:abstractNum>
  <w:abstractNum w:abstractNumId="172">
    <w:nsid w:val="44344C22"/>
    <w:multiLevelType w:val="hybridMultilevel"/>
    <w:lvl w:ilvl="0">
      <w:lvlJc w:val="left"/>
      <w:lvlText w:val="(%1)"/>
      <w:numFmt w:val="upperLetter"/>
      <w:start w:val="1"/>
    </w:lvl>
  </w:abstractNum>
  <w:abstractNum w:abstractNumId="173">
    <w:nsid w:val="13CDFCFC"/>
    <w:multiLevelType w:val="hybridMultilevel"/>
    <w:lvl w:ilvl="0">
      <w:lvlJc w:val="left"/>
      <w:lvlText w:val="%1."/>
      <w:numFmt w:val="decimal"/>
      <w:start w:val="1"/>
    </w:lvl>
    <w:lvl w:ilvl="1">
      <w:lvlJc w:val="left"/>
      <w:lvlText w:val="(%2)"/>
      <w:numFmt w:val="lowerLetter"/>
      <w:start w:val="1"/>
    </w:lvl>
  </w:abstractNum>
  <w:abstractNum w:abstractNumId="174">
    <w:nsid w:val="471745E4"/>
    <w:multiLevelType w:val="hybridMultilevel"/>
    <w:lvl w:ilvl="0">
      <w:lvlJc w:val="left"/>
      <w:lvlText w:val="%1."/>
      <w:numFmt w:val="decimal"/>
      <w:start w:val="2"/>
    </w:lvl>
    <w:lvl w:ilvl="1">
      <w:lvlJc w:val="left"/>
      <w:lvlText w:val="(%2)"/>
      <w:numFmt w:val="lowerLetter"/>
      <w:start w:val="1"/>
    </w:lvl>
  </w:abstractNum>
  <w:abstractNum w:abstractNumId="175">
    <w:nsid w:val="1DDBC66"/>
    <w:multiLevelType w:val="hybridMultilevel"/>
    <w:lvl w:ilvl="0">
      <w:lvlJc w:val="left"/>
      <w:lvlText w:val="(%1)"/>
      <w:numFmt w:val="upperLetter"/>
      <w:start w:val="2"/>
    </w:lvl>
  </w:abstractNum>
  <w:abstractNum w:abstractNumId="176">
    <w:nsid w:val="30AADFDA"/>
    <w:multiLevelType w:val="hybridMultilevel"/>
    <w:lvl w:ilvl="0">
      <w:lvlJc w:val="left"/>
      <w:lvlText w:val="(%1)"/>
      <w:numFmt w:val="upperLetter"/>
      <w:start w:val="3"/>
    </w:lvl>
  </w:abstractNum>
  <w:abstractNum w:abstractNumId="177">
    <w:nsid w:val="30EADA61"/>
    <w:multiLevelType w:val="hybridMultilevel"/>
    <w:lvl w:ilvl="0">
      <w:lvlJc w:val="left"/>
      <w:lvlText w:val="%1."/>
      <w:numFmt w:val="decimal"/>
      <w:start w:val="1"/>
    </w:lvl>
  </w:abstractNum>
  <w:abstractNum w:abstractNumId="178">
    <w:nsid w:val="27179C0B"/>
    <w:multiLevelType w:val="hybridMultilevel"/>
    <w:lvl w:ilvl="0">
      <w:lvlJc w:val="left"/>
      <w:lvlText w:val="(%1)"/>
      <w:numFmt w:val="upperLetter"/>
      <w:start w:val="4"/>
    </w:lvl>
  </w:abstractNum>
  <w:abstractNum w:abstractNumId="179">
    <w:nsid w:val="5E636063"/>
    <w:multiLevelType w:val="hybridMultilevel"/>
    <w:lvl w:ilvl="0">
      <w:lvlJc w:val="left"/>
      <w:lvlText w:val="(%1)"/>
      <w:numFmt w:val="upperLetter"/>
      <w:start w:val="5"/>
    </w:lvl>
  </w:abstractNum>
  <w:abstractNum w:abstractNumId="180">
    <w:nsid w:val="215641AF"/>
    <w:multiLevelType w:val="hybridMultilevel"/>
    <w:lvl w:ilvl="0">
      <w:lvlJc w:val="left"/>
      <w:lvlText w:val="%1."/>
      <w:numFmt w:val="decimal"/>
      <w:start w:val="1"/>
    </w:lvl>
  </w:abstractNum>
  <w:abstractNum w:abstractNumId="181">
    <w:nsid w:val="53280662"/>
    <w:multiLevelType w:val="hybridMultilevel"/>
    <w:lvl w:ilvl="0">
      <w:lvlJc w:val="left"/>
      <w:lvlText w:val="(%1)"/>
      <w:numFmt w:val="upperLetter"/>
      <w:start w:val="6"/>
    </w:lvl>
  </w:abstractNum>
  <w:abstractNum w:abstractNumId="182">
    <w:nsid w:val="46B24DBC"/>
    <w:multiLevelType w:val="hybridMultilevel"/>
    <w:lvl w:ilvl="0">
      <w:lvlJc w:val="left"/>
      <w:lvlText w:val="%1."/>
      <w:numFmt w:val="decimal"/>
      <w:start w:val="1"/>
    </w:lvl>
  </w:abstractNum>
  <w:abstractNum w:abstractNumId="183">
    <w:nsid w:val="75B52783"/>
    <w:multiLevelType w:val="hybridMultilevel"/>
    <w:lvl w:ilvl="0">
      <w:lvlJc w:val="left"/>
      <w:lvlText w:val="%1."/>
      <w:numFmt w:val="decimal"/>
      <w:start w:val="2"/>
    </w:lvl>
  </w:abstractNum>
  <w:abstractNum w:abstractNumId="184">
    <w:nsid w:val="57CE66B4"/>
    <w:multiLevelType w:val="hybridMultilevel"/>
    <w:lvl w:ilvl="0">
      <w:lvlJc w:val="left"/>
      <w:lvlText w:val="(%1)"/>
      <w:numFmt w:val="upperLetter"/>
      <w:start w:val="7"/>
    </w:lvl>
  </w:abstractNum>
  <w:abstractNum w:abstractNumId="185">
    <w:nsid w:val="67A70B69"/>
    <w:multiLevelType w:val="hybridMultilevel"/>
    <w:lvl w:ilvl="0">
      <w:lvlJc w:val="left"/>
      <w:lvlText w:val="%1."/>
      <w:numFmt w:val="decimal"/>
      <w:start w:val="1"/>
    </w:lvl>
  </w:abstractNum>
  <w:abstractNum w:abstractNumId="186">
    <w:nsid w:val="5953172F"/>
    <w:multiLevelType w:val="hybridMultilevel"/>
    <w:lvl w:ilvl="0">
      <w:lvlJc w:val="left"/>
      <w:lvlText w:val="(%1)"/>
      <w:numFmt w:val="upperLetter"/>
      <w:start w:val="8"/>
    </w:lvl>
  </w:abstractNum>
  <w:abstractNum w:abstractNumId="187">
    <w:nsid w:val="27EDFE3A"/>
    <w:multiLevelType w:val="hybridMultilevel"/>
    <w:lvl w:ilvl="0">
      <w:lvlJc w:val="left"/>
      <w:lvlText w:val="%1."/>
      <w:numFmt w:val="decimal"/>
      <w:start w:val="1"/>
    </w:lvl>
  </w:abstractNum>
  <w:abstractNum w:abstractNumId="188">
    <w:nsid w:val="52AC7DFF"/>
    <w:multiLevelType w:val="hybridMultilevel"/>
    <w:lvl w:ilvl="0">
      <w:lvlJc w:val="left"/>
      <w:lvlText w:val="%1."/>
      <w:numFmt w:val="decimal"/>
      <w:start w:val="2"/>
    </w:lvl>
  </w:abstractNum>
  <w:abstractNum w:abstractNumId="189">
    <w:nsid w:val="C4C3AF"/>
    <w:multiLevelType w:val="hybridMultilevel"/>
    <w:lvl w:ilvl="0">
      <w:lvlJc w:val="left"/>
      <w:lvlText w:val="(%1)"/>
      <w:numFmt w:val="upperLetter"/>
      <w:start w:val="9"/>
    </w:lvl>
  </w:abstractNum>
  <w:abstractNum w:abstractNumId="190">
    <w:nsid w:val="44380727"/>
    <w:multiLevelType w:val="hybridMultilevel"/>
    <w:lvl w:ilvl="0">
      <w:lvlJc w:val="left"/>
      <w:lvlText w:val="%1."/>
      <w:numFmt w:val="decimal"/>
      <w:start w:val="1"/>
    </w:lvl>
  </w:abstractNum>
  <w:abstractNum w:abstractNumId="191">
    <w:nsid w:val="6C053B16"/>
    <w:multiLevelType w:val="hybridMultilevel"/>
    <w:lvl w:ilvl="0">
      <w:lvlJc w:val="left"/>
      <w:lvlText w:val="(%1)"/>
      <w:numFmt w:val="upperLetter"/>
      <w:start w:val="10"/>
    </w:lvl>
  </w:abstractNum>
  <w:abstractNum w:abstractNumId="192">
    <w:nsid w:val="4F294393"/>
    <w:multiLevelType w:val="hybridMultilevel"/>
    <w:lvl w:ilvl="0">
      <w:lvlJc w:val="left"/>
      <w:lvlText w:val="%1."/>
      <w:numFmt w:val="decimal"/>
      <w:start w:val="1"/>
    </w:lvl>
  </w:abstractNum>
  <w:abstractNum w:abstractNumId="193">
    <w:nsid w:val="5243BFAC"/>
    <w:multiLevelType w:val="hybridMultilevel"/>
    <w:lvl w:ilvl="0">
      <w:lvlJc w:val="left"/>
      <w:lvlText w:val="%1."/>
      <w:numFmt w:val="decimal"/>
      <w:start w:val="2"/>
    </w:lvl>
  </w:abstractNum>
  <w:abstractNum w:abstractNumId="194">
    <w:nsid w:val="425EB207"/>
    <w:multiLevelType w:val="hybridMultilevel"/>
    <w:lvl w:ilvl="0">
      <w:lvlJc w:val="left"/>
      <w:lvlText w:val="(%1)"/>
      <w:numFmt w:val="upperLetter"/>
      <w:start w:val="11"/>
    </w:lvl>
  </w:abstractNum>
  <w:abstractNum w:abstractNumId="195">
    <w:nsid w:val="334A6F1F"/>
    <w:multiLevelType w:val="hybridMultilevel"/>
    <w:lvl w:ilvl="0">
      <w:lvlJc w:val="left"/>
      <w:lvlText w:val="%1."/>
      <w:numFmt w:val="decimal"/>
      <w:start w:val="1"/>
    </w:lvl>
  </w:abstractNum>
  <w:abstractNum w:abstractNumId="196">
    <w:nsid w:val="2E5B12B8"/>
    <w:multiLevelType w:val="hybridMultilevel"/>
    <w:lvl w:ilvl="0">
      <w:lvlJc w:val="left"/>
      <w:lvlText w:val="(%1)"/>
      <w:numFmt w:val="upperLetter"/>
      <w:start w:val="12"/>
    </w:lvl>
  </w:abstractNum>
  <w:abstractNum w:abstractNumId="197">
    <w:nsid w:val="5C03D76D"/>
    <w:multiLevelType w:val="hybridMultilevel"/>
    <w:lvl w:ilvl="0">
      <w:lvlJc w:val="left"/>
      <w:lvlText w:val="%1."/>
      <w:numFmt w:val="decimal"/>
      <w:start w:val="1"/>
    </w:lvl>
  </w:abstractNum>
  <w:abstractNum w:abstractNumId="198">
    <w:nsid w:val="66A48D11"/>
    <w:multiLevelType w:val="hybridMultilevel"/>
    <w:lvl w:ilvl="0">
      <w:lvlJc w:val="left"/>
      <w:lvlText w:val="%1."/>
      <w:numFmt w:val="decimal"/>
      <w:start w:val="3"/>
    </w:lvl>
  </w:abstractNum>
  <w:abstractNum w:abstractNumId="199">
    <w:nsid w:val="56C28E34"/>
    <w:multiLevelType w:val="hybridMultilevel"/>
    <w:lvl w:ilvl="0">
      <w:lvlJc w:val="left"/>
      <w:lvlText w:val="(%1)"/>
      <w:numFmt w:val="upperLetter"/>
      <w:start w:val="13"/>
    </w:lvl>
  </w:abstractNum>
  <w:abstractNum w:abstractNumId="200">
    <w:nsid w:val="13916F2D"/>
    <w:multiLevelType w:val="hybridMultilevel"/>
    <w:lvl w:ilvl="0">
      <w:lvlJc w:val="left"/>
      <w:lvlText w:val="&amp;"/>
      <w:numFmt w:val="bullet"/>
      <w:start w:val="1"/>
    </w:lvl>
  </w:abstractNum>
  <w:abstractNum w:abstractNumId="201">
    <w:nsid w:val="435D38D"/>
    <w:multiLevelType w:val="hybridMultilevel"/>
    <w:lvl w:ilvl="0">
      <w:lvlJc w:val="left"/>
      <w:lvlText w:val="(%1)"/>
      <w:numFmt w:val="decimal"/>
      <w:start w:val="1"/>
    </w:lvl>
  </w:abstractNum>
  <w:abstractNum w:abstractNumId="202">
    <w:nsid w:val="822C0EF"/>
    <w:multiLevelType w:val="hybridMultilevel"/>
    <w:lvl w:ilvl="0">
      <w:lvlJc w:val="left"/>
      <w:lvlText w:val="(%1)"/>
      <w:numFmt w:val="decimal"/>
      <w:start w:val="2"/>
    </w:lvl>
  </w:abstractNum>
  <w:abstractNum w:abstractNumId="203">
    <w:nsid w:val="57C5BB4F"/>
    <w:multiLevelType w:val="hybridMultilevel"/>
    <w:lvl w:ilvl="0">
      <w:lvlJc w:val="left"/>
      <w:lvlText w:val="(%1)"/>
      <w:numFmt w:val="decimal"/>
      <w:start w:val="3"/>
    </w:lvl>
  </w:abstractNum>
  <w:abstractNum w:abstractNumId="204">
    <w:nsid w:val="1803D089"/>
    <w:multiLevelType w:val="hybridMultilevel"/>
    <w:lvl w:ilvl="0">
      <w:lvlJc w:val="left"/>
      <w:lvlText w:val="(%1)"/>
      <w:numFmt w:val="decimal"/>
      <w:start w:val="4"/>
    </w:lvl>
  </w:abstractNum>
  <w:abstractNum w:abstractNumId="205">
    <w:nsid w:val="4F3A06D4"/>
    <w:multiLevelType w:val="hybridMultilevel"/>
    <w:lvl w:ilvl="0">
      <w:lvlJc w:val="left"/>
      <w:lvlText w:val="(%1)"/>
      <w:numFmt w:val="decimal"/>
      <w:start w:val="5"/>
    </w:lvl>
  </w:abstractNum>
  <w:abstractNum w:abstractNumId="206">
    <w:nsid w:val="59A377B6"/>
    <w:multiLevelType w:val="hybridMultilevel"/>
    <w:lvl w:ilvl="0">
      <w:lvlJc w:val="left"/>
      <w:lvlText w:val="(%1)"/>
      <w:numFmt w:val="lowerLetter"/>
      <w:start w:val="1"/>
    </w:lvl>
  </w:abstractNum>
  <w:abstractNum w:abstractNumId="207">
    <w:nsid w:val="48AEB063"/>
    <w:multiLevelType w:val="hybridMultilevel"/>
    <w:lvl w:ilvl="0">
      <w:lvlJc w:val="left"/>
      <w:lvlText w:val="(%1)"/>
      <w:numFmt w:val="decimal"/>
      <w:start w:val="6"/>
    </w:lvl>
  </w:abstractNum>
  <w:abstractNum w:abstractNumId="208">
    <w:nsid w:val="24E135"/>
    <w:multiLevelType w:val="hybridMultilevel"/>
    <w:lvl w:ilvl="0">
      <w:lvlJc w:val="left"/>
      <w:lvlText w:val="(%1)"/>
      <w:numFmt w:val="decimal"/>
      <w:start w:val="7"/>
    </w:lvl>
  </w:abstractNum>
  <w:abstractNum w:abstractNumId="209">
    <w:nsid w:val="BB13C1"/>
    <w:multiLevelType w:val="hybridMultilevel"/>
    <w:lvl w:ilvl="0">
      <w:lvlJc w:val="left"/>
      <w:lvlText w:val="(%1)"/>
      <w:numFmt w:val="decimal"/>
      <w:start w:val="8"/>
    </w:lvl>
  </w:abstractNum>
  <w:abstractNum w:abstractNumId="210">
    <w:nsid w:val="271210C7"/>
    <w:multiLevelType w:val="hybridMultilevel"/>
    <w:lvl w:ilvl="0">
      <w:lvlJc w:val="left"/>
      <w:lvlText w:val="(%1)"/>
      <w:numFmt w:val="decimal"/>
      <w:start w:val="9"/>
    </w:lvl>
  </w:abstractNum>
  <w:abstractNum w:abstractNumId="211">
    <w:nsid w:val="217B22E4"/>
    <w:multiLevelType w:val="hybridMultilevel"/>
    <w:lvl w:ilvl="0">
      <w:lvlJc w:val="left"/>
      <w:lvlText w:val="(%1)"/>
      <w:numFmt w:val="decimal"/>
      <w:start w:val="10"/>
    </w:lvl>
  </w:abstractNum>
  <w:abstractNum w:abstractNumId="212">
    <w:nsid w:val="53E31A24"/>
    <w:multiLevelType w:val="hybridMultilevel"/>
    <w:lvl w:ilvl="0">
      <w:lvlJc w:val="left"/>
      <w:lvlText w:val="(%1)"/>
      <w:numFmt w:val="decimal"/>
      <w:start w:val="12"/>
    </w:lvl>
  </w:abstractNum>
  <w:abstractNum w:abstractNumId="213">
    <w:nsid w:val="6DC45E83"/>
    <w:multiLevelType w:val="hybridMultilevel"/>
    <w:lvl w:ilvl="0">
      <w:lvlJc w:val="left"/>
      <w:lvlText w:val="(%1)"/>
      <w:numFmt w:val="decimal"/>
      <w:start w:val="16"/>
    </w:lvl>
  </w:abstractNum>
  <w:abstractNum w:abstractNumId="214">
    <w:nsid w:val="17304A67"/>
    <w:multiLevelType w:val="hybridMultilevel"/>
    <w:lvl w:ilvl="0">
      <w:lvlJc w:val="left"/>
      <w:lvlText w:val="(%1)"/>
      <w:numFmt w:val="upperLetter"/>
      <w:start w:val="9"/>
    </w:lvl>
  </w:abstractNum>
  <w:abstractNum w:abstractNumId="215">
    <w:nsid w:val="2BB180D8"/>
    <w:multiLevelType w:val="hybridMultilevel"/>
    <w:lvl w:ilvl="0">
      <w:lvlJc w:val="left"/>
      <w:lvlText w:val="*"/>
      <w:numFmt w:val="bullet"/>
      <w:start w:val="1"/>
    </w:lvl>
  </w:abstractNum>
  <w:abstractNum w:abstractNumId="216">
    <w:nsid w:val="556B69ED"/>
    <w:multiLevelType w:val="hybridMultilevel"/>
    <w:lvl w:ilvl="0">
      <w:lvlJc w:val="left"/>
      <w:lvlText w:val="*"/>
      <w:numFmt w:val="bullet"/>
      <w:start w:val="1"/>
    </w:lvl>
  </w:abstractNum>
  <w:abstractNum w:abstractNumId="217">
    <w:nsid w:val="70836196"/>
    <w:multiLevelType w:val="hybridMultilevel"/>
    <w:lvl w:ilvl="0">
      <w:lvlJc w:val="left"/>
      <w:lvlText w:val="*"/>
      <w:numFmt w:val="bullet"/>
      <w:start w:val="1"/>
    </w:lvl>
  </w:abstractNum>
  <w:abstractNum w:abstractNumId="218">
    <w:nsid w:val="539F7F12"/>
    <w:multiLevelType w:val="hybridMultilevel"/>
    <w:lvl w:ilvl="0">
      <w:lvlJc w:val="left"/>
      <w:lvlText w:val="&amp;"/>
      <w:numFmt w:val="bullet"/>
      <w:start w:val="1"/>
    </w:lvl>
  </w:abstractNum>
  <w:abstractNum w:abstractNumId="219">
    <w:nsid w:val="2817E7EC"/>
    <w:multiLevelType w:val="hybridMultilevel"/>
    <w:lvl w:ilvl="0">
      <w:lvlJc w:val="left"/>
      <w:lvlText w:val="(%1)"/>
      <w:numFmt w:val="decimal"/>
      <w:start w:val="1"/>
    </w:lvl>
  </w:abstractNum>
  <w:abstractNum w:abstractNumId="220">
    <w:nsid w:val="71482545"/>
    <w:multiLevelType w:val="hybridMultilevel"/>
    <w:lvl w:ilvl="0">
      <w:lvlJc w:val="left"/>
      <w:lvlText w:val="(%1)"/>
      <w:numFmt w:val="decimal"/>
      <w:start w:val="2"/>
    </w:lvl>
  </w:abstractNum>
  <w:abstractNum w:abstractNumId="221">
    <w:nsid w:val="17D78639"/>
    <w:multiLevelType w:val="hybridMultilevel"/>
    <w:lvl w:ilvl="0">
      <w:lvlJc w:val="left"/>
      <w:lvlText w:val="(%1)"/>
      <w:numFmt w:val="decimal"/>
      <w:start w:val="3"/>
    </w:lvl>
  </w:abstractNum>
  <w:abstractNum w:abstractNumId="222">
    <w:nsid w:val="141D2302"/>
    <w:multiLevelType w:val="hybridMultilevel"/>
    <w:lvl w:ilvl="0">
      <w:lvlJc w:val="left"/>
      <w:lvlText w:val="(%1)"/>
      <w:numFmt w:val="decimal"/>
      <w:start w:val="4"/>
    </w:lvl>
  </w:abstractNum>
  <w:abstractNum w:abstractNumId="223">
    <w:nsid w:val="407168D8"/>
    <w:multiLevelType w:val="hybridMultilevel"/>
    <w:lvl w:ilvl="0">
      <w:lvlJc w:val="left"/>
      <w:lvlText w:val="(%1)"/>
      <w:numFmt w:val="decimal"/>
      <w:start w:val="5"/>
    </w:lvl>
  </w:abstractNum>
  <w:abstractNum w:abstractNumId="224">
    <w:nsid w:val="6A1B45E5"/>
    <w:multiLevelType w:val="hybridMultilevel"/>
    <w:lvl w:ilvl="0">
      <w:lvlJc w:val="left"/>
      <w:lvlText w:val="(%1)"/>
      <w:numFmt w:val="lowerLetter"/>
      <w:start w:val="1"/>
    </w:lvl>
  </w:abstractNum>
  <w:abstractNum w:abstractNumId="225">
    <w:nsid w:val="567BD50A"/>
    <w:multiLevelType w:val="hybridMultilevel"/>
    <w:lvl w:ilvl="0">
      <w:lvlJc w:val="left"/>
      <w:lvlText w:val="(%1)"/>
      <w:numFmt w:val="decimal"/>
      <w:start w:val="6"/>
    </w:lvl>
  </w:abstractNum>
  <w:abstractNum w:abstractNumId="226">
    <w:nsid w:val="73BBD7F8"/>
    <w:multiLevelType w:val="hybridMultilevel"/>
    <w:lvl w:ilvl="0">
      <w:lvlJc w:val="left"/>
      <w:lvlText w:val="(%1)"/>
      <w:numFmt w:val="decimal"/>
      <w:start w:val="7"/>
    </w:lvl>
  </w:abstractNum>
  <w:abstractNum w:abstractNumId="227">
    <w:nsid w:val="1876589D"/>
    <w:multiLevelType w:val="hybridMultilevel"/>
    <w:lvl w:ilvl="0">
      <w:lvlJc w:val="left"/>
      <w:lvlText w:val="(%1)"/>
      <w:numFmt w:val="decimal"/>
      <w:start w:val="8"/>
    </w:lvl>
  </w:abstractNum>
  <w:abstractNum w:abstractNumId="228">
    <w:nsid w:val="327FAC77"/>
    <w:multiLevelType w:val="hybridMultilevel"/>
    <w:lvl w:ilvl="0">
      <w:lvlJc w:val="left"/>
      <w:lvlText w:val="(%1)"/>
      <w:numFmt w:val="decimal"/>
      <w:start w:val="9"/>
    </w:lvl>
  </w:abstractNum>
  <w:abstractNum w:abstractNumId="229">
    <w:nsid w:val="5A606509"/>
    <w:multiLevelType w:val="hybridMultilevel"/>
    <w:lvl w:ilvl="0">
      <w:lvlJc w:val="left"/>
      <w:lvlText w:val="(%1)"/>
      <w:numFmt w:val="decimal"/>
      <w:start w:val="10"/>
    </w:lvl>
  </w:abstractNum>
  <w:abstractNum w:abstractNumId="230">
    <w:nsid w:val="6F38E6D1"/>
    <w:multiLevelType w:val="hybridMultilevel"/>
    <w:lvl w:ilvl="0">
      <w:lvlJc w:val="left"/>
      <w:lvlText w:val="(%1)"/>
      <w:numFmt w:val="decimal"/>
      <w:start w:val="12"/>
    </w:lvl>
  </w:abstractNum>
  <w:abstractNum w:abstractNumId="231">
    <w:nsid w:val="46111BA5"/>
    <w:multiLevelType w:val="hybridMultilevel"/>
    <w:lvl w:ilvl="0">
      <w:lvlJc w:val="left"/>
      <w:lvlText w:val="(%1)"/>
      <w:numFmt w:val="decimal"/>
      <w:start w:val="16"/>
    </w:lvl>
  </w:abstractNum>
  <w:abstractNum w:abstractNumId="232">
    <w:nsid w:val="5E963896"/>
    <w:multiLevelType w:val="hybridMultilevel"/>
    <w:lvl w:ilvl="0">
      <w:lvlJc w:val="left"/>
      <w:lvlText w:val="*"/>
      <w:numFmt w:val="bullet"/>
      <w:start w:val="1"/>
    </w:lvl>
  </w:abstractNum>
  <w:abstractNum w:abstractNumId="233">
    <w:nsid w:val="775BA7C1"/>
    <w:multiLevelType w:val="hybridMultilevel"/>
    <w:lvl w:ilvl="0">
      <w:lvlJc w:val="left"/>
      <w:lvlText w:val="*"/>
      <w:numFmt w:val="bullet"/>
      <w:start w:val="1"/>
    </w:lvl>
  </w:abstractNum>
  <w:abstractNum w:abstractNumId="234">
    <w:nsid w:val="1DD6D6F4"/>
    <w:multiLevelType w:val="hybridMultilevel"/>
    <w:lvl w:ilvl="0">
      <w:lvlJc w:val="left"/>
      <w:lvlText w:val="*"/>
      <w:numFmt w:val="bullet"/>
      <w:start w:val="1"/>
    </w:lvl>
  </w:abstractNum>
  <w:abstractNum w:abstractNumId="235">
    <w:nsid w:val="769A091F"/>
    <w:multiLevelType w:val="hybridMultilevel"/>
    <w:lvl w:ilvl="0">
      <w:lvlJc w:val="left"/>
      <w:lvlText w:val="&amp;"/>
      <w:numFmt w:val="bullet"/>
      <w:start w:val="1"/>
    </w:lvl>
  </w:abstractNum>
  <w:abstractNum w:abstractNumId="236">
    <w:nsid w:val="4695AE95"/>
    <w:multiLevelType w:val="hybridMultilevel"/>
    <w:lvl w:ilvl="0">
      <w:lvlJc w:val="left"/>
      <w:lvlText w:val="(%1)"/>
      <w:numFmt w:val="decimal"/>
      <w:start w:val="1"/>
    </w:lvl>
  </w:abstractNum>
  <w:abstractNum w:abstractNumId="237">
    <w:nsid w:val="777A4EAA"/>
    <w:multiLevelType w:val="hybridMultilevel"/>
    <w:lvl w:ilvl="0">
      <w:lvlJc w:val="left"/>
      <w:lvlText w:val="(%1)"/>
      <w:numFmt w:val="decimal"/>
      <w:start w:val="2"/>
    </w:lvl>
  </w:abstractNum>
  <w:abstractNum w:abstractNumId="238">
    <w:nsid w:val="3F48B982"/>
    <w:multiLevelType w:val="hybridMultilevel"/>
    <w:lvl w:ilvl="0">
      <w:lvlJc w:val="left"/>
      <w:lvlText w:val="(%1)"/>
      <w:numFmt w:val="decimal"/>
      <w:start w:val="3"/>
    </w:lvl>
  </w:abstractNum>
  <w:abstractNum w:abstractNumId="239">
    <w:nsid w:val="46BA8FCA"/>
    <w:multiLevelType w:val="hybridMultilevel"/>
    <w:lvl w:ilvl="0">
      <w:lvlJc w:val="left"/>
      <w:lvlText w:val="(%1)"/>
      <w:numFmt w:val="decimal"/>
      <w:start w:val="4"/>
    </w:lvl>
  </w:abstractNum>
  <w:abstractNum w:abstractNumId="240">
    <w:nsid w:val="7835626C"/>
    <w:multiLevelType w:val="hybridMultilevel"/>
    <w:lvl w:ilvl="0">
      <w:lvlJc w:val="left"/>
      <w:lvlText w:val="(%1)"/>
      <w:numFmt w:val="decimal"/>
      <w:start w:val="5"/>
    </w:lvl>
  </w:abstractNum>
  <w:abstractNum w:abstractNumId="241">
    <w:nsid w:val="665ACA49"/>
    <w:multiLevelType w:val="hybridMultilevel"/>
    <w:lvl w:ilvl="0">
      <w:lvlJc w:val="left"/>
      <w:lvlText w:val="(%1)"/>
      <w:numFmt w:val="lowerLetter"/>
      <w:start w:val="1"/>
    </w:lvl>
  </w:abstractNum>
  <w:abstractNum w:abstractNumId="242">
    <w:nsid w:val="6835B2AE"/>
    <w:multiLevelType w:val="hybridMultilevel"/>
    <w:lvl w:ilvl="0">
      <w:lvlJc w:val="left"/>
      <w:lvlText w:val="(%1)"/>
      <w:numFmt w:val="decimal"/>
      <w:start w:val="6"/>
    </w:lvl>
  </w:abstractNum>
  <w:abstractNum w:abstractNumId="243">
    <w:nsid w:val="4C187C90"/>
    <w:multiLevelType w:val="hybridMultilevel"/>
    <w:lvl w:ilvl="0">
      <w:lvlJc w:val="left"/>
      <w:lvlText w:val="(%1)"/>
      <w:numFmt w:val="decimal"/>
      <w:start w:val="7"/>
    </w:lvl>
  </w:abstractNum>
  <w:abstractNum w:abstractNumId="244">
    <w:nsid w:val="541F28CD"/>
    <w:multiLevelType w:val="hybridMultilevel"/>
    <w:lvl w:ilvl="0">
      <w:lvlJc w:val="left"/>
      <w:lvlText w:val="(%1)"/>
      <w:numFmt w:val="decimal"/>
      <w:start w:val="8"/>
    </w:lvl>
  </w:abstractNum>
  <w:abstractNum w:abstractNumId="245">
    <w:nsid w:val="7F65FD16"/>
    <w:multiLevelType w:val="hybridMultilevel"/>
    <w:lvl w:ilvl="0">
      <w:lvlJc w:val="left"/>
      <w:lvlText w:val="(%1)"/>
      <w:numFmt w:val="decimal"/>
      <w:start w:val="9"/>
    </w:lvl>
  </w:abstractNum>
  <w:abstractNum w:abstractNumId="246">
    <w:nsid w:val="77C9FD68"/>
    <w:multiLevelType w:val="hybridMultilevel"/>
    <w:lvl w:ilvl="0">
      <w:lvlJc w:val="left"/>
      <w:lvlText w:val="(%1)"/>
      <w:numFmt w:val="decimal"/>
      <w:start w:val="10"/>
    </w:lvl>
  </w:abstractNum>
  <w:abstractNum w:abstractNumId="247">
    <w:nsid w:val="298A92BA"/>
    <w:multiLevelType w:val="hybridMultilevel"/>
    <w:lvl w:ilvl="0">
      <w:lvlJc w:val="left"/>
      <w:lvlText w:val="(%1)"/>
      <w:numFmt w:val="decimal"/>
      <w:start w:val="12"/>
    </w:lvl>
  </w:abstractNum>
  <w:abstractNum w:abstractNumId="248">
    <w:nsid w:val="6FE95EAC"/>
    <w:multiLevelType w:val="hybridMultilevel"/>
    <w:lvl w:ilvl="0">
      <w:lvlJc w:val="left"/>
      <w:lvlText w:val="(%1)"/>
      <w:numFmt w:val="decimal"/>
      <w:start w:val="16"/>
    </w:lvl>
  </w:abstractNum>
  <w:abstractNum w:abstractNumId="249">
    <w:nsid w:val="4B697C7A"/>
    <w:multiLevelType w:val="hybridMultilevel"/>
    <w:lvl w:ilvl="0">
      <w:lvlJc w:val="left"/>
      <w:lvlText w:val="*"/>
      <w:numFmt w:val="bullet"/>
      <w:start w:val="1"/>
    </w:lvl>
  </w:abstractNum>
  <w:abstractNum w:abstractNumId="250">
    <w:nsid w:val="51A27AA6"/>
    <w:multiLevelType w:val="hybridMultilevel"/>
    <w:lvl w:ilvl="0">
      <w:lvlJc w:val="left"/>
      <w:lvlText w:val="*"/>
      <w:numFmt w:val="bullet"/>
      <w:start w:val="1"/>
    </w:lvl>
  </w:abstractNum>
  <w:abstractNum w:abstractNumId="251">
    <w:nsid w:val="613183F2"/>
    <w:multiLevelType w:val="hybridMultilevel"/>
    <w:lvl w:ilvl="0">
      <w:lvlJc w:val="left"/>
      <w:lvlText w:val="*"/>
      <w:numFmt w:val="bullet"/>
      <w:start w:val="1"/>
    </w:lvl>
  </w:abstractNum>
  <w:abstractNum w:abstractNumId="252">
    <w:nsid w:val="634102B4"/>
    <w:multiLevelType w:val="hybridMultilevel"/>
    <w:lvl w:ilvl="0">
      <w:lvlJc w:val="left"/>
      <w:lvlText w:val="%1."/>
      <w:numFmt w:val="decimal"/>
      <w:start w:val="1"/>
    </w:lvl>
  </w:abstractNum>
  <w:abstractNum w:abstractNumId="253">
    <w:nsid w:val="65BF9DA8"/>
    <w:multiLevelType w:val="hybridMultilevel"/>
    <w:lvl w:ilvl="0">
      <w:lvlJc w:val="left"/>
      <w:lvlText w:val="%1."/>
      <w:numFmt w:val="decimal"/>
      <w:start w:val="4"/>
    </w:lvl>
  </w:abstractNum>
  <w:abstractNum w:abstractNumId="254">
    <w:nsid w:val="21A2ECCA"/>
    <w:multiLevelType w:val="hybridMultilevel"/>
    <w:lvl w:ilvl="0">
      <w:lvlJc w:val="left"/>
      <w:lvlText w:val="%1"/>
      <w:numFmt w:val="decimal"/>
      <w:start w:val="731"/>
    </w:lvl>
  </w:abstractNum>
  <w:abstractNum w:abstractNumId="255">
    <w:nsid w:val="4D5C4899"/>
    <w:multiLevelType w:val="hybridMultilevel"/>
    <w:lvl w:ilvl="0">
      <w:lvlJc w:val="left"/>
      <w:lvlText w:val="%1."/>
      <w:numFmt w:val="decimal"/>
      <w:start w:val="5"/>
    </w:lvl>
  </w:abstractNum>
  <w:abstractNum w:abstractNumId="256">
    <w:nsid w:val="3C3B72B2"/>
    <w:multiLevelType w:val="hybridMultilevel"/>
    <w:lvl w:ilvl="0">
      <w:lvlJc w:val="left"/>
      <w:lvlText w:val="(%1)"/>
      <w:numFmt w:val="lowerLetter"/>
      <w:start w:val="1"/>
    </w:lvl>
  </w:abstractNum>
  <w:abstractNum w:abstractNumId="257">
    <w:nsid w:val="155EC4C2"/>
    <w:multiLevelType w:val="hybridMultilevel"/>
    <w:lvl w:ilvl="0">
      <w:lvlJc w:val="left"/>
      <w:lvlText w:val="(%1)"/>
      <w:numFmt w:val="lowerRoman"/>
      <w:start w:val="1"/>
    </w:lvl>
  </w:abstractNum>
  <w:abstractNum w:abstractNumId="258">
    <w:nsid w:val="65D2A137"/>
    <w:multiLevelType w:val="hybridMultilevel"/>
    <w:lvl w:ilvl="0">
      <w:lvlJc w:val="left"/>
      <w:lvlText w:val="%1."/>
      <w:numFmt w:val="upperLetter"/>
      <w:start w:val="1"/>
    </w:lvl>
  </w:abstractNum>
  <w:abstractNum w:abstractNumId="259">
    <w:nsid w:val="6EBB1F2A"/>
    <w:multiLevelType w:val="hybridMultilevel"/>
    <w:lvl w:ilvl="0">
      <w:lvlJc w:val="left"/>
      <w:lvlText w:val="1"/>
      <w:numFmt w:val="bullet"/>
      <w:start w:val="1"/>
    </w:lvl>
  </w:abstractNum>
  <w:abstractNum w:abstractNumId="260">
    <w:nsid w:val="6FBF29CB"/>
    <w:multiLevelType w:val="hybridMultilevel"/>
    <w:lvl w:ilvl="0">
      <w:lvlJc w:val="left"/>
      <w:lvlText w:val="•"/>
      <w:numFmt w:val="bullet"/>
      <w:start w:val="1"/>
    </w:lvl>
  </w:abstractNum>
  <w:abstractNum w:abstractNumId="261">
    <w:nsid w:val="550B8808"/>
    <w:multiLevelType w:val="hybridMultilevel"/>
    <w:lvl w:ilvl="0">
      <w:lvlJc w:val="left"/>
      <w:lvlText w:val="2"/>
      <w:numFmt w:val="bullet"/>
      <w:start w:val="1"/>
    </w:lvl>
  </w:abstractNum>
  <w:abstractNum w:abstractNumId="262">
    <w:nsid w:val="34CC3ACF"/>
    <w:multiLevelType w:val="hybridMultilevel"/>
    <w:lvl w:ilvl="0">
      <w:lvlJc w:val="left"/>
      <w:lvlText w:val="3"/>
      <w:numFmt w:val="bullet"/>
      <w:start w:val="1"/>
    </w:lvl>
  </w:abstractNum>
  <w:abstractNum w:abstractNumId="263">
    <w:nsid w:val="4E556261"/>
    <w:multiLevelType w:val="hybridMultilevel"/>
    <w:lvl w:ilvl="0">
      <w:lvlJc w:val="left"/>
      <w:lvlText w:val="4"/>
      <w:numFmt w:val="bullet"/>
      <w:start w:val="1"/>
    </w:lvl>
  </w:abstractNum>
  <w:abstractNum w:abstractNumId="264">
    <w:nsid w:val="4C672FC9"/>
    <w:multiLevelType w:val="hybridMultilevel"/>
    <w:lvl w:ilvl="0">
      <w:lvlJc w:val="left"/>
      <w:lvlText w:val="1"/>
      <w:numFmt w:val="bullet"/>
      <w:start w:val="1"/>
    </w:lvl>
  </w:abstractNum>
  <w:abstractNum w:abstractNumId="265">
    <w:nsid w:val="52A311C3"/>
    <w:multiLevelType w:val="hybridMultilevel"/>
    <w:lvl w:ilvl="0">
      <w:lvlJc w:val="left"/>
      <w:lvlText w:val="2"/>
      <w:numFmt w:val="bullet"/>
      <w:start w:val="1"/>
    </w:lvl>
  </w:abstractNum>
  <w:abstractNum w:abstractNumId="266">
    <w:nsid w:val="44EF6B80"/>
    <w:multiLevelType w:val="hybridMultilevel"/>
    <w:lvl w:ilvl="0">
      <w:lvlJc w:val="left"/>
      <w:lvlText w:val="(%1)"/>
      <w:numFmt w:val="lowerLetter"/>
      <w:start w:val="1"/>
    </w:lvl>
  </w:abstractNum>
  <w:abstractNum w:abstractNumId="267">
    <w:nsid w:val="12FCDE5E"/>
    <w:multiLevelType w:val="hybridMultilevel"/>
    <w:lvl w:ilvl="0">
      <w:lvlJc w:val="left"/>
      <w:lvlText w:val="(%1)"/>
      <w:numFmt w:val="lowerRoman"/>
      <w:start w:val="1"/>
    </w:lvl>
  </w:abstractNum>
  <w:abstractNum w:abstractNumId="268">
    <w:nsid w:val="4A1D606E"/>
    <w:multiLevelType w:val="hybridMultilevel"/>
    <w:lvl w:ilvl="0">
      <w:lvlJc w:val="left"/>
      <w:lvlText w:val="(%1)"/>
      <w:numFmt w:val="lowerRoman"/>
      <w:start w:val="5"/>
    </w:lvl>
  </w:abstractNum>
  <w:abstractNum w:abstractNumId="269">
    <w:nsid w:val="4382503"/>
    <w:multiLevelType w:val="hybridMultilevel"/>
    <w:lvl w:ilvl="0">
      <w:lvlJc w:val="left"/>
      <w:lvlText w:val="(%1)"/>
      <w:numFmt w:val="lowerLetter"/>
      <w:start w:val="1"/>
    </w:lvl>
  </w:abstractNum>
  <w:abstractNum w:abstractNumId="270">
    <w:nsid w:val="59B76E28"/>
    <w:multiLevelType w:val="hybridMultilevel"/>
    <w:lvl w:ilvl="0">
      <w:lvlJc w:val="left"/>
      <w:lvlText w:val="%1."/>
      <w:numFmt w:val="decimal"/>
      <w:start w:val="1"/>
    </w:lvl>
  </w:abstractNum>
  <w:abstractNum w:abstractNumId="271">
    <w:nsid w:val="4252C2DA"/>
    <w:multiLevelType w:val="hybridMultilevel"/>
    <w:lvl w:ilvl="0">
      <w:lvlJc w:val="left"/>
      <w:lvlText w:val="(%1)"/>
      <w:numFmt w:val="lowerLetter"/>
      <w:start w:val="1"/>
    </w:lvl>
  </w:abstractNum>
  <w:abstractNum w:abstractNumId="272">
    <w:nsid w:val="6A92EF4C"/>
    <w:multiLevelType w:val="hybridMultilevel"/>
    <w:lvl w:ilvl="0">
      <w:lvlJc w:val="left"/>
      <w:lvlText w:val="(%1)"/>
      <w:numFmt w:val="lowerRoman"/>
      <w:start w:val="1"/>
    </w:lvl>
  </w:abstractNum>
  <w:abstractNum w:abstractNumId="273">
    <w:nsid w:val="41ED20D7"/>
    <w:multiLevelType w:val="hybridMultilevel"/>
    <w:lvl w:ilvl="0">
      <w:lvlJc w:val="left"/>
      <w:lvlText w:val="(%1)"/>
      <w:numFmt w:val="lowerRoman"/>
      <w:start w:val="3"/>
    </w:lvl>
  </w:abstractNum>
  <w:abstractNum w:abstractNumId="274">
    <w:nsid w:val="E6B3F6A"/>
    <w:multiLevelType w:val="hybridMultilevel"/>
    <w:lvl w:ilvl="0">
      <w:lvlJc w:val="left"/>
      <w:lvlText w:val="%1."/>
      <w:numFmt w:val="decimal"/>
      <w:start w:val="1"/>
    </w:lvl>
  </w:abstractNum>
  <w:abstractNum w:abstractNumId="275">
    <w:nsid w:val="3EB2181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2024-05-08T15:53:10Z</dcterms:created>
  <dcterms:modified xsi:type="dcterms:W3CDTF">2024-05-08T15:53:10Z</dcterms:modified>
</cp:coreProperties>
</file>