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No._2_)</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ICON plc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G4705A100</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12/31/2013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G4705A100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EARNEST Partners, LLC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State of Georgia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4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4"/>
              </w:rPr>
              <w:t>3,417,661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VOTING POWER</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335,798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SOLE DISPOSITIVE POWER  5,485,357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17"/>
                <w:szCs w:val="17"/>
                <w:color w:val="auto"/>
              </w:rPr>
            </w:pPr>
          </w:p>
        </w:tc>
      </w:tr>
    </w:tbl>
    <w:p>
      <w:pPr>
        <w:ind w:left="2000" w:hanging="517"/>
        <w:spacing w:after="0" w:line="238" w:lineRule="auto"/>
        <w:tabs>
          <w:tab w:leader="none" w:pos="20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  AGGREGATE AMOUNT BENEFICIALLY OWNED BY EACH REPORTING PERSON  5,485,357</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right="26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  9.0%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 (SEE INSTRUCTIONS)</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ICON plc</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South County Business Park, Leopardstown, Dublin, 18, Ireland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939" w:hanging="531"/>
        <w:spacing w:after="0" w:line="290"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State of Georgia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G4705A100</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203" w:lineRule="exact"/>
        <w:rPr>
          <w:sz w:val="20"/>
          <w:szCs w:val="20"/>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5,485,357</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9.0%</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3,417,661</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335,798</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5,485,357</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219"/>
          </w:cols>
          <w:pgMar w:left="240" w:top="541" w:right="1440" w:bottom="0" w:gutter="0" w:footer="0" w:header="0"/>
        </w:sectPr>
      </w:pPr>
    </w:p>
    <w:bookmarkStart w:id="2" w:name="page3"/>
    <w:bookmarkEnd w:id="2"/>
    <w:p>
      <w:pPr>
        <w:ind w:right="2099"/>
        <w:spacing w:after="0" w:line="235"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208"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10, 2014</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8"/>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lvl w:ilvl="1">
      <w:lvlJc w:val="left"/>
      <w:lvlText w:val="(%2)"/>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2019-12-06T19:41:54Z</dcterms:created>
  <dcterms:modified xsi:type="dcterms:W3CDTF">2019-12-06T19:41:54Z</dcterms:modified>
</cp:coreProperties>
</file>