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August, 2013</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000"/>
        <w:spacing w:after="0"/>
        <w:tabs>
          <w:tab w:leader="none" w:pos="742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000"/>
        <w:spacing w:after="0"/>
        <w:tabs>
          <w:tab w:leader="none" w:pos="74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000"/>
        <w:spacing w:after="0"/>
        <w:tabs>
          <w:tab w:leader="none" w:pos="74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38"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000"/>
        <w:spacing w:after="0"/>
        <w:tabs>
          <w:tab w:leader="none" w:pos="74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2013 we had approximately 10,170 employees, in 78 locations in 37 countries. During the six months ended June 30, 2013, we derived approximately 42.2%, 46.1% and 11.7% of our net revenue in the United States, Europe and Rest of World, respectively.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 </w:t>
      </w:r>
      <w:r>
        <w:rPr>
          <w:rFonts w:ascii="Arial" w:cs="Arial" w:eastAsia="Arial" w:hAnsi="Arial"/>
          <w:sz w:val="17"/>
          <w:szCs w:val="17"/>
          <w:i w:val="1"/>
          <w:iCs w:val="1"/>
          <w:color w:val="auto"/>
        </w:rPr>
        <w:t>(see note 3 Business Combinations for further information).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2013 AND 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98,267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114,047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83,386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305,805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285,419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Unbilled revenue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140,145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15,691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13,387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21,431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20,574</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28,027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23,155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14,539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709,541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663,748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162,280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168,373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354,579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315,441</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6,431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receivable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23,660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9,506</w:t>
            </w: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Non-current deferred tax asset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5,657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5,009</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30,974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34,447</w:t>
            </w: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1,293,122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1,202,108</w:t>
            </w: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11,806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Payments on account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272,019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219,467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166,579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181,092</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5,608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456,034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413,422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11,892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14,312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9,530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5,650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12,663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12,722</w:t>
            </w: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60,861,741 shares issued and outstanding at June 30, 2013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60,287,498 shares issued and outstanding at December 31, 2012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5,109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253,323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237,217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redemption reserve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(19,315)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(8,776)</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562,491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520,967</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801,708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754,575</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1,293,122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1,202,108</w:t>
            </w: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2013 AND JUNE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gridSpan w:val="15"/>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469,626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379,620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888,685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722,675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(135,407)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(102,613)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(237,677)</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(193,335)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revenue</w:t>
            </w:r>
          </w:p>
        </w:tc>
        <w:tc>
          <w:tcPr>
            <w:tcW w:w="1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334,219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277,007</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651,008</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529,340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214,231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180,127</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416,592</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77,548</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69,410</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153,112</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10,830</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22,976</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Restructuring and other items</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4,621</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5,636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9,033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307,920</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266,003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601,713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506,604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26,299</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11,004</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49,295</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(374)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(545)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(740)</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26,199</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10,773</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49,010</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22,470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(3,720)</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(2,809)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(7,486)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22,479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7,964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41,524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16,935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0.69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60,724,296</w:t>
            </w:r>
          </w:p>
        </w:tc>
        <w:tc>
          <w:tcPr>
            <w:tcW w:w="1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59,978,509</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60,555,945</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60,032,306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61,898,903</w:t>
            </w:r>
          </w:p>
        </w:tc>
        <w:tc>
          <w:tcPr>
            <w:tcW w:w="1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60,630,891</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61,607,757</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60,607,635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 AND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Pr>
          <w:p>
            <w:pPr>
              <w:spacing w:after="0"/>
              <w:rPr>
                <w:sz w:val="20"/>
                <w:szCs w:val="20"/>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41,524</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Depreciation expense</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19,372</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3,604</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Amortization of grants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compensation expense</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5,466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Increase in accounts receivable</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(12,853)</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unbilled revenue</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(Increase)/decrease in other receivables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(3,070)</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prepayments and other current assets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Increase in other non current assets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payments on account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52,615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Increase/(decrease) in other current liabilities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6,134</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Increase/(decrease) in other non-current liabilities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(Decrease)/increase in income taxes payable</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(5,608)</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Increase in accounts payable</w:t>
            </w:r>
          </w:p>
        </w:tc>
        <w:tc>
          <w:tcPr>
            <w:tcW w:w="1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5,397</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80,217</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72,166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 of subsidiary undertakings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(78,661)</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acquired with subsidiary undertakings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 of short term investments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(71,227)</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Sale of short term investments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63,826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 in restricted cash, net</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Proceeds from exercise of share options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10,548</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issuance costs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Tax benefit from the exercise of share options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ordinary shares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Share repurchase costs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Drawdown of bank credit lines and loan facilities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Repayment of bank credit lines and loan facilities</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10,682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114,047</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98,267</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22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Redemption</w:t>
            </w:r>
          </w:p>
        </w:tc>
        <w:tc>
          <w:tcPr>
            <w:tcW w:w="13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Retained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17"/>
                <w:szCs w:val="17"/>
                <w:color w:val="auto"/>
              </w:rPr>
            </w:pPr>
          </w:p>
        </w:tc>
        <w:tc>
          <w:tcPr>
            <w:tcW w:w="7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99"/>
              </w:rPr>
              <w:t>Reserve</w:t>
            </w:r>
          </w:p>
        </w:tc>
        <w:tc>
          <w:tcPr>
            <w:tcW w:w="180" w:type="dxa"/>
            <w:vAlign w:val="bottom"/>
          </w:tcPr>
          <w:p>
            <w:pPr>
              <w:spacing w:after="0"/>
              <w:rPr>
                <w:sz w:val="17"/>
                <w:szCs w:val="17"/>
                <w:color w:val="auto"/>
              </w:rPr>
            </w:pPr>
          </w:p>
        </w:tc>
        <w:tc>
          <w:tcPr>
            <w:tcW w:w="114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6"/>
              </w:rPr>
              <w:t>Earnings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13"/>
          </w:tcPr>
          <w:p>
            <w:pPr>
              <w:jc w:val="right"/>
              <w:ind w:right="300"/>
              <w:spacing w:after="0"/>
              <w:rPr>
                <w:sz w:val="20"/>
                <w:szCs w:val="20"/>
                <w:color w:val="auto"/>
              </w:rPr>
            </w:pPr>
            <w:r>
              <w:rPr>
                <w:rFonts w:ascii="Arial" w:cs="Arial" w:eastAsia="Arial" w:hAnsi="Arial"/>
                <w:sz w:val="18"/>
                <w:szCs w:val="18"/>
                <w:b w:val="1"/>
                <w:bCs w:val="1"/>
                <w:color w:val="auto"/>
                <w:w w:val="88"/>
              </w:rPr>
              <w:t>(dollars in thousands, except share data)</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5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60,287,498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237,217</w:t>
            </w:r>
          </w:p>
        </w:tc>
        <w:tc>
          <w:tcPr>
            <w:tcW w:w="1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left w:val="single" w:sz="8" w:color="CCEEFF"/>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520,967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41,524</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(5,935)</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Currency impact of long term</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(4,172)</w:t>
            </w:r>
          </w:p>
        </w:tc>
        <w:tc>
          <w:tcPr>
            <w:tcW w:w="2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50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left w:val="single" w:sz="8" w:color="CCEEFF"/>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(10,539)</w:t>
            </w: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41,524</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30,985</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524,243</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10,502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Issue of restricted share units</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Share issuance costs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 compensation</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Tax benefit on exercise of</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2013</w:t>
            </w:r>
          </w:p>
        </w:tc>
        <w:tc>
          <w:tcPr>
            <w:tcW w:w="150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60,861,741</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253,323</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left w:val="single" w:sz="8" w:color="CCEEFF"/>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(19,315)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562,491</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801,708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gridSpan w:val="22"/>
          </w:tcPr>
          <w:p>
            <w:pPr>
              <w:jc w:val="right"/>
              <w:ind w:right="4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ind w:left="320"/>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2012. Operating results for the six months ended June 30, 2013 are not necessarily indicative of the results that may be expected for the fiscal period ending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5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315,441</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253,393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54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43,877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5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5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(4,739)</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54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354,579</w:t>
            </w: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315,441</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40" w:type="dxa"/>
            <w:vAlign w:val="bottom"/>
          </w:tcPr>
          <w:p>
            <w:pPr>
              <w:jc w:val="right"/>
              <w:ind w:right="347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 Clinical Trial Services Division of Cross Country Healthcare, Inc.</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2013 the Company acquired the clinical trial services division of Cross Country Healthcare Inc. for an initial cash consideration of $51.9 million. The agreement provided for further consideration of up to $3.75 million which may become payable if certain performance milestones are achieved during the period ended December 31,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 Certain operating margin perfomance milestones in relation to ClinForce and Assent Consulting were not achieved during the period ended March 31, 2013 resulting in a reduction of $1.5 million to the contingent consideration. At June 30, 2013 the Company has recorded a liability of $2.25 million in respect of the additional consideration. At June 30, 2013 $2.25 million was held in escrow in relation to additional amounts potentially payable under the acquisition, and this is presented as resticted cash on the condensed consolidated balance sheet.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the clinical trial services division of Cross Country Healthcare, Inc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preliminary estimated fair values of the assets acquired and the liabilities assumed: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Accounts receivable</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Liability arising from contingent consideration arrangement</w:t>
            </w:r>
          </w:p>
        </w:tc>
        <w:tc>
          <w:tcPr>
            <w:tcW w:w="5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4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3"/>
              </w:rPr>
              <w:t>Liabilities included in preliminary purchase price allocation</w:t>
            </w:r>
          </w:p>
        </w:tc>
        <w:tc>
          <w:tcPr>
            <w:tcW w:w="5960" w:type="dxa"/>
            <w:vAlign w:val="bottom"/>
          </w:tcPr>
          <w:p>
            <w:pPr>
              <w:jc w:val="right"/>
              <w:ind w:right="5690"/>
              <w:spacing w:after="0" w:line="201" w:lineRule="exact"/>
              <w:rPr>
                <w:sz w:val="20"/>
                <w:szCs w:val="20"/>
                <w:color w:val="auto"/>
              </w:rPr>
            </w:pPr>
            <w:r>
              <w:rPr>
                <w:rFonts w:ascii="Arial" w:cs="Arial" w:eastAsia="Arial" w:hAnsi="Arial"/>
                <w:sz w:val="18"/>
                <w:szCs w:val="18"/>
                <w:color w:val="auto"/>
                <w:w w:val="99"/>
              </w:rPr>
              <w:t>re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8"/>
        <w:spacing w:after="0" w:line="26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PriceSpective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28,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December 31, 2012. On August 13, 2012 the Company paid $5.0 million in relation to performance milestones for the year ended December 31, 2011. On May 29, 2013 the Company paid $10.0 million in relation to the remaining performance milestones for the year ended December 31, 2012.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 xml:space="preserve">The acquisition of PriceSpective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Unbilled revenue</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5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Liability arising from contingent consideration arrangement</w:t>
            </w:r>
          </w:p>
        </w:tc>
        <w:tc>
          <w:tcPr>
            <w:tcW w:w="5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37,098</w:t>
            </w:r>
          </w:p>
        </w:tc>
        <w:tc>
          <w:tcPr>
            <w:tcW w:w="0" w:type="dxa"/>
            <w:vAlign w:val="bottom"/>
          </w:tcPr>
          <w:p>
            <w:pPr>
              <w:spacing w:after="0"/>
              <w:rPr>
                <w:sz w:val="1"/>
                <w:szCs w:val="1"/>
                <w:color w:val="auto"/>
              </w:rPr>
            </w:pPr>
          </w:p>
        </w:tc>
      </w:tr>
      <w:tr>
        <w:trPr>
          <w:trHeight w:val="21"/>
        </w:trPr>
        <w:tc>
          <w:tcPr>
            <w:tcW w:w="436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4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5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Amount of total consideration</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Liabilities included in preliminary purchase price allocation</w:t>
            </w:r>
          </w:p>
        </w:tc>
        <w:tc>
          <w:tcPr>
            <w:tcW w:w="5960" w:type="dxa"/>
            <w:vAlign w:val="bottom"/>
            <w:shd w:val="clear" w:color="auto" w:fill="CCEEFF"/>
          </w:tcPr>
          <w:p>
            <w:pPr>
              <w:jc w:val="right"/>
              <w:ind w:right="5690"/>
              <w:spacing w:after="0" w:line="201" w:lineRule="exact"/>
              <w:rPr>
                <w:sz w:val="20"/>
                <w:szCs w:val="20"/>
                <w:color w:val="auto"/>
              </w:rPr>
            </w:pPr>
            <w:r>
              <w:rPr>
                <w:rFonts w:ascii="Arial" w:cs="Arial" w:eastAsia="Arial" w:hAnsi="Arial"/>
                <w:sz w:val="18"/>
                <w:szCs w:val="18"/>
                <w:color w:val="auto"/>
                <w:w w:val="99"/>
              </w:rPr>
              <w:t>re</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BeijingWits Medical</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15,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On June 13, 2013 the Company paid $3.8 million in relation to the remaining performance milestones for the year ended December 31, 2012. At June 30, 2013 the Company has recorded a liability of $3.2 million in respect of the additional consideration.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 xml:space="preserve">The acquisition of BeijingWits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Unbilled revenue</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2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 re</w:t>
            </w:r>
          </w:p>
        </w:tc>
        <w:tc>
          <w:tcPr>
            <w:tcW w:w="2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and is not tax deductible.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items recognized comprise: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8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4,525</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non-recurring items</w:t>
            </w:r>
          </w:p>
        </w:tc>
        <w:tc>
          <w:tcPr>
            <w:tcW w:w="2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1,111</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5,636</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80" w:type="dxa"/>
            <w:vAlign w:val="bottom"/>
          </w:tcPr>
          <w:p>
            <w:pPr>
              <w:jc w:val="right"/>
              <w:ind w:right="45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During the three months ended June 30, 2013 the Company implemented a further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Details of the movement in this restructuring plan recognized are as follows:</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Q2 Plan - Initial provision recognized</w:t>
            </w:r>
          </w:p>
        </w:tc>
        <w:tc>
          <w:tcPr>
            <w:tcW w:w="1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393</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8,131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payments</w:t>
            </w:r>
          </w:p>
        </w:tc>
        <w:tc>
          <w:tcPr>
            <w:tcW w:w="1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6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at June 30, 2013</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3,848</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Restructuring charges of $4.5 million were recorded during year ended December 31, 2012 (inclusive of the release of $0.1 million relating to the 2011 Restructuring Plans) under a restructuring plan (“the 2012 restructuring plan”) adopted following a review by the Company of its operations. The 2012 restructuring plan included resource rationalizations in certain areas of the business and a re-organization of available office space at the Company’s Philadelphia facility. The restructuring plan recognized included $3.4 million in respect of resource rationalizations and $1.2 million in respect of lease termination and exit costs associated with the re-organization of available space at the Company’s Philadelphia facility.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Details of the movement in the 2012 restructuring plan are as follows:</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recognized</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3,394</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payments</w:t>
            </w:r>
          </w:p>
        </w:tc>
        <w:tc>
          <w:tcPr>
            <w:tcW w:w="2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Provision at December 31, 2012</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30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Provision at June 30, 2013</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jc w:val="right"/>
              <w:ind w:right="175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Other Charges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September 30, 2011 Mr. Peter Gray, Vice-Chairman of the Board, retired as Chief Executive Officer (“CEO”) of the Company, in accordance with the provisions of his service agreement, which was terminable on twelve months notice by either party. On June 11, 2012 the Company entered into an agreement with Mr. Gray whereby Mr. Gray’s employment and directorship of ICON plc and other ICON group companies would terminate on July 19,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recognised a share-based compensation charge of $620,000 in respect of these options during the three months ended June 30,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six months ended June 30, 2013 comprise: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1"/>
              </w:rPr>
              <w:t>June 30,</w:t>
            </w:r>
          </w:p>
        </w:tc>
        <w:tc>
          <w:tcPr>
            <w:tcW w:w="5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54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r>
      <w:tr>
        <w:trPr>
          <w:trHeight w:val="20"/>
        </w:trPr>
        <w:tc>
          <w:tcPr>
            <w:tcW w:w="5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5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 taxes before restructuring and</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3,514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9,336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(595)</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(705)</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(1,850)</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(705)</w:t>
            </w:r>
          </w:p>
        </w:tc>
      </w:tr>
      <w:tr>
        <w:trPr>
          <w:trHeight w:val="4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w:t>
            </w: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1"/>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items</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2,809</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7,486</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5,535</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June 30, 2013 the Company maintains a $9.5 million liability (December 31, 2012: $8.3 million) for unrecognized tax benefit, which is comprised of $8.1 million (December 31, 2012: $7.2 million) related to items generating unrecognized tax benefits and $1.4 million (December 31, 2012: $1.1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2008 through 2012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640" w:type="dxa"/>
            <w:vAlign w:val="bottom"/>
            <w:gridSpan w:val="5"/>
          </w:tcPr>
          <w:p>
            <w:pPr>
              <w:ind w:left="740"/>
              <w:spacing w:after="0" w:line="196" w:lineRule="exact"/>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7"/>
                <w:szCs w:val="17"/>
                <w:color w:val="auto"/>
              </w:rPr>
            </w:pPr>
          </w:p>
        </w:tc>
        <w:tc>
          <w:tcPr>
            <w:tcW w:w="92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85"/>
              </w:rPr>
              <w:t>June 30,</w:t>
            </w:r>
          </w:p>
        </w:tc>
        <w:tc>
          <w:tcPr>
            <w:tcW w:w="1180" w:type="dxa"/>
            <w:vAlign w:val="bottom"/>
            <w:gridSpan w:val="5"/>
          </w:tcPr>
          <w:p>
            <w:pPr>
              <w:ind w:left="4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7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rPr>
              <w:t>2013</w:t>
            </w:r>
          </w:p>
        </w:tc>
        <w:tc>
          <w:tcPr>
            <w:tcW w:w="11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for</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ordinary share</w:t>
            </w:r>
          </w:p>
        </w:tc>
        <w:tc>
          <w:tcPr>
            <w:tcW w:w="2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60,724,296</w:t>
            </w:r>
          </w:p>
        </w:tc>
        <w:tc>
          <w:tcPr>
            <w:tcW w:w="1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59,978,509</w:t>
            </w:r>
          </w:p>
        </w:tc>
        <w:tc>
          <w:tcPr>
            <w:tcW w:w="13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60,555,945</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60,032,306</w:t>
            </w:r>
          </w:p>
        </w:tc>
        <w:tc>
          <w:tcPr>
            <w:tcW w:w="0" w:type="dxa"/>
            <w:vAlign w:val="bottom"/>
          </w:tcPr>
          <w:p>
            <w:pPr>
              <w:spacing w:after="0"/>
              <w:rPr>
                <w:sz w:val="1"/>
                <w:szCs w:val="1"/>
                <w:color w:val="auto"/>
              </w:rPr>
            </w:pPr>
          </w:p>
        </w:tc>
      </w:tr>
      <w:tr>
        <w:trPr>
          <w:trHeight w:val="439"/>
        </w:trPr>
        <w:tc>
          <w:tcPr>
            <w:tcW w:w="5000" w:type="dxa"/>
            <w:vAlign w:val="bottom"/>
            <w:gridSpan w:val="2"/>
          </w:tcPr>
          <w:p>
            <w:pPr>
              <w:spacing w:after="0"/>
              <w:rPr>
                <w:sz w:val="20"/>
                <w:szCs w:val="20"/>
                <w:color w:val="auto"/>
              </w:rPr>
            </w:pPr>
            <w:r>
              <w:rPr>
                <w:rFonts w:ascii="Arial" w:cs="Arial" w:eastAsia="Arial" w:hAnsi="Arial"/>
                <w:sz w:val="18"/>
                <w:szCs w:val="18"/>
                <w:color w:val="auto"/>
              </w:rPr>
              <w:t>Effect of dilutive share options outstanding</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1,174,607</w:t>
            </w:r>
          </w:p>
        </w:tc>
        <w:tc>
          <w:tcPr>
            <w:tcW w:w="1640" w:type="dxa"/>
            <w:vAlign w:val="bottom"/>
            <w:gridSpan w:val="5"/>
          </w:tcPr>
          <w:p>
            <w:pPr>
              <w:jc w:val="right"/>
              <w:ind w:right="260"/>
              <w:spacing w:after="0"/>
              <w:rPr>
                <w:sz w:val="20"/>
                <w:szCs w:val="20"/>
                <w:color w:val="auto"/>
              </w:rPr>
            </w:pPr>
            <w:r>
              <w:rPr>
                <w:rFonts w:ascii="Arial" w:cs="Arial" w:eastAsia="Arial" w:hAnsi="Arial"/>
                <w:sz w:val="18"/>
                <w:szCs w:val="18"/>
                <w:color w:val="auto"/>
              </w:rPr>
              <w:t>652,382</w:t>
            </w:r>
          </w:p>
        </w:tc>
        <w:tc>
          <w:tcPr>
            <w:tcW w:w="1360" w:type="dxa"/>
            <w:vAlign w:val="bottom"/>
            <w:gridSpan w:val="5"/>
          </w:tcPr>
          <w:p>
            <w:pPr>
              <w:jc w:val="right"/>
              <w:ind w:right="280"/>
              <w:spacing w:after="0"/>
              <w:rPr>
                <w:sz w:val="20"/>
                <w:szCs w:val="20"/>
                <w:color w:val="auto"/>
              </w:rPr>
            </w:pPr>
            <w:r>
              <w:rPr>
                <w:rFonts w:ascii="Arial" w:cs="Arial" w:eastAsia="Arial" w:hAnsi="Arial"/>
                <w:sz w:val="18"/>
                <w:szCs w:val="18"/>
                <w:color w:val="auto"/>
              </w:rPr>
              <w:t>1,051,812</w:t>
            </w:r>
          </w:p>
        </w:tc>
        <w:tc>
          <w:tcPr>
            <w:tcW w:w="1180" w:type="dxa"/>
            <w:vAlign w:val="bottom"/>
            <w:gridSpan w:val="5"/>
          </w:tcPr>
          <w:p>
            <w:pPr>
              <w:jc w:val="right"/>
              <w:ind w:right="100"/>
              <w:spacing w:after="0"/>
              <w:rPr>
                <w:sz w:val="20"/>
                <w:szCs w:val="20"/>
                <w:color w:val="auto"/>
              </w:rPr>
            </w:pPr>
            <w:r>
              <w:rPr>
                <w:rFonts w:ascii="Arial" w:cs="Arial" w:eastAsia="Arial" w:hAnsi="Arial"/>
                <w:sz w:val="18"/>
                <w:szCs w:val="18"/>
                <w:color w:val="auto"/>
              </w:rPr>
              <w:t>575,329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for diluted net</w:t>
            </w: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per ordinary share</w:t>
            </w:r>
          </w:p>
        </w:tc>
        <w:tc>
          <w:tcPr>
            <w:tcW w:w="2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61,898,903</w:t>
            </w:r>
          </w:p>
        </w:tc>
        <w:tc>
          <w:tcPr>
            <w:tcW w:w="164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60,630,891</w:t>
            </w:r>
          </w:p>
        </w:tc>
        <w:tc>
          <w:tcPr>
            <w:tcW w:w="136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61,607,757</w:t>
            </w: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60,607,635</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2013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44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44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44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4,350,631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9.17</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253,650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12.05</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2640" w:type="dxa"/>
            <w:vAlign w:val="bottom"/>
          </w:tcPr>
          <w:p>
            <w:pPr>
              <w:jc w:val="right"/>
              <w:spacing w:after="0"/>
              <w:rPr>
                <w:sz w:val="20"/>
                <w:szCs w:val="20"/>
                <w:color w:val="auto"/>
              </w:rPr>
            </w:pPr>
            <w:r>
              <w:rPr>
                <w:rFonts w:ascii="Arial" w:cs="Arial" w:eastAsia="Arial" w:hAnsi="Arial"/>
                <w:sz w:val="18"/>
                <w:szCs w:val="18"/>
                <w:color w:val="auto"/>
              </w:rPr>
              <w:t>(524,243)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20.11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8.17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(273,401)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10.04</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3,806,637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9.44</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June 30, 2013</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2,203,758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8.86</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40" w:type="dxa"/>
            <w:vAlign w:val="bottom"/>
          </w:tcPr>
          <w:p>
            <w:pPr>
              <w:jc w:val="right"/>
              <w:ind w:right="79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$8.81 per option. The Company issues ordinary shares for all options exercised. The total amount of fully vested share options which remained outstanding at June 30, 2013, was 2,203,758. Fully vested share options at June 30, 2013 have an average remaining contractual term of 3.32 years, an average exercise price of $24.40 and a total intrinsic value of $24.3 million. The total intrinsic value of options exercised during the six months ended June 30, 2013 was $7.8 million (June 30, 2012: $3.2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six months ended June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Average Exercise</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2012</w:t>
            </w:r>
          </w:p>
        </w:tc>
        <w:tc>
          <w:tcPr>
            <w:tcW w:w="3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2,094,533</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253,650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Vested</w:t>
            </w:r>
          </w:p>
        </w:tc>
        <w:tc>
          <w:tcPr>
            <w:tcW w:w="3020" w:type="dxa"/>
            <w:vAlign w:val="bottom"/>
          </w:tcPr>
          <w:p>
            <w:pPr>
              <w:jc w:val="right"/>
              <w:spacing w:after="0"/>
              <w:rPr>
                <w:sz w:val="20"/>
                <w:szCs w:val="20"/>
                <w:color w:val="auto"/>
              </w:rPr>
            </w:pPr>
            <w:r>
              <w:rPr>
                <w:rFonts w:ascii="Arial" w:cs="Arial" w:eastAsia="Arial" w:hAnsi="Arial"/>
                <w:sz w:val="18"/>
                <w:szCs w:val="18"/>
                <w:color w:val="auto"/>
              </w:rPr>
              <w:t>(578,193)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24.83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(167,111)</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2013</w:t>
            </w:r>
          </w:p>
        </w:tc>
        <w:tc>
          <w:tcPr>
            <w:tcW w:w="3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1,602,879</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periods ended June 30, 2013 and June 30, 2012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87"/>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385"/>
        </w:trPr>
        <w:tc>
          <w:tcPr>
            <w:tcW w:w="5380" w:type="dxa"/>
            <w:vAlign w:val="bottom"/>
            <w:gridSpan w:val="3"/>
          </w:tcPr>
          <w:p>
            <w:pPr>
              <w:spacing w:after="0"/>
              <w:rPr>
                <w:sz w:val="20"/>
                <w:szCs w:val="20"/>
                <w:color w:val="auto"/>
              </w:rPr>
            </w:pPr>
            <w:r>
              <w:rPr>
                <w:rFonts w:ascii="Arial" w:cs="Arial" w:eastAsia="Arial" w:hAnsi="Arial"/>
                <w:sz w:val="18"/>
                <w:szCs w:val="18"/>
                <w:color w:val="auto"/>
              </w:rPr>
              <w:t>Assumptions:</w:t>
            </w: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6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3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23, 2013 the Company adopted the 2013 Employees Restricted Share Unit and Performance Share Unit Plan (the “2013 RSU and PSU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and PSU Plan.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activity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jc w:val="right"/>
              <w:ind w:right="50"/>
              <w:spacing w:after="0"/>
              <w:rPr>
                <w:sz w:val="20"/>
                <w:szCs w:val="20"/>
                <w:color w:val="auto"/>
              </w:rPr>
            </w:pPr>
            <w:r>
              <w:rPr>
                <w:rFonts w:ascii="Arial" w:cs="Arial" w:eastAsia="Arial" w:hAnsi="Arial"/>
                <w:sz w:val="18"/>
                <w:szCs w:val="18"/>
                <w:b w:val="1"/>
                <w:bCs w:val="1"/>
                <w:color w:val="auto"/>
              </w:rPr>
              <w:t>RSU</w:t>
            </w:r>
          </w:p>
        </w:tc>
        <w:tc>
          <w:tcPr>
            <w:tcW w:w="4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RSU</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4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4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4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3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496,000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20.26</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406,688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34.42</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Shares vested</w:t>
            </w:r>
          </w:p>
        </w:tc>
        <w:tc>
          <w:tcPr>
            <w:tcW w:w="342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22.30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3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852,688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26.89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six months ended June 30, 2013 totaled $1.1 million (No RSU’s vested during 2012).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PSU’s vest based on service and specified EPS targets. The maximum number of PSU’s that could vest is 369,020 based on attaining cumulative EPS targets over the period 2013 –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2013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r>
      <w:tr>
        <w:trPr>
          <w:trHeight w:val="196"/>
        </w:trPr>
        <w:tc>
          <w:tcPr>
            <w:tcW w:w="17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0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20"/>
        </w:trPr>
        <w:tc>
          <w:tcPr>
            <w:tcW w:w="1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1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7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4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3,012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2,883</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1,379</w:t>
            </w:r>
          </w:p>
        </w:tc>
        <w:tc>
          <w:tcPr>
            <w:tcW w:w="70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1,258</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2,454</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2,350</w:t>
            </w:r>
          </w:p>
        </w:tc>
      </w:tr>
      <w:tr>
        <w:trPr>
          <w:trHeight w:val="257"/>
        </w:trPr>
        <w:tc>
          <w:tcPr>
            <w:tcW w:w="1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Restructuring and other</w:t>
            </w:r>
          </w:p>
        </w:tc>
        <w:tc>
          <w:tcPr>
            <w:tcW w:w="4580" w:type="dxa"/>
            <w:vAlign w:val="bottom"/>
            <w:tcBorders>
              <w:bottom w:val="single" w:sz="8" w:color="auto"/>
            </w:tcBorders>
            <w:shd w:val="clear" w:color="auto" w:fill="CCEEFF"/>
          </w:tcPr>
          <w:p>
            <w:pPr>
              <w:jc w:val="right"/>
              <w:ind w:right="3450"/>
              <w:spacing w:after="0"/>
              <w:rPr>
                <w:sz w:val="20"/>
                <w:szCs w:val="20"/>
                <w:color w:val="auto"/>
              </w:rPr>
            </w:pPr>
            <w:r>
              <w:rPr>
                <w:rFonts w:ascii="Arial" w:cs="Arial" w:eastAsia="Arial" w:hAnsi="Arial"/>
                <w:sz w:val="18"/>
                <w:szCs w:val="18"/>
                <w:color w:val="auto"/>
                <w:w w:val="92"/>
              </w:rPr>
              <w:t>items (note 4)</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6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10"/>
        </w:trPr>
        <w:tc>
          <w:tcPr>
            <w:tcW w:w="1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760" w:type="dxa"/>
            <w:vAlign w:val="bottom"/>
            <w:tcBorders>
              <w:bottom w:val="single" w:sz="8" w:color="auto"/>
            </w:tcBorders>
            <w:shd w:val="clear" w:color="auto" w:fill="CCEEFF"/>
          </w:tcPr>
          <w:p>
            <w:pPr>
              <w:spacing w:after="0"/>
              <w:rPr>
                <w:sz w:val="22"/>
                <w:szCs w:val="22"/>
                <w:color w:val="auto"/>
              </w:rPr>
            </w:pPr>
          </w:p>
        </w:tc>
        <w:tc>
          <w:tcPr>
            <w:tcW w:w="4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5,466</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5,853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June 30, 2013 amounted to $43.0 million. The weighted average period over which this is expected to be recognized is 2.9 years. Total tax benefit recognized in additional paid in capital related to the non-cash compensation expense amounted to $0.2 million for the six months ended June 30, 2013 (June 30, 2012: $0.9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the Group organized, operated and assessed its business in two segments, the clinical research segment and the central laboratory segment. In 2013 the Group have consolidated and reclassified the results of the former central laboratory segment into the clinical research segment as the central laboratory segment does not reach the thresholds of net revenue, income from operations and total assets as a requirement for being reported as a separate segment. Management have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Belgium, Poland, Czech Republic, Lithuania, Latvia, Russia, Ukraine, Hungary, Israel, Romania,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as at June 30, 2013 and December 31, 2012 and for the three and six months ended June 30, 2013 and June 30, 2012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5"/>
              </w:rPr>
              <w:t>a) The distribution of net revenue by geographical area was as follows: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5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24"/>
                <w:szCs w:val="24"/>
                <w:color w:val="auto"/>
              </w:rPr>
            </w:pPr>
          </w:p>
        </w:tc>
      </w:tr>
      <w:tr>
        <w:trPr>
          <w:trHeight w:val="196"/>
        </w:trPr>
        <w:tc>
          <w:tcPr>
            <w:tcW w:w="5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20"/>
        </w:trPr>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69,337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40,767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130,331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69,762</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Rest of Europe</w:t>
            </w:r>
          </w:p>
        </w:tc>
        <w:tc>
          <w:tcPr>
            <w:tcW w:w="96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18"/>
                <w:szCs w:val="18"/>
                <w:color w:val="auto"/>
              </w:rPr>
              <w:t>84,822</w:t>
            </w: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87,230</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169,858</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173,274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139,458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114,237</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274,933</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221,984</w:t>
            </w:r>
          </w:p>
        </w:tc>
      </w:t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40,602</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34,773</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75,886</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64,320</w:t>
            </w:r>
          </w:p>
        </w:tc>
      </w:tr>
      <w:tr>
        <w:trPr>
          <w:trHeight w:val="473"/>
        </w:trPr>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334,219</w:t>
            </w: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277,007</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651,008</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529,340</w:t>
            </w:r>
          </w:p>
        </w:tc>
      </w:tr>
      <w:tr>
        <w:trPr>
          <w:trHeight w:val="224"/>
        </w:trPr>
        <w:tc>
          <w:tcPr>
            <w:tcW w:w="5380" w:type="dxa"/>
            <w:vAlign w:val="bottom"/>
          </w:tcPr>
          <w:p>
            <w:pPr>
              <w:ind w:left="660"/>
              <w:spacing w:after="0"/>
              <w:rPr>
                <w:sz w:val="20"/>
                <w:szCs w:val="20"/>
                <w:color w:val="auto"/>
              </w:rPr>
            </w:pPr>
            <w:r>
              <w:rPr>
                <w:rFonts w:ascii="Arial" w:cs="Arial" w:eastAsia="Arial" w:hAnsi="Arial"/>
                <w:sz w:val="18"/>
                <w:szCs w:val="18"/>
                <w:color w:val="auto"/>
              </w:rPr>
              <w:t>* All sales shown for Ireland are export sales.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93"/>
        </w:trPr>
        <w:tc>
          <w:tcPr>
            <w:tcW w:w="538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 The distribution of income from operations, including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June 30,</w:t>
            </w:r>
          </w:p>
        </w:tc>
        <w:tc>
          <w:tcPr>
            <w:tcW w:w="58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00" w:type="dxa"/>
            <w:vAlign w:val="bottom"/>
          </w:tcPr>
          <w:p>
            <w:pPr>
              <w:spacing w:after="0"/>
              <w:rPr>
                <w:sz w:val="17"/>
                <w:szCs w:val="17"/>
                <w:color w:val="auto"/>
              </w:rPr>
            </w:pPr>
          </w:p>
        </w:tc>
        <w:tc>
          <w:tcPr>
            <w:tcW w:w="8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r>
      <w:tr>
        <w:trPr>
          <w:trHeight w:val="20"/>
        </w:trPr>
        <w:tc>
          <w:tcPr>
            <w:tcW w:w="3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7"/>
                <w:szCs w:val="17"/>
                <w:color w:val="auto"/>
              </w:rPr>
            </w:pPr>
          </w:p>
        </w:tc>
        <w:tc>
          <w:tcPr>
            <w:tcW w:w="8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3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gridSpan w:val="5"/>
          </w:tcPr>
          <w:p>
            <w:pPr>
              <w:ind w:left="40"/>
              <w:spacing w:after="0"/>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24,843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(6,601)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7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5"/>
          </w:tcPr>
          <w:p>
            <w:pPr>
              <w:jc w:val="right"/>
              <w:ind w:right="120"/>
              <w:spacing w:after="0"/>
              <w:rPr>
                <w:sz w:val="20"/>
                <w:szCs w:val="20"/>
                <w:color w:val="auto"/>
              </w:rPr>
            </w:pPr>
            <w:r>
              <w:rPr>
                <w:rFonts w:ascii="Arial" w:cs="Arial" w:eastAsia="Arial" w:hAnsi="Arial"/>
                <w:sz w:val="18"/>
                <w:szCs w:val="18"/>
                <w:color w:val="auto"/>
              </w:rPr>
              <w:t>6,701</w:t>
            </w:r>
          </w:p>
        </w:tc>
        <w:tc>
          <w:tcPr>
            <w:tcW w:w="58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7,317</w:t>
            </w:r>
          </w:p>
        </w:tc>
        <w:tc>
          <w:tcPr>
            <w:tcW w:w="50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16,422</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1,712</w:t>
            </w:r>
          </w:p>
        </w:tc>
        <w:tc>
          <w:tcPr>
            <w:tcW w:w="5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13,277</w:t>
            </w:r>
          </w:p>
        </w:tc>
        <w:tc>
          <w:tcPr>
            <w:tcW w:w="5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8,269</w:t>
            </w: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2,896</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3,858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4,646</w:t>
            </w:r>
          </w:p>
        </w:tc>
      </w:tr>
      <w:tr>
        <w:trPr>
          <w:trHeight w:val="47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26,299</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11,004</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49,295</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22,736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r>
      <w:tr>
        <w:trPr>
          <w:trHeight w:val="20"/>
        </w:trPr>
        <w:tc>
          <w:tcPr>
            <w:tcW w:w="3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3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13,556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25,897</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(4,526)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7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7,247</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10,755</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16,968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4,362</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17,369</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3,261</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4,307</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5,011</w:t>
            </w:r>
          </w:p>
        </w:tc>
      </w:tr>
      <w:tr>
        <w:trPr>
          <w:trHeight w:val="47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30,920</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16,640</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58,328</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28,372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196"/>
        </w:trPr>
        <w:tc>
          <w:tcPr>
            <w:tcW w:w="3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3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104,645</w:t>
            </w:r>
          </w:p>
        </w:tc>
        <w:tc>
          <w:tcPr>
            <w:tcW w:w="1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110,369</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15,032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16,115</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34,441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32,400</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9,489</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162,280</w:t>
            </w:r>
          </w:p>
        </w:tc>
        <w:tc>
          <w:tcPr>
            <w:tcW w:w="100" w:type="dxa"/>
            <w:vAlign w:val="bottom"/>
            <w:tcBorders>
              <w:left w:val="single" w:sz="8" w:color="CCEEFF"/>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168,373</w:t>
            </w:r>
          </w:p>
        </w:tc>
      </w:tr>
      <w:tr>
        <w:trPr>
          <w:trHeight w:val="453"/>
        </w:trPr>
        <w:tc>
          <w:tcPr>
            <w:tcW w:w="6480" w:type="dxa"/>
            <w:vAlign w:val="bottom"/>
            <w:gridSpan w:val="2"/>
          </w:tcPr>
          <w:p>
            <w:pPr>
              <w:spacing w:after="0"/>
              <w:rPr>
                <w:sz w:val="20"/>
                <w:szCs w:val="20"/>
                <w:color w:val="auto"/>
              </w:rPr>
            </w:pPr>
            <w:r>
              <w:rPr>
                <w:rFonts w:ascii="Arial" w:cs="Arial" w:eastAsia="Arial" w:hAnsi="Arial"/>
                <w:sz w:val="18"/>
                <w:szCs w:val="18"/>
                <w:color w:val="auto"/>
                <w:w w:val="91"/>
              </w:rPr>
              <w:t>e) The distribution of depreciation and amortization by geographical area was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gridSpan w:val="3"/>
          </w:tcPr>
          <w:p>
            <w:pPr>
              <w:spacing w:after="0"/>
              <w:rPr>
                <w:sz w:val="24"/>
                <w:szCs w:val="24"/>
                <w:color w:val="auto"/>
              </w:rPr>
            </w:pPr>
          </w:p>
        </w:tc>
      </w:tr>
      <w:tr>
        <w:trPr>
          <w:trHeight w:val="196"/>
        </w:trPr>
        <w:tc>
          <w:tcPr>
            <w:tcW w:w="3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68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r>
      <w:tr>
        <w:trPr>
          <w:trHeight w:val="196"/>
        </w:trPr>
        <w:tc>
          <w:tcPr>
            <w:tcW w:w="3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1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1,688</w:t>
            </w:r>
          </w:p>
        </w:tc>
        <w:tc>
          <w:tcPr>
            <w:tcW w:w="68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1,759</w:t>
            </w:r>
          </w:p>
        </w:tc>
        <w:tc>
          <w:tcPr>
            <w:tcW w:w="6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3,739</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6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6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6,937</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1,009</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1,030</w:t>
            </w: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1,955</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10,830</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22,976</w:t>
            </w:r>
          </w:p>
        </w:tc>
        <w:tc>
          <w:tcPr>
            <w:tcW w:w="5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21,632</w:t>
            </w:r>
          </w:p>
        </w:tc>
      </w:tr>
      <w:tr>
        <w:trPr>
          <w:trHeight w:val="601"/>
        </w:trPr>
        <w:tc>
          <w:tcPr>
            <w:tcW w:w="3360" w:type="dxa"/>
            <w:vAlign w:val="bottom"/>
          </w:tcPr>
          <w:p>
            <w:pPr>
              <w:spacing w:after="0"/>
              <w:rPr>
                <w:sz w:val="24"/>
                <w:szCs w:val="24"/>
                <w:color w:val="auto"/>
              </w:rPr>
            </w:pPr>
          </w:p>
        </w:tc>
        <w:tc>
          <w:tcPr>
            <w:tcW w:w="3120" w:type="dxa"/>
            <w:vAlign w:val="bottom"/>
          </w:tcPr>
          <w:p>
            <w:pPr>
              <w:jc w:val="right"/>
              <w:ind w:right="59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w w:val="95"/>
              </w:rPr>
              <w:t>f) The distribution of total assets by geographical area was as follows:</w:t>
            </w:r>
          </w:p>
        </w:tc>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5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196"/>
        </w:trPr>
        <w:tc>
          <w:tcPr>
            <w:tcW w:w="53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8"/>
          </w:tcPr>
          <w:p>
            <w:pPr>
              <w:ind w:left="2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508,504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476,159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37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237,348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236,305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7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437,756</w:t>
            </w: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50,348</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51,888</w:t>
            </w:r>
          </w:p>
        </w:tc>
      </w:tr>
      <w:tr>
        <w:trPr>
          <w:trHeight w:val="473"/>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1,293,122</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1,202,108</w:t>
            </w:r>
          </w:p>
        </w:tc>
      </w:tr>
      <w:tr>
        <w:trPr>
          <w:trHeight w:val="601"/>
        </w:trPr>
        <w:tc>
          <w:tcPr>
            <w:tcW w:w="5340" w:type="dxa"/>
            <w:vAlign w:val="bottom"/>
          </w:tcPr>
          <w:p>
            <w:pPr>
              <w:spacing w:after="0"/>
              <w:rPr>
                <w:sz w:val="24"/>
                <w:szCs w:val="24"/>
                <w:color w:val="auto"/>
              </w:rPr>
            </w:pPr>
          </w:p>
        </w:tc>
        <w:tc>
          <w:tcPr>
            <w:tcW w:w="3740" w:type="dxa"/>
            <w:vAlign w:val="bottom"/>
          </w:tcPr>
          <w:p>
            <w:pPr>
              <w:jc w:val="right"/>
              <w:ind w:right="319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34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2012.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2013, we had approximately 10,170 employees, in 78 locations in 37 countries. During the six months ended June 30, 2013 we derived approximately 42.2%, 46.1% and 11.7%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 The Company’s results of operations and cash flows are therefore not materially impacted by project cancellations or delays.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2013 we had a backlog of approximately $2.7 billion, compared with approximately $2.8 billion at December 31, 2012.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compared with Three Months Ended June 30, 2012</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w w:val="85"/>
              </w:rPr>
              <w:t>June 30,</w:t>
            </w:r>
          </w:p>
        </w:tc>
        <w:tc>
          <w:tcPr>
            <w:tcW w:w="1740" w:type="dxa"/>
            <w:vAlign w:val="bottom"/>
            <w:gridSpan w:val="6"/>
          </w:tcPr>
          <w:p>
            <w:pPr>
              <w:jc w:val="right"/>
              <w:ind w:right="800"/>
              <w:spacing w:after="0" w:line="196" w:lineRule="exact"/>
              <w:rPr>
                <w:sz w:val="20"/>
                <w:szCs w:val="20"/>
                <w:color w:val="auto"/>
              </w:rPr>
            </w:pPr>
            <w:r>
              <w:rPr>
                <w:rFonts w:ascii="Arial" w:cs="Arial" w:eastAsia="Arial" w:hAnsi="Arial"/>
                <w:sz w:val="18"/>
                <w:szCs w:val="18"/>
                <w:b w:val="1"/>
                <w:bCs w:val="1"/>
                <w:color w:val="auto"/>
              </w:rPr>
              <w:t>June 30,</w:t>
            </w:r>
          </w:p>
        </w:tc>
        <w:tc>
          <w:tcPr>
            <w:tcW w:w="150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300" w:type="dxa"/>
            <w:vAlign w:val="bottom"/>
            <w:gridSpan w:val="12"/>
          </w:tcPr>
          <w:p>
            <w:pPr>
              <w:jc w:val="center"/>
              <w:ind w:left="7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660" w:type="dxa"/>
            <w:vAlign w:val="bottom"/>
          </w:tcPr>
          <w:p>
            <w:pPr>
              <w:spacing w:after="0"/>
              <w:rPr>
                <w:sz w:val="17"/>
                <w:szCs w:val="17"/>
                <w:color w:val="auto"/>
              </w:rPr>
            </w:pPr>
          </w:p>
        </w:tc>
        <w:tc>
          <w:tcPr>
            <w:tcW w:w="106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56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740" w:type="dxa"/>
            <w:vAlign w:val="bottom"/>
            <w:tcBorders>
              <w:bottom w:val="single" w:sz="8" w:color="auto"/>
            </w:tcBorders>
            <w:gridSpan w:val="6"/>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72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392"/>
        </w:trPr>
        <w:tc>
          <w:tcPr>
            <w:tcW w:w="54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25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64.1%</w:t>
            </w:r>
          </w:p>
        </w:tc>
        <w:tc>
          <w:tcPr>
            <w:tcW w:w="1740" w:type="dxa"/>
            <w:vAlign w:val="bottom"/>
            <w:gridSpan w:val="6"/>
            <w:shd w:val="clear" w:color="auto" w:fill="CCEEFF"/>
          </w:tcPr>
          <w:p>
            <w:pPr>
              <w:jc w:val="right"/>
              <w:ind w:right="660"/>
              <w:spacing w:after="0"/>
              <w:rPr>
                <w:sz w:val="20"/>
                <w:szCs w:val="20"/>
                <w:color w:val="auto"/>
              </w:rPr>
            </w:pPr>
            <w:r>
              <w:rPr>
                <w:rFonts w:ascii="Arial" w:cs="Arial" w:eastAsia="Arial" w:hAnsi="Arial"/>
                <w:sz w:val="18"/>
                <w:szCs w:val="18"/>
                <w:color w:val="auto"/>
              </w:rPr>
              <w:t>65.0%</w:t>
            </w:r>
          </w:p>
        </w:tc>
        <w:tc>
          <w:tcPr>
            <w:tcW w:w="17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gridSpan w:val="6"/>
          </w:tcPr>
          <w:p>
            <w:pPr>
              <w:jc w:val="right"/>
              <w:ind w:right="300"/>
              <w:spacing w:after="0"/>
              <w:rPr>
                <w:sz w:val="20"/>
                <w:szCs w:val="20"/>
                <w:color w:val="auto"/>
              </w:rPr>
            </w:pPr>
            <w:r>
              <w:rPr>
                <w:rFonts w:ascii="Arial" w:cs="Arial" w:eastAsia="Arial" w:hAnsi="Arial"/>
                <w:sz w:val="18"/>
                <w:szCs w:val="18"/>
                <w:color w:val="auto"/>
              </w:rPr>
              <w:t>23.2%</w:t>
            </w:r>
          </w:p>
        </w:tc>
        <w:tc>
          <w:tcPr>
            <w:tcW w:w="1740" w:type="dxa"/>
            <w:vAlign w:val="bottom"/>
            <w:gridSpan w:val="6"/>
          </w:tcPr>
          <w:p>
            <w:pPr>
              <w:jc w:val="right"/>
              <w:ind w:right="660"/>
              <w:spacing w:after="0"/>
              <w:rPr>
                <w:sz w:val="20"/>
                <w:szCs w:val="20"/>
                <w:color w:val="auto"/>
              </w:rPr>
            </w:pPr>
            <w:r>
              <w:rPr>
                <w:rFonts w:ascii="Arial" w:cs="Arial" w:eastAsia="Arial" w:hAnsi="Arial"/>
                <w:sz w:val="18"/>
                <w:szCs w:val="18"/>
                <w:color w:val="auto"/>
              </w:rPr>
              <w:t>25.1%</w:t>
            </w:r>
          </w:p>
        </w:tc>
        <w:tc>
          <w:tcPr>
            <w:tcW w:w="1720" w:type="dxa"/>
            <w:vAlign w:val="bottom"/>
            <w:gridSpan w:val="6"/>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6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740" w:type="dxa"/>
            <w:vAlign w:val="bottom"/>
            <w:tcBorders>
              <w:bottom w:val="single" w:sz="8" w:color="auto"/>
            </w:tcBorders>
            <w:gridSpan w:val="6"/>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72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8"/>
        </w:trPr>
        <w:tc>
          <w:tcPr>
            <w:tcW w:w="540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other items)</w:t>
            </w:r>
          </w:p>
        </w:tc>
        <w:tc>
          <w:tcPr>
            <w:tcW w:w="2560" w:type="dxa"/>
            <w:vAlign w:val="bottom"/>
            <w:gridSpan w:val="6"/>
          </w:tcPr>
          <w:p>
            <w:pPr>
              <w:jc w:val="right"/>
              <w:ind w:right="300"/>
              <w:spacing w:after="0"/>
              <w:rPr>
                <w:sz w:val="20"/>
                <w:szCs w:val="20"/>
                <w:color w:val="auto"/>
              </w:rPr>
            </w:pPr>
            <w:r>
              <w:rPr>
                <w:rFonts w:ascii="Arial" w:cs="Arial" w:eastAsia="Arial" w:hAnsi="Arial"/>
                <w:sz w:val="18"/>
                <w:szCs w:val="18"/>
                <w:color w:val="auto"/>
              </w:rPr>
              <w:t>9.3%</w:t>
            </w:r>
          </w:p>
        </w:tc>
        <w:tc>
          <w:tcPr>
            <w:tcW w:w="1740" w:type="dxa"/>
            <w:vAlign w:val="bottom"/>
            <w:gridSpan w:val="6"/>
          </w:tcPr>
          <w:p>
            <w:pPr>
              <w:jc w:val="right"/>
              <w:ind w:right="660"/>
              <w:spacing w:after="0"/>
              <w:rPr>
                <w:sz w:val="20"/>
                <w:szCs w:val="20"/>
                <w:color w:val="auto"/>
              </w:rPr>
            </w:pPr>
            <w:r>
              <w:rPr>
                <w:rFonts w:ascii="Arial" w:cs="Arial" w:eastAsia="Arial" w:hAnsi="Arial"/>
                <w:sz w:val="18"/>
                <w:szCs w:val="18"/>
                <w:color w:val="auto"/>
              </w:rPr>
              <w:t>6.0%</w:t>
            </w:r>
          </w:p>
        </w:tc>
        <w:tc>
          <w:tcPr>
            <w:tcW w:w="1720" w:type="dxa"/>
            <w:vAlign w:val="bottom"/>
            <w:gridSpan w:val="6"/>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256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740" w:type="dxa"/>
            <w:vAlign w:val="bottom"/>
            <w:tcBorders>
              <w:bottom w:val="single" w:sz="8" w:color="auto"/>
            </w:tcBorders>
            <w:gridSpan w:val="6"/>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418"/>
        </w:trPr>
        <w:tc>
          <w:tcPr>
            <w:tcW w:w="5400" w:type="dxa"/>
            <w:vAlign w:val="bottom"/>
            <w:gridSpan w:val="3"/>
          </w:tcPr>
          <w:p>
            <w:pPr>
              <w:spacing w:after="0"/>
              <w:rPr>
                <w:sz w:val="20"/>
                <w:szCs w:val="20"/>
                <w:color w:val="auto"/>
              </w:rPr>
            </w:pPr>
            <w:r>
              <w:rPr>
                <w:rFonts w:ascii="Arial" w:cs="Arial" w:eastAsia="Arial" w:hAnsi="Arial"/>
                <w:sz w:val="18"/>
                <w:szCs w:val="18"/>
                <w:color w:val="auto"/>
              </w:rPr>
              <w:t>Income from operations (including restructuring and other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items)</w:t>
            </w:r>
          </w:p>
        </w:tc>
        <w:tc>
          <w:tcPr>
            <w:tcW w:w="25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color w:val="auto"/>
              </w:rPr>
              <w:t>7.9%</w:t>
            </w:r>
          </w:p>
        </w:tc>
        <w:tc>
          <w:tcPr>
            <w:tcW w:w="17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color w:val="auto"/>
              </w:rPr>
              <w:t>4.0%</w:t>
            </w:r>
          </w:p>
        </w:tc>
        <w:tc>
          <w:tcPr>
            <w:tcW w:w="17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for the period increased by $57.2 million, or 20.7%, from $277.0 million for the three months ended June 30, 2012 to $334.2 million for the three months ended June 30, 2013. Net revenue derived from the acquisitions of Cross Country Healthcare Inc. amounted to $13.1 million for the three months ended June 30, 2013. For the three months ended June 30, 2013 we derived approximately 41.7%, 46.1% and 12.2% of our net revenue in the United States, Europe and Rest of World,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t>Net revenue in Ireland increased from $40.8 million for the three months ended June 30, 2012 to $69.3 million for the three months ended June 30, 2013.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 Increased revenue flows in the current period, driven by this upfront investment, has led to an increase in net revenue in Ireland in the current period.</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Direct costs for the period increased by $34.1 million, or 18.9%, from $180.1 million for the three months ended June 30, 2012 to $214.2 million for the three months ended June 30, 2013. Direct costs consist primarily of compensation, associated fringe benefits and share based compensation expense for project-related employees and other direct project driven costs. The increase in direct costs during the period arose from an increase in personnel related expenditure of $32.6 million and an increase in other direct project related costs of $1.5 million. As a percentage of net revenue, direct costs have decreased from 65.0% for the three months ended June 30, 2012 to 64.1% for the three months ended June 30, 2013.</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$8.1 million, or 11.7%, from $69.4 million for the three months ended June 30, 2012 to $77.5 million for the three months ended June 30,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$4.8 million, an increase in facilities and related costs expenditure of $1.3 million and an increase in general and administrative expenses of $2.0 million. As a percentage of net revenue, selling, general and administrative expenses, decreased from 25.1% for the three months ended June 30, 2012 to 23.2% for the three months ended June 30, 2013.</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increased by $0.9 million, or 10.2%, from $8.8 million for the three months ended June 30, 2012 to $9.7 million for the three months ended June 30, 2013 and principally arises from an investment in facilities, information systems and equipment to support the Company’s growth. As a percentage of net revenue, depreciation expense decreased from 3.2% of net revenues for the three months ended June 30, 2012 to 2.9% for the three months ended June 30, 2013. Amortization expense for the period decreased by $0.2 million, or 10.0%, from $2.0 million for the three months ended June 30, 2012 to $1.8 million for the three months ended June 30, 2013. Amortization expense represents the amortization of intangible assets acquired on business combinations. The decrease in the amortization expense in the current period is primarily a result of certain intangible assets acquired from the acquisitions of Firecrest and Oxford Outcomes being fully amortized during the year ended 31 December 2012. This was offset by the intangible assets acquired from the acquisition of the clinical trial services division of Cross Country Healthcare Inc. during the three months ended March 31, 2013. As a percentage of net revenue, amortization expense decreased from 0.7% of net revenues for the three months ended June 30, 2012 to 0.6% of net revenues for the three months ended June 30, 2013.</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2013 the Company implemented a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(s</w:t>
      </w:r>
      <w:r>
        <w:rPr>
          <w:rFonts w:ascii="Arial" w:cs="Arial" w:eastAsia="Arial" w:hAnsi="Arial"/>
          <w:sz w:val="18"/>
          <w:szCs w:val="18"/>
          <w:i w:val="1"/>
          <w:iCs w:val="1"/>
          <w:color w:val="auto"/>
        </w:rPr>
        <w:t>ee note 4 Restructuring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items for further information).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and other non-recurring items of $5.6 million were recorded during the three months ended June 30, 2012 (inclusive of the release of $0.1 million relating to the 2011 Restructuring Plans). During the three months ended June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three months ended June 30, 2012; $3.4 million in respect of resource rationalizations and $1.2 million in respect of lease termination and exit costs. The Company also incurred certain other charges in relation to the retirement of Mr. Peter Gray, Vice Chairman of the Board and former CEO. A charge of $1.1 million was recognized in respect of this during the three months ended June 30, 2012 (s</w:t>
      </w:r>
      <w:r>
        <w:rPr>
          <w:rFonts w:ascii="Arial" w:cs="Arial" w:eastAsia="Arial" w:hAnsi="Arial"/>
          <w:sz w:val="18"/>
          <w:szCs w:val="18"/>
          <w:i w:val="1"/>
          <w:iCs w:val="1"/>
          <w:color w:val="auto"/>
        </w:rPr>
        <w:t>ee note 4 Restructuring and other items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p>
    <w:p>
      <w:pPr>
        <w:spacing w:after="0" w:line="2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above, income from operations increased by $15.3 million, or 139%, from $11.0 million ($16.6 million excluding restructuring charges) for the three months ended June 30, 2012 to $26.3 million for the three months ended June 30, 2013 ($30.9 million, or 85.8% excluding restructuring charges). As a percentage of net revenue, income from operations increased from 4.0% of net revenues for the three months ended June 30, 2012 (6.0% excluding restructuring charges) to 7.9% of net revenues for the three months ended June 30, 2013 (9.3% excluding restructuring charges).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Income from operations in Ireland increased from a loss of $0.3 million for the three months ended June 30, 2012 (profit of $1.8 million excluding restructuring charges), to a profit of $12.8 million ($13.6 million excluding restructuring charges) for the three months ended June 30, 2013.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resulted in increased profits from operations in the current quarter.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decreased from $0.6 million for the three months ended June 30, 2012 to $0.4 million for the three months ended June 30, 2013. Interest expense for the three months ended June 30, 2013 includes $0.1 million in respect of non-cash finance charges relating to acquisition contingent consideration. Interest income for the three months ended June 30, 2013 was $0.3 million for the three months ended June 30, 2012 and the three months ended June 30, 2013.</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for the period decreased from $2.8 million for the three months ended June 30, 2012 ($3.5 million excluding the impact of restructuring charges) to $3.7 million ($4.3 million excluding the impact of restructuring charges) for the three months ended June 30, 2013. The Company’s effective tax rate for the three months ended June 30, 2013 was 14.2% (14.0% excluding the impact of restructuring charges) compared with 26.1% (21.4% excluding the impact of restructuring charges) for the three months ended June 30, 2012. The Company’s effective tax rate is principally a function of the distribution of pre-tax profits amongst the territories in which it operates.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9"/>
          </w:tcPr>
          <w:p>
            <w:pPr>
              <w:jc w:val="right"/>
              <w:ind w:right="2040"/>
              <w:spacing w:after="0"/>
              <w:rPr>
                <w:sz w:val="20"/>
                <w:szCs w:val="20"/>
                <w:color w:val="auto"/>
              </w:rPr>
            </w:pPr>
            <w:r>
              <w:rPr>
                <w:rFonts w:ascii="Arial" w:cs="Arial" w:eastAsia="Arial" w:hAnsi="Arial"/>
                <w:sz w:val="18"/>
                <w:szCs w:val="18"/>
                <w:b w:val="1"/>
                <w:bCs w:val="1"/>
                <w:color w:val="auto"/>
                <w:w w:val="89"/>
              </w:rPr>
              <w:t>Six Months Ended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4"/>
          </w:tcPr>
          <w:p>
            <w:pPr>
              <w:jc w:val="right"/>
              <w:ind w:right="460"/>
              <w:spacing w:after="0" w:line="196" w:lineRule="exact"/>
              <w:rPr>
                <w:sz w:val="20"/>
                <w:szCs w:val="20"/>
                <w:color w:val="auto"/>
              </w:rPr>
            </w:pPr>
            <w:r>
              <w:rPr>
                <w:rFonts w:ascii="Arial" w:cs="Arial" w:eastAsia="Arial" w:hAnsi="Arial"/>
                <w:sz w:val="18"/>
                <w:szCs w:val="18"/>
                <w:b w:val="1"/>
                <w:bCs w:val="1"/>
                <w:color w:val="auto"/>
                <w:w w:val="85"/>
              </w:rPr>
              <w:t>June 30,</w:t>
            </w:r>
          </w:p>
        </w:tc>
        <w:tc>
          <w:tcPr>
            <w:tcW w:w="2420" w:type="dxa"/>
            <w:vAlign w:val="bottom"/>
            <w:gridSpan w:val="6"/>
          </w:tcPr>
          <w:p>
            <w:pPr>
              <w:jc w:val="right"/>
              <w:ind w:right="1480"/>
              <w:spacing w:after="0" w:line="196" w:lineRule="exact"/>
              <w:rPr>
                <w:sz w:val="20"/>
                <w:szCs w:val="20"/>
                <w:color w:val="auto"/>
              </w:rPr>
            </w:pPr>
            <w:r>
              <w:rPr>
                <w:rFonts w:ascii="Arial" w:cs="Arial" w:eastAsia="Arial" w:hAnsi="Arial"/>
                <w:sz w:val="18"/>
                <w:szCs w:val="18"/>
                <w:b w:val="1"/>
                <w:bCs w:val="1"/>
                <w:color w:val="auto"/>
              </w:rPr>
              <w:t>June 30,</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840" w:type="dxa"/>
            <w:vAlign w:val="bottom"/>
            <w:gridSpan w:val="3"/>
          </w:tcPr>
          <w:p>
            <w:pPr>
              <w:jc w:val="right"/>
              <w:ind w:right="1480"/>
              <w:spacing w:after="0" w:line="196" w:lineRule="exact"/>
              <w:rPr>
                <w:sz w:val="20"/>
                <w:szCs w:val="20"/>
                <w:color w:val="auto"/>
              </w:rPr>
            </w:pPr>
            <w:r>
              <w:rPr>
                <w:rFonts w:ascii="Arial" w:cs="Arial" w:eastAsia="Arial" w:hAnsi="Arial"/>
                <w:sz w:val="18"/>
                <w:szCs w:val="18"/>
                <w:b w:val="1"/>
                <w:bCs w:val="1"/>
                <w:color w:val="auto"/>
                <w:w w:val="84"/>
              </w:rPr>
              <w:t>2012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6"/>
              </w:rPr>
              <w:t>to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980" w:type="dxa"/>
            <w:vAlign w:val="bottom"/>
            <w:gridSpan w:val="12"/>
          </w:tcPr>
          <w:p>
            <w:pPr>
              <w:jc w:val="right"/>
              <w:ind w:right="172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200" w:type="dxa"/>
            <w:vAlign w:val="bottom"/>
          </w:tcPr>
          <w:p>
            <w:pPr>
              <w:spacing w:after="0"/>
              <w:rPr>
                <w:sz w:val="17"/>
                <w:szCs w:val="17"/>
                <w:color w:val="auto"/>
              </w:rPr>
            </w:pPr>
          </w:p>
        </w:tc>
        <w:tc>
          <w:tcPr>
            <w:tcW w:w="80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56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420" w:type="dxa"/>
            <w:vAlign w:val="bottom"/>
            <w:tcBorders>
              <w:bottom w:val="single" w:sz="8" w:color="auto"/>
            </w:tcBorders>
            <w:gridSpan w:val="6"/>
            <w:shd w:val="clear" w:color="auto" w:fill="CCEEFF"/>
          </w:tcPr>
          <w:p>
            <w:pPr>
              <w:jc w:val="right"/>
              <w:ind w:right="13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5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64.0%</w:t>
            </w:r>
          </w:p>
        </w:tc>
        <w:tc>
          <w:tcPr>
            <w:tcW w:w="2420" w:type="dxa"/>
            <w:vAlign w:val="bottom"/>
            <w:gridSpan w:val="6"/>
            <w:shd w:val="clear" w:color="auto" w:fill="CCEEFF"/>
          </w:tcPr>
          <w:p>
            <w:pPr>
              <w:jc w:val="right"/>
              <w:ind w:right="1320"/>
              <w:spacing w:after="0"/>
              <w:rPr>
                <w:sz w:val="20"/>
                <w:szCs w:val="20"/>
                <w:color w:val="auto"/>
              </w:rPr>
            </w:pPr>
            <w:r>
              <w:rPr>
                <w:rFonts w:ascii="Arial" w:cs="Arial" w:eastAsia="Arial" w:hAnsi="Arial"/>
                <w:sz w:val="18"/>
                <w:szCs w:val="18"/>
                <w:color w:val="auto"/>
              </w:rPr>
              <w:t>64.7%</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gridSpan w:val="6"/>
          </w:tcPr>
          <w:p>
            <w:pPr>
              <w:jc w:val="right"/>
              <w:ind w:right="300"/>
              <w:spacing w:after="0"/>
              <w:rPr>
                <w:sz w:val="20"/>
                <w:szCs w:val="20"/>
                <w:color w:val="auto"/>
              </w:rPr>
            </w:pPr>
            <w:r>
              <w:rPr>
                <w:rFonts w:ascii="Arial" w:cs="Arial" w:eastAsia="Arial" w:hAnsi="Arial"/>
                <w:sz w:val="18"/>
                <w:szCs w:val="18"/>
                <w:color w:val="auto"/>
              </w:rPr>
              <w:t>23.5%</w:t>
            </w:r>
          </w:p>
        </w:tc>
        <w:tc>
          <w:tcPr>
            <w:tcW w:w="2420" w:type="dxa"/>
            <w:vAlign w:val="bottom"/>
            <w:gridSpan w:val="6"/>
          </w:tcPr>
          <w:p>
            <w:pPr>
              <w:jc w:val="right"/>
              <w:ind w:right="1320"/>
              <w:spacing w:after="0"/>
              <w:rPr>
                <w:sz w:val="20"/>
                <w:szCs w:val="20"/>
                <w:color w:val="auto"/>
              </w:rPr>
            </w:pPr>
            <w:r>
              <w:rPr>
                <w:rFonts w:ascii="Arial" w:cs="Arial" w:eastAsia="Arial" w:hAnsi="Arial"/>
                <w:sz w:val="18"/>
                <w:szCs w:val="18"/>
                <w:color w:val="auto"/>
              </w:rPr>
              <w:t>25.8%</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6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2420" w:type="dxa"/>
            <w:vAlign w:val="bottom"/>
            <w:tcBorders>
              <w:bottom w:val="single" w:sz="8" w:color="auto"/>
            </w:tcBorders>
            <w:gridSpan w:val="6"/>
            <w:shd w:val="clear" w:color="auto" w:fill="CCEEFF"/>
          </w:tcPr>
          <w:p>
            <w:pPr>
              <w:jc w:val="right"/>
              <w:ind w:right="1320"/>
              <w:spacing w:after="0"/>
              <w:rPr>
                <w:sz w:val="20"/>
                <w:szCs w:val="20"/>
                <w:color w:val="auto"/>
              </w:rPr>
            </w:pPr>
            <w:r>
              <w:rPr>
                <w:rFonts w:ascii="Arial" w:cs="Arial" w:eastAsia="Arial" w:hAnsi="Arial"/>
                <w:sz w:val="18"/>
                <w:szCs w:val="18"/>
                <w:color w:val="auto"/>
              </w:rPr>
              <w:t>4.1%</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8"/>
        </w:trPr>
        <w:tc>
          <w:tcPr>
            <w:tcW w:w="5440" w:type="dxa"/>
            <w:vAlign w:val="bottom"/>
            <w:gridSpan w:val="2"/>
          </w:tcPr>
          <w:p>
            <w:pPr>
              <w:spacing w:after="0"/>
              <w:rPr>
                <w:sz w:val="20"/>
                <w:szCs w:val="20"/>
                <w:color w:val="auto"/>
              </w:rPr>
            </w:pPr>
            <w:r>
              <w:rPr>
                <w:rFonts w:ascii="Arial" w:cs="Arial" w:eastAsia="Arial" w:hAnsi="Arial"/>
                <w:sz w:val="18"/>
                <w:szCs w:val="18"/>
                <w:color w:val="auto"/>
              </w:rPr>
              <w:t>Income from operations (excluding restructuring and other</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items)</w:t>
            </w:r>
          </w:p>
        </w:tc>
        <w:tc>
          <w:tcPr>
            <w:tcW w:w="2560" w:type="dxa"/>
            <w:vAlign w:val="bottom"/>
            <w:gridSpan w:val="6"/>
          </w:tcPr>
          <w:p>
            <w:pPr>
              <w:jc w:val="right"/>
              <w:ind w:right="300"/>
              <w:spacing w:after="0"/>
              <w:rPr>
                <w:sz w:val="20"/>
                <w:szCs w:val="20"/>
                <w:color w:val="auto"/>
              </w:rPr>
            </w:pPr>
            <w:r>
              <w:rPr>
                <w:rFonts w:ascii="Arial" w:cs="Arial" w:eastAsia="Arial" w:hAnsi="Arial"/>
                <w:sz w:val="18"/>
                <w:szCs w:val="18"/>
                <w:color w:val="auto"/>
              </w:rPr>
              <w:t>9.0%</w:t>
            </w:r>
          </w:p>
        </w:tc>
        <w:tc>
          <w:tcPr>
            <w:tcW w:w="2420" w:type="dxa"/>
            <w:vAlign w:val="bottom"/>
            <w:gridSpan w:val="6"/>
          </w:tcPr>
          <w:p>
            <w:pPr>
              <w:jc w:val="right"/>
              <w:ind w:right="1320"/>
              <w:spacing w:after="0"/>
              <w:rPr>
                <w:sz w:val="20"/>
                <w:szCs w:val="20"/>
                <w:color w:val="auto"/>
              </w:rPr>
            </w:pPr>
            <w:r>
              <w:rPr>
                <w:rFonts w:ascii="Arial" w:cs="Arial" w:eastAsia="Arial" w:hAnsi="Arial"/>
                <w:sz w:val="18"/>
                <w:szCs w:val="18"/>
                <w:color w:val="auto"/>
              </w:rPr>
              <w:t>5.4%</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2560" w:type="dxa"/>
            <w:vAlign w:val="bottom"/>
            <w:tcBorders>
              <w:bottom w:val="single" w:sz="8" w:color="auto"/>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420" w:type="dxa"/>
            <w:vAlign w:val="bottom"/>
            <w:tcBorders>
              <w:bottom w:val="single" w:sz="8" w:color="auto"/>
            </w:tcBorders>
            <w:gridSpan w:val="6"/>
            <w:shd w:val="clear" w:color="auto" w:fill="CCEEFF"/>
          </w:tcPr>
          <w:p>
            <w:pPr>
              <w:jc w:val="right"/>
              <w:ind w:right="132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418"/>
        </w:trPr>
        <w:tc>
          <w:tcPr>
            <w:tcW w:w="5440" w:type="dxa"/>
            <w:vAlign w:val="bottom"/>
            <w:gridSpan w:val="2"/>
          </w:tcPr>
          <w:p>
            <w:pPr>
              <w:spacing w:after="0"/>
              <w:rPr>
                <w:sz w:val="20"/>
                <w:szCs w:val="20"/>
                <w:color w:val="auto"/>
              </w:rPr>
            </w:pPr>
            <w:r>
              <w:rPr>
                <w:rFonts w:ascii="Arial" w:cs="Arial" w:eastAsia="Arial" w:hAnsi="Arial"/>
                <w:sz w:val="18"/>
                <w:szCs w:val="18"/>
                <w:color w:val="auto"/>
              </w:rPr>
              <w:t>Income from operations (including restructuring and other</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items)</w:t>
            </w:r>
          </w:p>
        </w:tc>
        <w:tc>
          <w:tcPr>
            <w:tcW w:w="25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color w:val="auto"/>
              </w:rPr>
              <w:t>7.6%</w:t>
            </w:r>
          </w:p>
        </w:tc>
        <w:tc>
          <w:tcPr>
            <w:tcW w:w="2420" w:type="dxa"/>
            <w:vAlign w:val="bottom"/>
            <w:tcBorders>
              <w:bottom w:val="single" w:sz="8" w:color="auto"/>
            </w:tcBorders>
            <w:gridSpan w:val="6"/>
          </w:tcPr>
          <w:p>
            <w:pPr>
              <w:jc w:val="right"/>
              <w:ind w:right="1320"/>
              <w:spacing w:after="0"/>
              <w:rPr>
                <w:sz w:val="20"/>
                <w:szCs w:val="20"/>
                <w:color w:val="auto"/>
              </w:rPr>
            </w:pPr>
            <w:r>
              <w:rPr>
                <w:rFonts w:ascii="Arial" w:cs="Arial" w:eastAsia="Arial" w:hAnsi="Arial"/>
                <w:sz w:val="18"/>
                <w:szCs w:val="18"/>
                <w:color w:val="auto"/>
              </w:rPr>
              <w:t>4.3%</w:t>
            </w: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for the period increased by $121.7 million, or 23.0%, from $529.3 million for the six months ended June 30, 2012 to $651.0 million for the six months ended June 30, 2013. Net revenue derived from the acquisitions of Cross Country Healthcare Inc. amounted to $19.8 million for the six months ended June 30, 2013. For the six months ended June 30, 2013 we derived approximately 42.2%, 46.1% and 11.7% of our net revenue in the United States, Europe and Rest of World,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Net revenue in Ireland increased from $69.8 million for the six months ended June 30, 2012 to $130.3 million for the six months ended June 30, 2013.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Direct costs for the period increased by $74.2 million, or 21.7%, from $342.4 million for the six months ended June 30, 2012 to $416.6 million for the six months ended June 30, 2013. Direct costs consist primarily of compensation, associated fringe benefits and share based compensation expense for project-related employees and other direct project driven costs. The increase in direct costs during the period arose from an increase in personnel related expenditure of $70.2 million and an increase in other direct project related costs of $4.0 million. As a percentage of net revenue, direct costs have decreased from 64.7% for the six months ended June 30, 2012 to 64.0% for the six months ended June 30, 2013.</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$16.2 million, or 11.8%, from $136.9 million for the six months ended June 30, 2012 to $153.1 million for the six months ended June 30,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$11.4 million, an increase in facilities and related costs expenditure of $2.2 million and an increase in general and administrative expenses of $2.6 million. As a percentage of net revenue, selling, general and administrative expenses, decreased from 25.8% for the six months ended June 30, 2012 to 23.5% for the six months ended June 30, 2013.</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increased by $1.8 million, or 10.2%, from $17.6 million for the six months ended June 30, 2012 to $19.4 million for the six months ended June 30, 2013 and principally arises from an investment in facilities, information systems and equipment to support the Company’s growth. As a percentage of net revenue, depreciation expense decreased from 3.3% of net revenues for the three months ended June 30, 2012 to 3.0% for the six months ended June 30, 2013. Amortization expense for the period decreased by $0.4 million, or 10.0%, from $4.0 million for the six months ended June 30, 2012 to $3.6 million for the six months ended June 30, 2013. Amortization expense represents the amortization of intangible assets acquired on business combinations. The decrease in the amortization expense in the current period is primarily a result of certain intangible assets acquired from the acquisitions of Firecrest and Oxford Outcomes being fully amortized during the year ended 31 December 2012. This was offset by the intangible assets acquired from the acquisition of the clinical trial services division of Cross Country Healthcare Inc. during the three months ended March 31, 2013. As a percentage of net revenue, amortization expense decreased from 0.8% of net revenues for the six months ended June 30, 2012 to 0.6% of net revenues for the six months ended June 30, 2013.</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During the three months ended June 30, 2013 the Company implemented a further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(s</w:t>
      </w:r>
      <w:r>
        <w:rPr>
          <w:rFonts w:ascii="Arial" w:cs="Arial" w:eastAsia="Arial" w:hAnsi="Arial"/>
          <w:sz w:val="17"/>
          <w:szCs w:val="17"/>
          <w:i w:val="1"/>
          <w:iCs w:val="1"/>
          <w:color w:val="auto"/>
        </w:rPr>
        <w:t>ee note 4 Restructuring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items for further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Restructuring and other non-recurring items of $5.6 million were recorded during the six months ended June 30, 2012 (inclusive of the release of $0.1 million relating to the 2011 Restructuring Plans). During the three months ended June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three months ended June 30, 2012; $3.4 million in respect of resource rationalizations and $1.2 million in respect of lease termination and exit costs. The Company also incurred certain other charges in relation to the retirement of Mr. Peter Gray, Vice Chairman of the Board and former CEO. A charge of $1.1 million was recognized in respect of this during the three months ended June 30, 2012 (s</w:t>
      </w:r>
      <w:r>
        <w:rPr>
          <w:rFonts w:ascii="Arial" w:cs="Arial" w:eastAsia="Arial" w:hAnsi="Arial"/>
          <w:sz w:val="18"/>
          <w:szCs w:val="18"/>
          <w:i w:val="1"/>
          <w:iCs w:val="1"/>
          <w:color w:val="auto"/>
        </w:rPr>
        <w:t>ee note 4 Restructuring and other items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p>
    <w:p>
      <w:pPr>
        <w:spacing w:after="0" w:line="21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a result of the above, income from operations increased by $26.6 million, or 116.8%, from $22.7 million for the six months ended June 30, 2012 ($28.4 million excluding restructuring charges) to $49.3 million for the six months ended June 30, 2013 ($58.3 million, or 105.6% excluding restructuring charges). As a percentage of net revenue, income from operations increased from 4.3% of net revenues for the six months ended June 30, 2012 (5.4% excluding restructuring charges) to 7.6% of net revenues for the six months ended June 30, 2013 (9.0% excluding restructuring charges).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 Ireland increased from a loss of $6.6 million for the six months ended June 30, 2012 ($4.5 million excluding restructuring charges), to a profit of $24.8 million ($25.9 million excluding restructuring charges) for the six months ended June 30, 2013.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resulted in increased profits from operations in the current quarter.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decreased from $1.0 million for the six months ended June 30, 2012 to $0.7 million for the six months ended June 30, 2013. Interest expense for the six months ended June 30, 2013 includes $0.2 million in respect of non-cash finance charges relating to acquisition contingent consideration. Interest income for the six months ended June 30, 2013 decreased from $0.7 million for the six months ended June 30, 2012 to $0.5 million for the six months ended June 30, 2013.</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for the period increased from $5.5 million for the six months ended June 30, 2012 ($6.2 million excluding the impact of restructuring charges) to $7.5 million ($9.3 million excluding the impact of restructuring charges) for the six months ended June 30, 2013. The Company’s effective tax rate for the six months ended June 30, 2013 was 15.3% (16.1% excluding the impact of restructuring charges) compared with 24.6% for the six months ended June 30, 2012 (22.2% excluding the impact of restructuring charges). The Company’s effective tax rate is principally a function of the distribution of pre-tax profits amongst the territories in which it operates.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cash and short term investment balances at June 30, 2013 amounted to $183.9 million compared with cash and short term investment balances of $190.2 million at December 31, 2012. The Company’s cash and short term investment balances at June 30, 2013 comprised cash and cash equivalents $98.3 million, restricted cash $2.25 million and short-term investments $83.4 million. During the six months ended June 30, 2013 the Company completed the acquisition of the clinical trial services division of Cross Country Healthcare Inc. At June 30, 2013 the Company held $2.25 million in restricted cash in relation to additional amounts potentially payable for the acquisition. The Company’s cash and short-term investment balances at December 31, 2012 comprised cash and cash equivalents $114.0 million and short-term investments $76.2 million.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June 30, 2013 compared with $150.0 million at December 31, 2012.</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$80.2 million for the six months ended June 30, 2013 compared with cash provided by operating activities of $72.2 million for the six months ended June 30, 2012.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2013 was 33 days compared to 40 days at December 31, 2012. The number of days revenue outstanding at June 30, 2012 was 36 days compared to 47 days at December 31, 2011.</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$104.5 million for the six months ended June 30, 2013 compared to net cash used in investing activities of $82.3 million for the six months ended June 30, 2012. Net cash used in the six months ended June 30, 2013 arose principally from cash paid for acquisitions, capital expenditures and the purchase of short-term investments.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six months ended June 30, 2013 the Company completed the acquisition of the clinical trial services division of Cross Country Healthcare Inc. for an initial cash consideration of $51.9 million, with $1.0 million in cash received on acquisition. Additional amounts payable at June 30, 2013 in relation to acquisitions include $21.05 million payable contingent upon the results of acquired businesses; including Cross Country Healthcare Inc. ($2.25million), BeijingWits Medical ($3.2 million); Firecrest ($12.6 million) and Oxford Outcomes ($3.0 million). </w:t>
      </w:r>
      <w:r>
        <w:rPr>
          <w:rFonts w:ascii="Arial" w:cs="Arial" w:eastAsia="Arial" w:hAnsi="Arial"/>
          <w:sz w:val="17"/>
          <w:szCs w:val="17"/>
          <w:i w:val="1"/>
          <w:iCs w:val="1"/>
          <w:color w:val="auto"/>
        </w:rPr>
        <w:t>(See note 3 Business Combinations for</w:t>
      </w:r>
      <w:r>
        <w:rPr>
          <w:rFonts w:ascii="Arial" w:cs="Arial" w:eastAsia="Arial" w:hAnsi="Arial"/>
          <w:sz w:val="17"/>
          <w:szCs w:val="17"/>
          <w:color w:val="auto"/>
        </w:rPr>
        <w:t xml:space="preserve"> </w:t>
      </w:r>
      <w:r>
        <w:rPr>
          <w:rFonts w:ascii="Arial" w:cs="Arial" w:eastAsia="Arial" w:hAnsi="Arial"/>
          <w:sz w:val="17"/>
          <w:szCs w:val="17"/>
          <w:i w:val="1"/>
          <w:iCs w:val="1"/>
          <w:color w:val="auto"/>
        </w:rPr>
        <w:t>further information relating to acquisitions and amounts payable contingent upon the future results of acquired businesses).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 for the six months ended June 30, 2013 amounted to $17.2 million and comprised mainly of expenditure on global infrastructure and information technology systems to support the Company’s growth. During the six months ended June 30, 2013 the Company invested a net $7.4 million in short-term investments.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six months ended June 30, 2013 amounted to $10.7 million compared with net cash used by financing activities of $11.7 million for the six months ended June 31, 2012. Net cash provided by financing activities during the six months ended June 30, 2013 arose primarily from the $10.5 million received from the exercise of stock options. Net cash used by financing activities during the six months ended June 30, 2012 arose primarily from payments amounting to $15.6 million to repurchase shares under the Company’s share repurchase plans. This was offset by $3.1 million received from the exercise of stock options.</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these cash flows, cash and cash equivalents decreased by $15.8 million for the six months ended June 30, 2013 compared to a decrease of $24.3 million for the six months ended June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Date: August 2, 2013</w:t>
            </w:r>
          </w:p>
        </w:tc>
        <w:tc>
          <w:tcPr>
            <w:tcW w:w="36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2019-12-06T20:54:01Z</dcterms:created>
  <dcterms:modified xsi:type="dcterms:W3CDTF">2019-12-06T20:54:01Z</dcterms:modified>
</cp:coreProperties>
</file>