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2017</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July 26, 2017 – ICON Shareholders Vote in Favour of All Resolutions at its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20"/>
          </w:cols>
          <w:pgMar w:left="240" w:top="364" w:right="9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July 26, 2017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Shareholders Vote in Favour of All Resolutions at its Annual General Meeting</w:t>
      </w:r>
    </w:p>
    <w:p>
      <w:pPr>
        <w:spacing w:after="0" w:line="206" w:lineRule="exact"/>
        <w:rPr>
          <w:sz w:val="20"/>
          <w:szCs w:val="20"/>
          <w:color w:val="auto"/>
        </w:rPr>
      </w:pPr>
    </w:p>
    <w:p>
      <w:pPr>
        <w:ind w:right="20"/>
        <w:spacing w:after="0" w:line="237" w:lineRule="auto"/>
        <w:rPr>
          <w:sz w:val="20"/>
          <w:szCs w:val="20"/>
          <w:color w:val="auto"/>
        </w:rPr>
      </w:pPr>
      <w:r>
        <w:rPr>
          <w:rFonts w:ascii="Arial" w:cs="Arial" w:eastAsia="Arial" w:hAnsi="Arial"/>
          <w:sz w:val="22"/>
          <w:szCs w:val="22"/>
          <w:color w:val="auto"/>
        </w:rPr>
        <w:t>DUBLIN--(BUSINESS WIRE)--July 26, 2017--</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announced that all resolutions at the Annual General Meeting of the Company (AGM) held on July 25, 2017 (which resolutions had all been recommended by the Board) were all duly passed by shareholders. These resolutions were set out in the Notice of the AGM sent to shareholders dated June 23, 2017 and are available on the ICON plc website.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The final results of the voting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RESOLUTION</w:t>
            </w:r>
          </w:p>
        </w:tc>
        <w:tc>
          <w:tcPr>
            <w:tcW w:w="60" w:type="dxa"/>
            <w:vAlign w:val="bottom"/>
          </w:tcPr>
          <w:p>
            <w:pPr>
              <w:spacing w:after="0"/>
              <w:rPr>
                <w:sz w:val="14"/>
                <w:szCs w:val="14"/>
                <w:color w:val="auto"/>
              </w:rPr>
            </w:pPr>
          </w:p>
        </w:tc>
        <w:tc>
          <w:tcPr>
            <w:tcW w:w="4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RESOLUTION</w:t>
            </w:r>
          </w:p>
        </w:tc>
        <w:tc>
          <w:tcPr>
            <w:tcW w:w="6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VOTE</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VOTE</w:t>
            </w:r>
          </w:p>
        </w:tc>
        <w:tc>
          <w:tcPr>
            <w:tcW w:w="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VOTE</w:t>
            </w:r>
          </w:p>
        </w:tc>
        <w:tc>
          <w:tcPr>
            <w:tcW w:w="0" w:type="dxa"/>
            <w:vAlign w:val="bottom"/>
          </w:tcPr>
          <w:p>
            <w:pPr>
              <w:spacing w:after="0"/>
              <w:rPr>
                <w:sz w:val="1"/>
                <w:szCs w:val="1"/>
                <w:color w:val="auto"/>
              </w:rPr>
            </w:pPr>
          </w:p>
        </w:tc>
      </w:tr>
      <w:tr>
        <w:trPr>
          <w:trHeight w:val="119"/>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0"/>
                <w:szCs w:val="10"/>
                <w:color w:val="auto"/>
              </w:rPr>
            </w:pPr>
          </w:p>
        </w:tc>
        <w:tc>
          <w:tcPr>
            <w:tcW w:w="49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VOTES</w:t>
            </w:r>
          </w:p>
        </w:tc>
        <w:tc>
          <w:tcPr>
            <w:tcW w:w="8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w:t>
            </w:r>
          </w:p>
        </w:tc>
        <w:tc>
          <w:tcPr>
            <w:tcW w:w="80" w:type="dxa"/>
            <w:vAlign w:val="bottom"/>
          </w:tcPr>
          <w:p>
            <w:pPr>
              <w:spacing w:after="0"/>
              <w:rPr>
                <w:sz w:val="10"/>
                <w:szCs w:val="10"/>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AGAINST</w:t>
            </w:r>
          </w:p>
        </w:tc>
        <w:tc>
          <w:tcPr>
            <w:tcW w:w="6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WITHHELD</w:t>
            </w:r>
          </w:p>
        </w:tc>
        <w:tc>
          <w:tcPr>
            <w:tcW w:w="0" w:type="dxa"/>
            <w:vAlign w:val="bottom"/>
          </w:tcPr>
          <w:p>
            <w:pPr>
              <w:spacing w:after="0"/>
              <w:rPr>
                <w:sz w:val="1"/>
                <w:szCs w:val="1"/>
                <w:color w:val="auto"/>
              </w:rPr>
            </w:pPr>
          </w:p>
        </w:tc>
      </w:tr>
      <w:tr>
        <w:trPr>
          <w:trHeight w:val="74"/>
        </w:trPr>
        <w:tc>
          <w:tcPr>
            <w:tcW w:w="15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1.1</w:t>
            </w:r>
          </w:p>
        </w:tc>
        <w:tc>
          <w:tcPr>
            <w:tcW w:w="60" w:type="dxa"/>
            <w:vAlign w:val="bottom"/>
          </w:tcPr>
          <w:p>
            <w:pPr>
              <w:spacing w:after="0"/>
              <w:rPr>
                <w:sz w:val="15"/>
                <w:szCs w:val="15"/>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re-elect Prof. Dermot Kelleher</w:t>
            </w:r>
          </w:p>
        </w:tc>
        <w:tc>
          <w:tcPr>
            <w:tcW w:w="6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45,317,741</w:t>
            </w:r>
          </w:p>
        </w:tc>
        <w:tc>
          <w:tcPr>
            <w:tcW w:w="8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44,238,348</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1,032,397</w:t>
            </w:r>
          </w:p>
        </w:tc>
        <w:tc>
          <w:tcPr>
            <w:tcW w:w="6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46,996</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1.2</w:t>
            </w:r>
          </w:p>
        </w:tc>
        <w:tc>
          <w:tcPr>
            <w:tcW w:w="6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re-elect Prof. Hugh Brady</w:t>
            </w:r>
          </w:p>
        </w:tc>
        <w:tc>
          <w:tcPr>
            <w:tcW w:w="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45,317,741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44,918,234</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352,536</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46,971</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1.3</w:t>
            </w:r>
          </w:p>
        </w:tc>
        <w:tc>
          <w:tcPr>
            <w:tcW w:w="6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To re-elect Ms. Mary Pendergast</w:t>
            </w:r>
          </w:p>
        </w:tc>
        <w:tc>
          <w:tcPr>
            <w:tcW w:w="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45,317,741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44,917,849</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351,464</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48,428</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1.4</w:t>
            </w:r>
          </w:p>
        </w:tc>
        <w:tc>
          <w:tcPr>
            <w:tcW w:w="6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To re-elect Mr. Ronan Murphy</w:t>
            </w:r>
          </w:p>
        </w:tc>
        <w:tc>
          <w:tcPr>
            <w:tcW w:w="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45,317,741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44,630,167</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640,062</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47,512</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2</w:t>
            </w:r>
          </w:p>
        </w:tc>
        <w:tc>
          <w:tcPr>
            <w:tcW w:w="6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To receive accounts and reports</w:t>
            </w:r>
          </w:p>
        </w:tc>
        <w:tc>
          <w:tcPr>
            <w:tcW w:w="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45,317,741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45,142,850</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3,142</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171,749</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3</w:t>
            </w:r>
          </w:p>
        </w:tc>
        <w:tc>
          <w:tcPr>
            <w:tcW w:w="6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authorise the fixing of the auditors’ remuneration</w:t>
            </w:r>
          </w:p>
        </w:tc>
        <w:tc>
          <w:tcPr>
            <w:tcW w:w="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45,317,741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41,762,920</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3,548,967</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5,854</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4</w:t>
            </w:r>
          </w:p>
        </w:tc>
        <w:tc>
          <w:tcPr>
            <w:tcW w:w="6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To authorise the Company to allot shares</w:t>
            </w:r>
          </w:p>
        </w:tc>
        <w:tc>
          <w:tcPr>
            <w:tcW w:w="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45,317,741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44,310,484</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865,120</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142,137</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w:t>
            </w:r>
          </w:p>
        </w:tc>
        <w:tc>
          <w:tcPr>
            <w:tcW w:w="6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disapply pre-emption rights</w:t>
            </w:r>
          </w:p>
        </w:tc>
        <w:tc>
          <w:tcPr>
            <w:tcW w:w="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45,317,741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44,917,093</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238,190</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162,458</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6**</w:t>
            </w:r>
          </w:p>
        </w:tc>
        <w:tc>
          <w:tcPr>
            <w:tcW w:w="6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To disapply pre-emption rights for funding capital investment or acquisitions</w:t>
            </w:r>
          </w:p>
        </w:tc>
        <w:tc>
          <w:tcPr>
            <w:tcW w:w="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45,317,741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44,918,013</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237,460</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162,268</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7**</w:t>
            </w:r>
          </w:p>
        </w:tc>
        <w:tc>
          <w:tcPr>
            <w:tcW w:w="60" w:type="dxa"/>
            <w:vAlign w:val="bottom"/>
          </w:tcPr>
          <w:p>
            <w:pPr>
              <w:spacing w:after="0"/>
              <w:rPr>
                <w:sz w:val="14"/>
                <w:szCs w:val="1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To authorise the Company to make market purchases of shares</w:t>
            </w:r>
          </w:p>
        </w:tc>
        <w:tc>
          <w:tcPr>
            <w:tcW w:w="6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45,317,741</w:t>
            </w:r>
          </w:p>
        </w:tc>
        <w:tc>
          <w:tcPr>
            <w:tcW w:w="8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45,177,034</w:t>
            </w:r>
          </w:p>
        </w:tc>
        <w:tc>
          <w:tcPr>
            <w:tcW w:w="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9,283</w:t>
            </w:r>
          </w:p>
        </w:tc>
        <w:tc>
          <w:tcPr>
            <w:tcW w:w="6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131,424</w:t>
            </w:r>
          </w:p>
        </w:tc>
        <w:tc>
          <w:tcPr>
            <w:tcW w:w="0" w:type="dxa"/>
            <w:vAlign w:val="bottom"/>
          </w:tcPr>
          <w:p>
            <w:pPr>
              <w:spacing w:after="0"/>
              <w:rPr>
                <w:sz w:val="1"/>
                <w:szCs w:val="1"/>
                <w:color w:val="auto"/>
              </w:rPr>
            </w:pPr>
          </w:p>
        </w:tc>
      </w:tr>
      <w:tr>
        <w:trPr>
          <w:trHeight w:val="137"/>
        </w:trPr>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8**</w:t>
            </w:r>
          </w:p>
        </w:tc>
        <w:tc>
          <w:tcPr>
            <w:tcW w:w="60" w:type="dxa"/>
            <w:vAlign w:val="bottom"/>
          </w:tcPr>
          <w:p>
            <w:pPr>
              <w:spacing w:after="0"/>
              <w:rPr>
                <w:sz w:val="11"/>
                <w:szCs w:val="11"/>
                <w:color w:val="auto"/>
              </w:rPr>
            </w:pPr>
          </w:p>
        </w:tc>
        <w:tc>
          <w:tcPr>
            <w:tcW w:w="4960" w:type="dxa"/>
            <w:vAlign w:val="bottom"/>
          </w:tcPr>
          <w:p>
            <w:pPr>
              <w:jc w:val="center"/>
              <w:spacing w:after="0" w:line="137" w:lineRule="exact"/>
              <w:rPr>
                <w:sz w:val="20"/>
                <w:szCs w:val="20"/>
                <w:color w:val="auto"/>
              </w:rPr>
            </w:pPr>
            <w:r>
              <w:rPr>
                <w:rFonts w:ascii="Arial" w:cs="Arial" w:eastAsia="Arial" w:hAnsi="Arial"/>
                <w:sz w:val="14"/>
                <w:szCs w:val="14"/>
                <w:color w:val="auto"/>
                <w:w w:val="91"/>
              </w:rPr>
              <w:t>To authorise the price range at which the Company can reissue shares it holds as</w:t>
            </w:r>
          </w:p>
        </w:tc>
        <w:tc>
          <w:tcPr>
            <w:tcW w:w="180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w w:val="91"/>
              </w:rPr>
              <w:t>45,317,741</w:t>
            </w:r>
          </w:p>
        </w:tc>
        <w:tc>
          <w:tcPr>
            <w:tcW w:w="760" w:type="dxa"/>
            <w:vAlign w:val="bottom"/>
            <w:gridSpan w:val="2"/>
            <w:vMerge w:val="restart"/>
          </w:tcPr>
          <w:p>
            <w:pPr>
              <w:jc w:val="center"/>
              <w:ind w:left="8"/>
              <w:spacing w:after="0"/>
              <w:rPr>
                <w:sz w:val="20"/>
                <w:szCs w:val="20"/>
                <w:color w:val="auto"/>
              </w:rPr>
            </w:pPr>
            <w:r>
              <w:rPr>
                <w:rFonts w:ascii="Arial" w:cs="Arial" w:eastAsia="Arial" w:hAnsi="Arial"/>
                <w:sz w:val="14"/>
                <w:szCs w:val="14"/>
                <w:color w:val="auto"/>
                <w:w w:val="91"/>
              </w:rPr>
              <w:t>44,962,079</w:t>
            </w:r>
          </w:p>
        </w:tc>
        <w:tc>
          <w:tcPr>
            <w:tcW w:w="1080" w:type="dxa"/>
            <w:vAlign w:val="bottom"/>
            <w:gridSpan w:val="2"/>
            <w:vMerge w:val="restart"/>
          </w:tcPr>
          <w:p>
            <w:pPr>
              <w:jc w:val="center"/>
              <w:spacing w:after="0"/>
              <w:rPr>
                <w:sz w:val="20"/>
                <w:szCs w:val="20"/>
                <w:color w:val="auto"/>
              </w:rPr>
            </w:pPr>
            <w:r>
              <w:rPr>
                <w:rFonts w:ascii="Arial" w:cs="Arial" w:eastAsia="Arial" w:hAnsi="Arial"/>
                <w:sz w:val="14"/>
                <w:szCs w:val="14"/>
                <w:color w:val="auto"/>
                <w:w w:val="90"/>
              </w:rPr>
              <w:t>121,491</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90"/>
              </w:rPr>
              <w:t>234,171</w:t>
            </w:r>
          </w:p>
        </w:tc>
        <w:tc>
          <w:tcPr>
            <w:tcW w:w="0" w:type="dxa"/>
            <w:vAlign w:val="bottom"/>
          </w:tcPr>
          <w:p>
            <w:pPr>
              <w:spacing w:after="0"/>
              <w:rPr>
                <w:sz w:val="1"/>
                <w:szCs w:val="1"/>
                <w:color w:val="auto"/>
              </w:rPr>
            </w:pPr>
          </w:p>
        </w:tc>
      </w:tr>
      <w:tr>
        <w:trPr>
          <w:trHeight w:val="101"/>
        </w:trPr>
        <w:tc>
          <w:tcPr>
            <w:tcW w:w="15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960" w:type="dxa"/>
            <w:vAlign w:val="bottom"/>
            <w:vMerge w:val="restart"/>
          </w:tcPr>
          <w:p>
            <w:pPr>
              <w:jc w:val="center"/>
              <w:spacing w:after="0"/>
              <w:rPr>
                <w:sz w:val="20"/>
                <w:szCs w:val="20"/>
                <w:color w:val="auto"/>
              </w:rPr>
            </w:pPr>
            <w:r>
              <w:rPr>
                <w:rFonts w:ascii="Arial" w:cs="Arial" w:eastAsia="Arial" w:hAnsi="Arial"/>
                <w:sz w:val="14"/>
                <w:szCs w:val="14"/>
                <w:color w:val="auto"/>
                <w:w w:val="89"/>
              </w:rPr>
              <w:t>treasury shares</w:t>
            </w:r>
          </w:p>
        </w:tc>
        <w:tc>
          <w:tcPr>
            <w:tcW w:w="18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5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96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84 locations in 38 countries and has approximately 12,300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68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Jonathan Curtain</w:t>
      </w:r>
    </w:p>
    <w:p>
      <w:pPr>
        <w:ind w:right="6440"/>
        <w:spacing w:after="0" w:line="237" w:lineRule="auto"/>
        <w:rPr>
          <w:rFonts w:ascii="Arial" w:cs="Arial" w:eastAsia="Arial" w:hAnsi="Arial"/>
          <w:sz w:val="22"/>
          <w:szCs w:val="22"/>
          <w:color w:val="auto"/>
        </w:rPr>
      </w:pPr>
      <w:r>
        <w:rPr>
          <w:rFonts w:ascii="Arial" w:cs="Arial" w:eastAsia="Arial" w:hAnsi="Arial"/>
          <w:sz w:val="22"/>
          <w:szCs w:val="22"/>
          <w:color w:val="auto"/>
        </w:rPr>
        <w:t>Vice President Corporate Finance and Investor Relations +1 215 616 3000</w:t>
      </w: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2019-12-06T09:07:45Z</dcterms:created>
  <dcterms:modified xsi:type="dcterms:W3CDTF">2019-12-06T09:07:45Z</dcterms:modified>
</cp:coreProperties>
</file>