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FORM 6-K</w:t>
      </w:r>
    </w:p>
    <w:p>
      <w:pPr>
        <w:spacing w:after="0" w:line="200" w:lineRule="exact"/>
        <w:rPr>
          <w:sz w:val="24"/>
          <w:szCs w:val="24"/>
          <w:color w:val="auto"/>
        </w:rPr>
      </w:pPr>
    </w:p>
    <w:p>
      <w:pPr>
        <w:spacing w:after="0" w:line="29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jc w:val="center"/>
        <w:ind w:right="-19"/>
        <w:spacing w:after="0" w:line="226" w:lineRule="auto"/>
        <w:rPr>
          <w:sz w:val="20"/>
          <w:szCs w:val="20"/>
          <w:color w:val="auto"/>
        </w:rPr>
      </w:pPr>
      <w:r>
        <w:rPr>
          <w:rFonts w:ascii="Arial" w:cs="Arial" w:eastAsia="Arial" w:hAnsi="Arial"/>
          <w:sz w:val="14"/>
          <w:szCs w:val="14"/>
          <w:b w:val="1"/>
          <w:bCs w:val="1"/>
          <w:color w:val="auto"/>
        </w:rPr>
        <w:t>Pursuant to Rule 13a - 16 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month ended October 2009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ICON plc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name)</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0-29714</w:t>
      </w:r>
    </w:p>
    <w:p>
      <w:pPr>
        <w:jc w:val="center"/>
        <w:ind w:right="-19"/>
        <w:spacing w:after="0"/>
        <w:rPr>
          <w:sz w:val="20"/>
          <w:szCs w:val="20"/>
          <w:color w:val="auto"/>
        </w:rPr>
      </w:pPr>
      <w:r>
        <w:rPr>
          <w:rFonts w:ascii="Arial" w:cs="Arial" w:eastAsia="Arial" w:hAnsi="Arial"/>
          <w:sz w:val="14"/>
          <w:szCs w:val="14"/>
          <w:color w:val="auto"/>
        </w:rPr>
        <w:t>(Commission file number)</w:t>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South County Business Park, Leopardstown, Dublin 18, Ireland</w:t>
      </w: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Ciaran Murray, CFO</w:t>
      </w:r>
    </w:p>
    <w:p>
      <w:pPr>
        <w:jc w:val="center"/>
        <w:ind w:right="-19"/>
        <w:spacing w:after="0" w:line="233"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9"/>
        <w:spacing w:after="0" w:line="230" w:lineRule="auto"/>
        <w:rPr>
          <w:sz w:val="20"/>
          <w:szCs w:val="20"/>
          <w:color w:val="auto"/>
        </w:rPr>
      </w:pPr>
      <w:r>
        <w:rPr>
          <w:rFonts w:ascii="Arial" w:cs="Arial" w:eastAsia="Arial" w:hAnsi="Arial"/>
          <w:sz w:val="22"/>
          <w:szCs w:val="22"/>
          <w:color w:val="auto"/>
        </w:rPr>
        <w:t>ciaran.murray@iconplc.com</w:t>
      </w:r>
    </w:p>
    <w:p>
      <w:pPr>
        <w:jc w:val="center"/>
        <w:ind w:right="-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telephone number, email and/or fascmile number and address of company contact person)</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files or will file annual reports under cover Form 20-F or Form 40-F.</w:t>
      </w:r>
    </w:p>
    <w:p>
      <w:pPr>
        <w:spacing w:after="0" w:line="227" w:lineRule="exact"/>
        <w:rPr>
          <w:sz w:val="24"/>
          <w:szCs w:val="24"/>
          <w:color w:val="auto"/>
        </w:rPr>
      </w:pPr>
    </w:p>
    <w:p>
      <w:pPr>
        <w:ind w:left="4180"/>
        <w:spacing w:after="0"/>
        <w:tabs>
          <w:tab w:leader="none" w:pos="656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u w:val="single" w:color="auto"/>
          <w:color w:val="auto"/>
        </w:rPr>
        <w:t>X</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color w:val="auto"/>
        </w:rPr>
        <w:t>_</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101(b)(1):</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submitting the Form 6-K in paper as permitted by Regulation S-T Rule 101(b)(7):</w:t>
      </w:r>
    </w:p>
    <w:p>
      <w:pPr>
        <w:spacing w:after="0" w:line="227"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4"/>
          <w:szCs w:val="14"/>
          <w:color w:val="auto"/>
        </w:rPr>
        <w:t>Yes______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180"/>
        <w:spacing w:after="0"/>
        <w:tabs>
          <w:tab w:leader="none" w:pos="6540" w:val="left"/>
        </w:tabs>
        <w:rPr>
          <w:sz w:val="20"/>
          <w:szCs w:val="20"/>
          <w:color w:val="auto"/>
        </w:rPr>
      </w:pPr>
      <w:r>
        <w:rPr>
          <w:rFonts w:ascii="Arial" w:cs="Arial" w:eastAsia="Arial" w:hAnsi="Arial"/>
          <w:sz w:val="14"/>
          <w:szCs w:val="14"/>
          <w:color w:val="auto"/>
        </w:rPr>
        <w:t>Yes___</w:t>
      </w:r>
      <w:r>
        <w:rPr>
          <w:rFonts w:ascii="Arial" w:cs="Arial" w:eastAsia="Arial" w:hAnsi="Arial"/>
          <w:sz w:val="14"/>
          <w:szCs w:val="14"/>
          <w:b w:val="1"/>
          <w:bCs w:val="1"/>
          <w:color w:val="auto"/>
        </w:rPr>
        <w:t>_</w:t>
      </w:r>
      <w:r>
        <w:rPr>
          <w:rFonts w:ascii="Arial" w:cs="Arial" w:eastAsia="Arial" w:hAnsi="Arial"/>
          <w:sz w:val="14"/>
          <w:szCs w:val="14"/>
          <w:color w:val="auto"/>
        </w:rPr>
        <w:t>___</w:t>
      </w:r>
      <w:r>
        <w:rPr>
          <w:sz w:val="20"/>
          <w:szCs w:val="20"/>
          <w:color w:val="auto"/>
        </w:rPr>
        <w:tab/>
      </w:r>
      <w:r>
        <w:rPr>
          <w:rFonts w:ascii="Arial" w:cs="Arial" w:eastAsia="Arial" w:hAnsi="Arial"/>
          <w:sz w:val="13"/>
          <w:szCs w:val="13"/>
          <w:color w:val="auto"/>
        </w:rPr>
        <w:t>No___</w:t>
      </w:r>
      <w:r>
        <w:rPr>
          <w:rFonts w:ascii="Arial" w:cs="Arial" w:eastAsia="Arial" w:hAnsi="Arial"/>
          <w:sz w:val="13"/>
          <w:szCs w:val="13"/>
          <w:b w:val="1"/>
          <w:bCs w:val="1"/>
          <w:u w:val="single" w:color="auto"/>
          <w:color w:val="auto"/>
        </w:rPr>
        <w:t>X</w:t>
      </w:r>
      <w:r>
        <w:rPr>
          <w:rFonts w:ascii="Arial" w:cs="Arial" w:eastAsia="Arial" w:hAnsi="Arial"/>
          <w:sz w:val="13"/>
          <w:szCs w:val="13"/>
          <w:color w:val="auto"/>
        </w:rPr>
        <w:t>___</w:t>
      </w:r>
    </w:p>
    <w:p>
      <w:pPr>
        <w:spacing w:after="0" w:line="231" w:lineRule="exact"/>
        <w:rPr>
          <w:sz w:val="24"/>
          <w:szCs w:val="24"/>
          <w:color w:val="auto"/>
        </w:rPr>
      </w:pPr>
    </w:p>
    <w:p>
      <w:pPr>
        <w:spacing w:after="0"/>
        <w:tabs>
          <w:tab w:leader="none" w:pos="6780" w:val="left"/>
        </w:tabs>
        <w:rPr>
          <w:sz w:val="20"/>
          <w:szCs w:val="20"/>
          <w:color w:val="auto"/>
        </w:rPr>
      </w:pPr>
      <w:r>
        <w:rPr>
          <w:rFonts w:ascii="Arial" w:cs="Arial" w:eastAsia="Arial" w:hAnsi="Arial"/>
          <w:sz w:val="14"/>
          <w:szCs w:val="14"/>
          <w:color w:val="auto"/>
        </w:rPr>
        <w:t>If “Yes” is marked, indicate below the file number assigned to the registrant in connection with Rule 12g3-2(b):82</w:t>
      </w:r>
      <w:r>
        <w:rPr>
          <w:sz w:val="20"/>
          <w:szCs w:val="20"/>
          <w:color w:val="auto"/>
        </w:rPr>
        <w:tab/>
      </w: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“ICON”, the “Company” and “we” refer to ICON plc and its consolidated subsidiaries, unless the context requires otherwise.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7,000 employees worldwide, with operations in 68 locations in 38 countries, including the United States and major markets in Europe and Rest of World. For the nine months ended September 30, 2009 we derived approximately 47.7%, 44.3% and 8.0% of our net revenue in the United States, Europe and Rest of World,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Headquartered in Dublin, Ireland, we began operations in 1990 and have expanded our business through internal growth and strategic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Bonus Issue</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On July 21, 2008, the Company’s shareholders approved a bonus issue of ordinary shares (the “Bonus Issue”) to shareholders of record as of the close of business on August 8, 2008 (the “Record Date”). The Bonus Issue provided for each shareholder to receive one bonus ordinary share for each ordinary share held as of the Record Date, effecting the equivalent of a 2-for-1 stock split. The Bonus shares were issued on August 11, 2008, to Ordinary Shareholders and on August 12, 2008, to holders of American Depositary Shares (“ADSs”). The trading price of ICON’s ADSs was adjusted on NASDAQ to effect the Bonus Issue prior to the opening of trading on August 13, 2008. All outstanding ordinary share amounts referenced in the condensed consolidated financial statements and the notes thereto have been retrospectively restated to give effect to the Bonus Issue as if it had occurred as of the date referenced.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Acquisitions</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On July 9, 2009, the Company acquired 100% of the common stock of Veeda Laboratories Limited, a specialist provider of biomarker laboratory services to the global pharmaceutical and biotechnology industries, located in Oxford, United Kingdom, for an initial cash consideration of $1.9 million (Stg£1.2 million).</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On April 28, 2009, the Company acquired the assets of the former Qualia Clinical Services, Inc., a 33,000 square foot Phase 1 facility, located in Omaha, Nebraska, for $0.3 million.</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$37.7 million, excluding costs of acquisition. On April 30, 2009, a further $5.0 million was paid in respect of certain performance milestones for the year ended December 31, 2008. Prevalere, located in Whitesboro, New York, is a leading provider of bioanalytical and immunoassay services to pharmaceutical and biotechnology companies.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4"/>
          <w:szCs w:val="14"/>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Bank Credit Lines and Loan Facilities</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($51.4 million) with Bank of Ireland. The facility bears interest at an annual rate equal to EURIBOR plus a margin and is secured by certain composite guarantees, indemnities and pledges in favor of the bank. At September 30, 2009, €7 million ($10.3 million), was available to be drawn under this facility.</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On December 22, 2008, committed credit facilities were negotiated with Allied Irish Bank plc for $75 million. The facilities comprise a one year Euro facility of approximately €20 million ($29.4 million), with the balance comprising a three year US dollar facility. The Euro facility bears interest at EURIBOR plus a margin and the US dollar facility bears interest at LIBOR plus a margin. Both facilities are secured by certain composite guarantees and pledges in favor of the bank. As at September 30, 2009, $75 million was available to be drawn under these facilities.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As at September 30, 2009, $25 million was available to be drawn under this facility.</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favor of the bank. As at September 30, 2009, the full amount of these facilities were available to be drawn down.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BALANCE SHEETS</w:t>
      </w:r>
    </w:p>
    <w:p>
      <w:pPr>
        <w:jc w:val="center"/>
        <w:spacing w:after="0" w:line="222" w:lineRule="auto"/>
        <w:rPr>
          <w:sz w:val="20"/>
          <w:szCs w:val="20"/>
          <w:color w:val="auto"/>
        </w:rPr>
      </w:pPr>
      <w:r>
        <w:rPr>
          <w:rFonts w:ascii="Arial" w:cs="Arial" w:eastAsia="Arial" w:hAnsi="Arial"/>
          <w:sz w:val="14"/>
          <w:szCs w:val="14"/>
          <w:b w:val="1"/>
          <w:bCs w:val="1"/>
          <w:color w:val="auto"/>
        </w:rPr>
        <w:t>AS AT SEPTEMBER 30, 2009 AND DECEMBER 31, 2008</w:t>
      </w: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3140" w:type="dxa"/>
            <w:vAlign w:val="bottom"/>
          </w:tcPr>
          <w:p>
            <w:pPr>
              <w:jc w:val="right"/>
              <w:ind w:right="551"/>
              <w:spacing w:after="0"/>
              <w:rPr>
                <w:sz w:val="20"/>
                <w:szCs w:val="20"/>
                <w:color w:val="auto"/>
              </w:rPr>
            </w:pPr>
            <w:r>
              <w:rPr>
                <w:rFonts w:ascii="Arial" w:cs="Arial" w:eastAsia="Arial" w:hAnsi="Arial"/>
                <w:sz w:val="14"/>
                <w:szCs w:val="14"/>
                <w:b w:val="1"/>
                <w:bCs w:val="1"/>
                <w:color w:val="auto"/>
              </w:rPr>
              <w:t>&amp;# 160;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4"/>
          </w:tcPr>
          <w:p>
            <w:pPr>
              <w:jc w:val="right"/>
              <w:ind w:right="28"/>
              <w:spacing w:after="0" w:line="158"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gridSpan w:val="4"/>
            <w:vMerge w:val="restart"/>
          </w:tcPr>
          <w:p>
            <w:pPr>
              <w:jc w:val="center"/>
              <w:ind w:right="448"/>
              <w:spacing w:after="0"/>
              <w:rPr>
                <w:sz w:val="20"/>
                <w:szCs w:val="20"/>
                <w:color w:val="auto"/>
              </w:rPr>
            </w:pPr>
            <w:r>
              <w:rPr>
                <w:rFonts w:ascii="Arial" w:cs="Arial" w:eastAsia="Arial" w:hAnsi="Arial"/>
                <w:sz w:val="14"/>
                <w:szCs w:val="14"/>
                <w:b w:val="1"/>
                <w:bCs w:val="1"/>
                <w:color w:val="auto"/>
                <w:w w:val="71"/>
              </w:rPr>
              <w:t>thousands)</w:t>
            </w:r>
          </w:p>
        </w:tc>
        <w:tc>
          <w:tcPr>
            <w:tcW w:w="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5680" w:type="dxa"/>
            <w:vAlign w:val="bottom"/>
            <w:gridSpan w:val="2"/>
            <w:vMerge w:val="continue"/>
          </w:tcPr>
          <w:p>
            <w:pPr>
              <w:spacing w:after="0"/>
              <w:rPr>
                <w:sz w:val="8"/>
                <w:szCs w:val="8"/>
                <w:color w:val="auto"/>
              </w:rPr>
            </w:pPr>
          </w:p>
        </w:tc>
        <w:tc>
          <w:tcPr>
            <w:tcW w:w="3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56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 and cash equivalents</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68,180</w:t>
            </w:r>
          </w:p>
        </w:tc>
        <w:tc>
          <w:tcPr>
            <w:tcW w:w="4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Short term investments - available for sale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104,692</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191,962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Unbilled revenue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118,398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141,727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receivables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7,232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Deferred tax asset</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12,771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Prepayments and other current assets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29,708</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Income taxes receivable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2,234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current assets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535,177</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Property, plant and equipment, net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182,542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Goodwill</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176,144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169,344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other assets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3,138</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receivable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5,507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asset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10,604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Intangible asset</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9,028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922,140</w:t>
            </w:r>
          </w:p>
        </w:tc>
        <w:tc>
          <w:tcPr>
            <w:tcW w:w="4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867,285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LIABILITIES AND SHAREHOLDERS’ EQUITY</w:t>
            </w: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3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7,377</w:t>
            </w:r>
          </w:p>
        </w:tc>
        <w:tc>
          <w:tcPr>
            <w:tcW w:w="4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Payments on account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172,699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120,148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130,223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 liability</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Bank credit lines and loan facilities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2,570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40,193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 payable</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15,553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Total current liabilities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319,519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314,322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Long term government grants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1,861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Long term finance leases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income taxes payable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17,244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deferred tax liability</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14,283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320"/>
              <w:spacing w:after="0" w:line="149" w:lineRule="exact"/>
              <w:rPr>
                <w:sz w:val="20"/>
                <w:szCs w:val="20"/>
                <w:color w:val="auto"/>
              </w:rPr>
            </w:pPr>
            <w:r>
              <w:rPr>
                <w:rFonts w:ascii="Arial" w:cs="Arial" w:eastAsia="Arial" w:hAnsi="Arial"/>
                <w:sz w:val="14"/>
                <w:szCs w:val="14"/>
                <w:color w:val="auto"/>
              </w:rPr>
              <w:t>Non-current other liabilities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2,444</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Non-current bank credit lines &amp; loan facilities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25,700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Ordinary shares, par value 6 euro cents per share; 100,000,000 shares authorized,</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58,647,536 shares issued and outstanding at September 30, 2009 and</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58,518,195 shares issued and outstanding at December 31, 2008</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4,933</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168,290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162,057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17,996</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Retained earnings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349,635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286,210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Shareholders' Equity</w:t>
            </w:r>
          </w:p>
        </w:tc>
        <w:tc>
          <w:tcPr>
            <w:tcW w:w="3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540,854</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456,366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922,140</w:t>
            </w:r>
          </w:p>
        </w:tc>
        <w:tc>
          <w:tcPr>
            <w:tcW w:w="4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867,285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60" w:type="dxa"/>
            <w:vAlign w:val="bottom"/>
            <w:tcBorders>
              <w:top w:val="single" w:sz="8" w:color="CCEEFF"/>
            </w:tcBorders>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140" w:type="dxa"/>
            <w:vAlign w:val="bottom"/>
          </w:tcPr>
          <w:p>
            <w:pPr>
              <w:jc w:val="right"/>
              <w:ind w:right="3011"/>
              <w:spacing w:after="0"/>
              <w:rPr>
                <w:sz w:val="20"/>
                <w:szCs w:val="20"/>
                <w:color w:val="auto"/>
              </w:rPr>
            </w:pPr>
            <w:r>
              <w:rPr>
                <w:rFonts w:ascii="Arial" w:cs="Arial" w:eastAsia="Arial" w:hAnsi="Arial"/>
                <w:sz w:val="10"/>
                <w:szCs w:val="10"/>
                <w:color w:val="auto"/>
                <w:w w:val="71"/>
              </w:rPr>
              <w:t>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FOR THE THREE AND NINE MONTHS ENDED SEPTEMBER 30, 2009 AND SEPTEMBER 30, 2008 (UNAUDITED)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10"/>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5"/>
          </w:tcPr>
          <w:p>
            <w:pPr>
              <w:jc w:val="right"/>
              <w:ind w:right="68"/>
              <w:spacing w:after="0" w:line="12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4"/>
          </w:tcPr>
          <w:p>
            <w:pPr>
              <w:jc w:val="right"/>
              <w:ind w:right="128"/>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1"/>
                <w:szCs w:val="11"/>
                <w:color w:val="auto"/>
              </w:rPr>
            </w:pPr>
          </w:p>
        </w:tc>
        <w:tc>
          <w:tcPr>
            <w:tcW w:w="1180" w:type="dxa"/>
            <w:vAlign w:val="bottom"/>
            <w:gridSpan w:val="5"/>
          </w:tcPr>
          <w:p>
            <w:pPr>
              <w:jc w:val="right"/>
              <w:ind w:right="220"/>
              <w:spacing w:after="0" w:line="129" w:lineRule="exact"/>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1"/>
                <w:szCs w:val="11"/>
                <w:color w:val="auto"/>
              </w:rPr>
            </w:pPr>
          </w:p>
        </w:tc>
        <w:tc>
          <w:tcPr>
            <w:tcW w:w="1080" w:type="dxa"/>
            <w:vAlign w:val="bottom"/>
            <w:gridSpan w:val="5"/>
          </w:tcPr>
          <w:p>
            <w:pPr>
              <w:jc w:val="right"/>
              <w:ind w:right="100"/>
              <w:spacing w:after="0" w:line="12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w w:val="89"/>
              </w:rPr>
              <w:t>(in thousands except</w:t>
            </w:r>
          </w:p>
        </w:tc>
        <w:tc>
          <w:tcPr>
            <w:tcW w:w="15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86"/>
              </w:rPr>
              <w:t>share and per share data)</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74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revenue</w:t>
            </w: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317,179</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313,637</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936,686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914,082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Reimbursable expenses</w:t>
            </w: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(96,818)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4"/>
          </w:tcPr>
          <w:p>
            <w:pPr>
              <w:jc w:val="right"/>
              <w:ind w:right="88"/>
              <w:spacing w:after="0" w:line="149" w:lineRule="exact"/>
              <w:rPr>
                <w:sz w:val="20"/>
                <w:szCs w:val="20"/>
                <w:color w:val="auto"/>
              </w:rPr>
            </w:pPr>
            <w:r>
              <w:rPr>
                <w:rFonts w:ascii="Arial" w:cs="Arial" w:eastAsia="Arial" w:hAnsi="Arial"/>
                <w:sz w:val="14"/>
                <w:szCs w:val="14"/>
                <w:color w:val="auto"/>
              </w:rPr>
              <w:t>(88,126)</w:t>
            </w:r>
          </w:p>
        </w:tc>
        <w:tc>
          <w:tcPr>
            <w:tcW w:w="180" w:type="dxa"/>
            <w:vAlign w:val="bottom"/>
          </w:tcPr>
          <w:p>
            <w:pPr>
              <w:spacing w:after="0"/>
              <w:rPr>
                <w:sz w:val="13"/>
                <w:szCs w:val="13"/>
                <w:color w:val="auto"/>
              </w:rPr>
            </w:pPr>
          </w:p>
        </w:tc>
        <w:tc>
          <w:tcPr>
            <w:tcW w:w="1180" w:type="dxa"/>
            <w:vAlign w:val="bottom"/>
            <w:gridSpan w:val="5"/>
          </w:tcPr>
          <w:p>
            <w:pPr>
              <w:jc w:val="right"/>
              <w:ind w:right="180"/>
              <w:spacing w:after="0" w:line="149" w:lineRule="exact"/>
              <w:rPr>
                <w:sz w:val="20"/>
                <w:szCs w:val="20"/>
                <w:color w:val="auto"/>
              </w:rPr>
            </w:pPr>
            <w:r>
              <w:rPr>
                <w:rFonts w:ascii="Arial" w:cs="Arial" w:eastAsia="Arial" w:hAnsi="Arial"/>
                <w:sz w:val="14"/>
                <w:szCs w:val="14"/>
                <w:color w:val="auto"/>
              </w:rPr>
              <w:t>(276,493)</w:t>
            </w:r>
          </w:p>
        </w:tc>
        <w:tc>
          <w:tcPr>
            <w:tcW w:w="160" w:type="dxa"/>
            <w:vAlign w:val="bottom"/>
          </w:tcPr>
          <w:p>
            <w:pPr>
              <w:spacing w:after="0"/>
              <w:rPr>
                <w:sz w:val="13"/>
                <w:szCs w:val="13"/>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(268,927)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Net revenue</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220,361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jc w:val="right"/>
              <w:ind w:right="128"/>
              <w:spacing w:after="0" w:line="149" w:lineRule="exact"/>
              <w:rPr>
                <w:sz w:val="20"/>
                <w:szCs w:val="20"/>
                <w:color w:val="auto"/>
              </w:rPr>
            </w:pPr>
            <w:r>
              <w:rPr>
                <w:rFonts w:ascii="Arial" w:cs="Arial" w:eastAsia="Arial" w:hAnsi="Arial"/>
                <w:sz w:val="14"/>
                <w:szCs w:val="14"/>
                <w:color w:val="auto"/>
              </w:rPr>
              <w:t>225,511</w:t>
            </w:r>
          </w:p>
        </w:tc>
        <w:tc>
          <w:tcPr>
            <w:tcW w:w="180" w:type="dxa"/>
            <w:vAlign w:val="bottom"/>
          </w:tcPr>
          <w:p>
            <w:pPr>
              <w:spacing w:after="0"/>
              <w:rPr>
                <w:sz w:val="12"/>
                <w:szCs w:val="12"/>
                <w:color w:val="auto"/>
              </w:rPr>
            </w:pPr>
          </w:p>
        </w:tc>
        <w:tc>
          <w:tcPr>
            <w:tcW w:w="11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660,193</w:t>
            </w: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645,155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127,179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127,948</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376,493</w:t>
            </w: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364,113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 expense</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54,369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jc w:val="right"/>
              <w:ind w:right="128"/>
              <w:spacing w:after="0" w:line="149" w:lineRule="exact"/>
              <w:rPr>
                <w:sz w:val="20"/>
                <w:szCs w:val="20"/>
                <w:color w:val="auto"/>
              </w:rPr>
            </w:pPr>
            <w:r>
              <w:rPr>
                <w:rFonts w:ascii="Arial" w:cs="Arial" w:eastAsia="Arial" w:hAnsi="Arial"/>
                <w:sz w:val="14"/>
                <w:szCs w:val="14"/>
                <w:color w:val="auto"/>
              </w:rPr>
              <w:t>62,494</w:t>
            </w:r>
          </w:p>
        </w:tc>
        <w:tc>
          <w:tcPr>
            <w:tcW w:w="180" w:type="dxa"/>
            <w:vAlign w:val="bottom"/>
          </w:tcPr>
          <w:p>
            <w:pPr>
              <w:spacing w:after="0"/>
              <w:rPr>
                <w:sz w:val="12"/>
                <w:szCs w:val="12"/>
                <w:color w:val="auto"/>
              </w:rPr>
            </w:pPr>
          </w:p>
        </w:tc>
        <w:tc>
          <w:tcPr>
            <w:tcW w:w="11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173,637</w:t>
            </w: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187,328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8,404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7,937</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23,420</w:t>
            </w: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60"/>
              <w:spacing w:after="0" w:line="149" w:lineRule="exact"/>
              <w:rPr>
                <w:sz w:val="20"/>
                <w:szCs w:val="20"/>
                <w:color w:val="auto"/>
              </w:rPr>
            </w:pPr>
            <w:r>
              <w:rPr>
                <w:rFonts w:ascii="Arial" w:cs="Arial" w:eastAsia="Arial" w:hAnsi="Arial"/>
                <w:sz w:val="14"/>
                <w:szCs w:val="14"/>
                <w:color w:val="auto"/>
              </w:rPr>
              <w:t>One-time net charges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8,941</w:t>
            </w: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costs and expenses</w:t>
            </w: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189,952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198,379</w:t>
            </w:r>
          </w:p>
        </w:tc>
        <w:tc>
          <w:tcPr>
            <w:tcW w:w="18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582,491</w:t>
            </w:r>
          </w:p>
        </w:tc>
        <w:tc>
          <w:tcPr>
            <w:tcW w:w="160" w:type="dxa"/>
            <w:vAlign w:val="bottom"/>
            <w:shd w:val="clear" w:color="auto" w:fill="CCEEFF"/>
          </w:tcPr>
          <w:p>
            <w:pPr>
              <w:spacing w:after="0"/>
              <w:rPr>
                <w:sz w:val="13"/>
                <w:szCs w:val="13"/>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572,117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30,409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27,132</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77,702</w:t>
            </w: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73,038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619</w:t>
            </w: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(739)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(889)</w:t>
            </w:r>
          </w:p>
        </w:tc>
        <w:tc>
          <w:tcPr>
            <w:tcW w:w="18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5"/>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(2,923)</w:t>
            </w:r>
          </w:p>
        </w:tc>
        <w:tc>
          <w:tcPr>
            <w:tcW w:w="160" w:type="dxa"/>
            <w:vAlign w:val="bottom"/>
            <w:shd w:val="clear" w:color="auto" w:fill="CCEEFF"/>
          </w:tcPr>
          <w:p>
            <w:pPr>
              <w:spacing w:after="0"/>
              <w:rPr>
                <w:sz w:val="13"/>
                <w:szCs w:val="13"/>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provision for income taxes</w:t>
            </w: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26,908</w:t>
            </w:r>
          </w:p>
        </w:tc>
        <w:tc>
          <w:tcPr>
            <w:tcW w:w="180" w:type="dxa"/>
            <w:vAlign w:val="bottom"/>
            <w:shd w:val="clear" w:color="auto" w:fill="CCEEFF"/>
          </w:tcPr>
          <w:p>
            <w:pPr>
              <w:spacing w:after="0"/>
              <w:rPr>
                <w:sz w:val="12"/>
                <w:szCs w:val="12"/>
                <w:color w:val="auto"/>
              </w:rPr>
            </w:pP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75,398</w:t>
            </w: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72,295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(5,765)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4"/>
          </w:tcPr>
          <w:p>
            <w:pPr>
              <w:jc w:val="right"/>
              <w:ind w:right="88"/>
              <w:spacing w:after="0" w:line="149" w:lineRule="exact"/>
              <w:rPr>
                <w:sz w:val="20"/>
                <w:szCs w:val="20"/>
                <w:color w:val="auto"/>
              </w:rPr>
            </w:pPr>
            <w:r>
              <w:rPr>
                <w:rFonts w:ascii="Arial" w:cs="Arial" w:eastAsia="Arial" w:hAnsi="Arial"/>
                <w:sz w:val="14"/>
                <w:szCs w:val="14"/>
                <w:color w:val="auto"/>
              </w:rPr>
              <w:t>(5,355)</w:t>
            </w:r>
          </w:p>
        </w:tc>
        <w:tc>
          <w:tcPr>
            <w:tcW w:w="180" w:type="dxa"/>
            <w:vAlign w:val="bottom"/>
          </w:tcPr>
          <w:p>
            <w:pPr>
              <w:spacing w:after="0"/>
              <w:rPr>
                <w:sz w:val="12"/>
                <w:szCs w:val="12"/>
                <w:color w:val="auto"/>
              </w:rPr>
            </w:pPr>
          </w:p>
        </w:tc>
        <w:tc>
          <w:tcPr>
            <w:tcW w:w="1180" w:type="dxa"/>
            <w:vAlign w:val="bottom"/>
            <w:gridSpan w:val="5"/>
          </w:tcPr>
          <w:p>
            <w:pPr>
              <w:jc w:val="right"/>
              <w:ind w:right="180"/>
              <w:spacing w:after="0" w:line="149" w:lineRule="exact"/>
              <w:rPr>
                <w:sz w:val="20"/>
                <w:szCs w:val="20"/>
                <w:color w:val="auto"/>
              </w:rPr>
            </w:pPr>
            <w:r>
              <w:rPr>
                <w:rFonts w:ascii="Arial" w:cs="Arial" w:eastAsia="Arial" w:hAnsi="Arial"/>
                <w:sz w:val="14"/>
                <w:szCs w:val="14"/>
                <w:color w:val="auto"/>
              </w:rPr>
              <w:t>(11,973)</w:t>
            </w: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1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gridSpan w:val="4"/>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(173)</w:t>
            </w:r>
          </w:p>
        </w:tc>
        <w:tc>
          <w:tcPr>
            <w:tcW w:w="18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20" w:type="dxa"/>
            <w:vAlign w:val="bottom"/>
            <w:tcBorders>
              <w:top w:val="single" w:sz="8" w:color="CCEEFF"/>
            </w:tcBorders>
          </w:tcPr>
          <w:p>
            <w:pPr>
              <w:spacing w:after="0"/>
              <w:rPr>
                <w:sz w:val="12"/>
                <w:szCs w:val="12"/>
                <w:color w:val="auto"/>
              </w:rPr>
            </w:pPr>
          </w:p>
        </w:tc>
        <w:tc>
          <w:tcPr>
            <w:tcW w:w="13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23,951</w:t>
            </w:r>
          </w:p>
        </w:tc>
        <w:tc>
          <w:tcPr>
            <w:tcW w:w="1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21,380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63,425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tcPr>
          <w:p>
            <w:pPr>
              <w:spacing w:after="0" w:line="142" w:lineRule="exact"/>
              <w:rPr>
                <w:sz w:val="20"/>
                <w:szCs w:val="20"/>
                <w:color w:val="auto"/>
              </w:rPr>
            </w:pPr>
            <w:r>
              <w:rPr>
                <w:rFonts w:ascii="Arial" w:cs="Arial" w:eastAsia="Arial" w:hAnsi="Arial"/>
                <w:sz w:val="14"/>
                <w:szCs w:val="14"/>
                <w:color w:val="auto"/>
              </w:rPr>
              <w:t>Net income per Ordinary Share:</w:t>
            </w:r>
          </w:p>
        </w:tc>
        <w:tc>
          <w:tcPr>
            <w:tcW w:w="13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0.37</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tcBorders>
              <w:right w:val="single" w:sz="8" w:color="CCEEFF"/>
            </w:tcBorders>
            <w:gridSpan w:val="5"/>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ind w:left="140"/>
              <w:spacing w:after="0" w:line="142" w:lineRule="exact"/>
              <w:rPr>
                <w:sz w:val="20"/>
                <w:szCs w:val="20"/>
                <w:color w:val="auto"/>
              </w:rPr>
            </w:pPr>
            <w:r>
              <w:rPr>
                <w:rFonts w:ascii="Arial" w:cs="Arial" w:eastAsia="Arial" w:hAnsi="Arial"/>
                <w:sz w:val="14"/>
                <w:szCs w:val="14"/>
                <w:color w:val="auto"/>
              </w:rPr>
              <w:t>Diluted</w:t>
            </w:r>
          </w:p>
        </w:tc>
        <w:tc>
          <w:tcPr>
            <w:tcW w:w="15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0.40</w:t>
            </w:r>
          </w:p>
        </w:tc>
        <w:tc>
          <w:tcPr>
            <w:tcW w:w="140" w:type="dxa"/>
            <w:vAlign w:val="bottom"/>
          </w:tcPr>
          <w:p>
            <w:pPr>
              <w:spacing w:after="0"/>
              <w:rPr>
                <w:sz w:val="12"/>
                <w:szCs w:val="12"/>
                <w:color w:val="auto"/>
              </w:rPr>
            </w:pPr>
          </w:p>
        </w:tc>
        <w:tc>
          <w:tcPr>
            <w:tcW w:w="36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4"/>
          </w:tcPr>
          <w:p>
            <w:pPr>
              <w:jc w:val="right"/>
              <w:ind w:right="128"/>
              <w:spacing w:after="0" w:line="142" w:lineRule="exact"/>
              <w:rPr>
                <w:sz w:val="20"/>
                <w:szCs w:val="20"/>
                <w:color w:val="auto"/>
              </w:rPr>
            </w:pPr>
            <w:r>
              <w:rPr>
                <w:rFonts w:ascii="Arial" w:cs="Arial" w:eastAsia="Arial" w:hAnsi="Arial"/>
                <w:sz w:val="14"/>
                <w:szCs w:val="14"/>
                <w:color w:val="auto"/>
              </w:rPr>
              <w:t>0.35</w:t>
            </w:r>
          </w:p>
        </w:tc>
        <w:tc>
          <w:tcPr>
            <w:tcW w:w="18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gridSpan w:val="5"/>
          </w:tcPr>
          <w:p>
            <w:pPr>
              <w:jc w:val="right"/>
              <w:ind w:right="220"/>
              <w:spacing w:after="0" w:line="142" w:lineRule="exact"/>
              <w:rPr>
                <w:sz w:val="20"/>
                <w:szCs w:val="20"/>
                <w:color w:val="auto"/>
              </w:rPr>
            </w:pPr>
            <w:r>
              <w:rPr>
                <w:rFonts w:ascii="Arial" w:cs="Arial" w:eastAsia="Arial" w:hAnsi="Arial"/>
                <w:sz w:val="14"/>
                <w:szCs w:val="14"/>
                <w:color w:val="auto"/>
              </w:rPr>
              <w:t>1.06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gridSpan w:val="5"/>
          </w:tcPr>
          <w:p>
            <w:pPr>
              <w:jc w:val="right"/>
              <w:ind w:right="100"/>
              <w:spacing w:after="0" w:line="142" w:lineRule="exact"/>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tcPr>
          <w:p>
            <w:pPr>
              <w:spacing w:after="0" w:line="149" w:lineRule="exact"/>
              <w:rPr>
                <w:sz w:val="20"/>
                <w:szCs w:val="20"/>
                <w:color w:val="auto"/>
              </w:rPr>
            </w:pPr>
            <w:r>
              <w:rPr>
                <w:rFonts w:ascii="Arial" w:cs="Arial" w:eastAsia="Arial" w:hAnsi="Arial"/>
                <w:sz w:val="14"/>
                <w:szCs w:val="14"/>
                <w:color w:val="auto"/>
              </w:rPr>
              <w:t>Weighted average number of Ordinary Shares outstanding:</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40"/>
              <w:spacing w:after="0" w:line="149" w:lineRule="exact"/>
              <w:rPr>
                <w:sz w:val="20"/>
                <w:szCs w:val="20"/>
                <w:color w:val="auto"/>
              </w:rPr>
            </w:pPr>
            <w:r>
              <w:rPr>
                <w:rFonts w:ascii="Arial" w:cs="Arial" w:eastAsia="Arial" w:hAnsi="Arial"/>
                <w:sz w:val="14"/>
                <w:szCs w:val="14"/>
                <w:color w:val="auto"/>
              </w:rPr>
              <w:t>Basic</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58,624,028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58,451,960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58,579,402</w:t>
            </w: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58,156,869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ind w:left="140"/>
              <w:spacing w:after="0" w:line="149" w:lineRule="exact"/>
              <w:rPr>
                <w:sz w:val="20"/>
                <w:szCs w:val="20"/>
                <w:color w:val="auto"/>
              </w:rPr>
            </w:pPr>
            <w:r>
              <w:rPr>
                <w:rFonts w:ascii="Arial" w:cs="Arial" w:eastAsia="Arial" w:hAnsi="Arial"/>
                <w:sz w:val="14"/>
                <w:szCs w:val="14"/>
                <w:color w:val="auto"/>
              </w:rPr>
              <w:t>Diluted</w:t>
            </w: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59,953,574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61,847,265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5"/>
          </w:tcPr>
          <w:p>
            <w:pPr>
              <w:jc w:val="right"/>
              <w:ind w:right="220"/>
              <w:spacing w:after="0" w:line="149" w:lineRule="exact"/>
              <w:rPr>
                <w:sz w:val="20"/>
                <w:szCs w:val="20"/>
                <w:color w:val="auto"/>
              </w:rPr>
            </w:pPr>
            <w:r>
              <w:rPr>
                <w:rFonts w:ascii="Arial" w:cs="Arial" w:eastAsia="Arial" w:hAnsi="Arial"/>
                <w:sz w:val="14"/>
                <w:szCs w:val="14"/>
                <w:color w:val="auto"/>
              </w:rPr>
              <w:t>59,781,092</w:t>
            </w: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61,357,893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680" w:right="5680" w:hanging="5669"/>
        <w:spacing w:after="0" w:line="499" w:lineRule="auto"/>
        <w:rPr>
          <w:sz w:val="20"/>
          <w:szCs w:val="20"/>
          <w:color w:val="auto"/>
        </w:rPr>
      </w:pPr>
      <w:r>
        <w:rPr>
          <w:rFonts w:ascii="Arial" w:cs="Arial" w:eastAsia="Arial" w:hAnsi="Arial"/>
          <w:sz w:val="12"/>
          <w:szCs w:val="12"/>
          <w:color w:val="auto"/>
        </w:rPr>
        <w:t>The accompanying notes are an integral part of these condensed consolidated financial statements.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239395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CONDENSED CONSOLIDATED STATEMENTS OF CASH FLOWS</w:t>
      </w:r>
    </w:p>
    <w:p>
      <w:pPr>
        <w:jc w:val="center"/>
        <w:spacing w:after="0" w:line="222" w:lineRule="auto"/>
        <w:rPr>
          <w:sz w:val="20"/>
          <w:szCs w:val="20"/>
          <w:color w:val="auto"/>
        </w:rPr>
      </w:pPr>
      <w:r>
        <w:rPr>
          <w:rFonts w:ascii="Arial" w:cs="Arial" w:eastAsia="Arial" w:hAnsi="Arial"/>
          <w:sz w:val="14"/>
          <w:szCs w:val="14"/>
          <w:b w:val="1"/>
          <w:bCs w:val="1"/>
          <w:color w:val="auto"/>
        </w:rPr>
        <w:t>FOR THE NINE MONTHS ENDED SEPTEMBER 30, 2009 AND SEPTEMBER 30, 2008</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jc w:val="right"/>
              <w:ind w:right="68"/>
              <w:spacing w:after="0" w:line="12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5"/>
          </w:tcPr>
          <w:p>
            <w:pPr>
              <w:jc w:val="right"/>
              <w:ind w:right="100"/>
              <w:spacing w:after="0" w:line="12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1"/>
              </w:rPr>
              <w:t>(in</w:t>
            </w:r>
          </w:p>
        </w:tc>
        <w:tc>
          <w:tcPr>
            <w:tcW w:w="102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71"/>
              </w:rPr>
              <w:t>thousands)</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680" w:type="dxa"/>
            <w:vAlign w:val="bottom"/>
            <w:gridSpan w:val="2"/>
            <w:vMerge w:val="continue"/>
          </w:tcPr>
          <w:p>
            <w:pPr>
              <w:spacing w:after="0"/>
              <w:rPr>
                <w:sz w:val="9"/>
                <w:szCs w:val="9"/>
                <w:color w:val="auto"/>
              </w:rPr>
            </w:pPr>
          </w:p>
        </w:tc>
        <w:tc>
          <w:tcPr>
            <w:tcW w:w="3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63,425</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57,095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23,420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20,676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grants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Share compensation expense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Deferred taxes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(7,516)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Decrease /(increase) in accounts receivable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27,463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(53,749)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Decrease in unbilled revenue</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20,516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Decrease/(increase) in other receivables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4,375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(8,011)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prepayments and other current assets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(4,028)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Increase in other non current assets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(959)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payments on account</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50,300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Increase in other liabilities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10,370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32,905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Increase in other non current liabilities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Increase in income taxes payable</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15,446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Decrease in accounts payable</w:t>
            </w:r>
          </w:p>
        </w:tc>
        <w:tc>
          <w:tcPr>
            <w:tcW w:w="3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(10,539)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Borders>
              <w:top w:val="single" w:sz="8" w:color="CCEEFF"/>
            </w:tcBorders>
          </w:tcPr>
          <w:p>
            <w:pPr>
              <w:spacing w:after="0"/>
              <w:rPr>
                <w:sz w:val="12"/>
                <w:szCs w:val="12"/>
                <w:color w:val="auto"/>
              </w:rPr>
            </w:pPr>
          </w:p>
        </w:tc>
        <w:tc>
          <w:tcPr>
            <w:tcW w:w="31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198,373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86,035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Purchase of property, plant and equipment</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(26,023)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(53,565)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Purchase of subsidiary undertakings and acquisition costs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(25,932)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Purchase of short term investments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(126,087)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Sale of short term investments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66,564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60"/>
              <w:spacing w:after="0" w:line="149" w:lineRule="exact"/>
              <w:rPr>
                <w:sz w:val="20"/>
                <w:szCs w:val="20"/>
                <w:color w:val="auto"/>
              </w:rPr>
            </w:pPr>
            <w:r>
              <w:rPr>
                <w:rFonts w:ascii="Arial" w:cs="Arial" w:eastAsia="Arial" w:hAnsi="Arial"/>
                <w:sz w:val="14"/>
                <w:szCs w:val="14"/>
                <w:color w:val="auto"/>
              </w:rPr>
              <w:t>Cash received on acquisition</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Grants received</w:t>
            </w:r>
          </w:p>
        </w:tc>
        <w:tc>
          <w:tcPr>
            <w:tcW w:w="3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(110,945)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(66,111)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Drawdown of bank credit lines and loan facilities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Repayment of credit lines and facilities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(98,370)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(44,412)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share options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Share issuance costs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(69)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the exercise of share options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Repayment of other liabilities</w:t>
            </w: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(216)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financing activities</w:t>
            </w:r>
          </w:p>
        </w:tc>
        <w:tc>
          <w:tcPr>
            <w:tcW w:w="3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(79,875)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Effect of exchange rate movements on cash</w:t>
            </w:r>
          </w:p>
        </w:tc>
        <w:tc>
          <w:tcPr>
            <w:tcW w:w="3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increase in cash and cash equivalents</w:t>
            </w:r>
          </w:p>
        </w:tc>
        <w:tc>
          <w:tcPr>
            <w:tcW w:w="3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15,547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3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58,378</w:t>
            </w:r>
          </w:p>
        </w:tc>
        <w:tc>
          <w:tcPr>
            <w:tcW w:w="140" w:type="dxa"/>
            <w:vAlign w:val="bottom"/>
          </w:tcPr>
          <w:p>
            <w:pPr>
              <w:spacing w:after="0"/>
              <w:rPr>
                <w:sz w:val="13"/>
                <w:szCs w:val="13"/>
                <w:color w:val="auto"/>
              </w:rPr>
            </w:pPr>
          </w:p>
        </w:tc>
        <w:tc>
          <w:tcPr>
            <w:tcW w:w="2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76,881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6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 end of period</w:t>
            </w:r>
          </w:p>
        </w:tc>
        <w:tc>
          <w:tcPr>
            <w:tcW w:w="3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68,180</w:t>
            </w:r>
          </w:p>
        </w:tc>
        <w:tc>
          <w:tcPr>
            <w:tcW w:w="140" w:type="dxa"/>
            <w:vAlign w:val="bottom"/>
          </w:tcPr>
          <w:p>
            <w:pPr>
              <w:spacing w:after="0"/>
              <w:rPr>
                <w:sz w:val="12"/>
                <w:szCs w:val="12"/>
                <w:color w:val="auto"/>
              </w:rPr>
            </w:pPr>
          </w:p>
        </w:tc>
        <w:tc>
          <w:tcPr>
            <w:tcW w:w="2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92,428</w:t>
            </w:r>
          </w:p>
        </w:tc>
        <w:tc>
          <w:tcPr>
            <w:tcW w:w="0" w:type="dxa"/>
            <w:vAlign w:val="bottom"/>
          </w:tcPr>
          <w:p>
            <w:pPr>
              <w:spacing w:after="0"/>
              <w:rPr>
                <w:sz w:val="1"/>
                <w:szCs w:val="1"/>
                <w:color w:val="auto"/>
              </w:rPr>
            </w:pPr>
          </w:p>
        </w:tc>
      </w:tr>
      <w:tr>
        <w:trPr>
          <w:trHeight w:val="21"/>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w w:val="91"/>
              </w:rPr>
              <w:t>The accompanying notes are an integral part of these condensed consolidated financial statements.</w:t>
            </w:r>
          </w:p>
        </w:tc>
        <w:tc>
          <w:tcPr>
            <w:tcW w:w="3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680" w:type="dxa"/>
            <w:vAlign w:val="bottom"/>
            <w:gridSpan w:val="2"/>
            <w:vMerge w:val="continue"/>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140" w:type="dxa"/>
            <w:vAlign w:val="bottom"/>
          </w:tcPr>
          <w:p>
            <w:pPr>
              <w:jc w:val="right"/>
              <w:ind w:right="3013"/>
              <w:spacing w:after="0"/>
              <w:rPr>
                <w:sz w:val="20"/>
                <w:szCs w:val="20"/>
                <w:color w:val="auto"/>
              </w:rPr>
            </w:pPr>
            <w:r>
              <w:rPr>
                <w:rFonts w:ascii="Arial" w:cs="Arial" w:eastAsia="Arial" w:hAnsi="Arial"/>
                <w:sz w:val="10"/>
                <w:szCs w:val="10"/>
                <w:color w:val="auto"/>
                <w:w w:val="71"/>
              </w:rPr>
              <w:t>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660" w:type="dxa"/>
            <w:vAlign w:val="bottom"/>
            <w:tcBorders>
              <w:bottom w:val="single" w:sz="8" w:color="808080"/>
            </w:tcBorders>
          </w:tcPr>
          <w:p>
            <w:pPr>
              <w:spacing w:after="0"/>
              <w:rPr>
                <w:sz w:val="8"/>
                <w:szCs w:val="8"/>
                <w:color w:val="auto"/>
              </w:rPr>
            </w:pPr>
          </w:p>
        </w:tc>
        <w:tc>
          <w:tcPr>
            <w:tcW w:w="3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EQUITY AND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2"/>
                <w:szCs w:val="12"/>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1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6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12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rPr>
              <w:t>Income</w:t>
            </w:r>
          </w:p>
        </w:tc>
        <w:tc>
          <w:tcPr>
            <w:tcW w:w="680" w:type="dxa"/>
            <w:vAlign w:val="bottom"/>
          </w:tcPr>
          <w:p>
            <w:pPr>
              <w:spacing w:after="0"/>
              <w:rPr>
                <w:sz w:val="13"/>
                <w:szCs w:val="13"/>
                <w:color w:val="auto"/>
              </w:rPr>
            </w:pPr>
          </w:p>
        </w:tc>
        <w:tc>
          <w:tcPr>
            <w:tcW w:w="660" w:type="dxa"/>
            <w:vAlign w:val="bottom"/>
            <w:gridSpan w:val="2"/>
          </w:tcPr>
          <w:p>
            <w:pPr>
              <w:jc w:val="right"/>
              <w:ind w:right="100"/>
              <w:spacing w:after="0" w:line="158" w:lineRule="exact"/>
              <w:rPr>
                <w:sz w:val="20"/>
                <w:szCs w:val="20"/>
                <w:color w:val="auto"/>
              </w:rPr>
            </w:pPr>
            <w:r>
              <w:rPr>
                <w:rFonts w:ascii="Arial" w:cs="Arial" w:eastAsia="Arial" w:hAnsi="Arial"/>
                <w:sz w:val="14"/>
                <w:szCs w:val="14"/>
                <w:b w:val="1"/>
                <w:bCs w:val="1"/>
                <w:color w:val="auto"/>
                <w:w w:val="90"/>
              </w:rPr>
              <w:t>Earnings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2008</w:t>
            </w:r>
          </w:p>
        </w:tc>
        <w:tc>
          <w:tcPr>
            <w:tcW w:w="1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58,518,195</w:t>
            </w:r>
          </w:p>
        </w:tc>
        <w:tc>
          <w:tcPr>
            <w:tcW w:w="4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4,921</w:t>
            </w:r>
          </w:p>
        </w:tc>
        <w:tc>
          <w:tcPr>
            <w:tcW w:w="4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162,057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3,178</w:t>
            </w:r>
          </w:p>
        </w:tc>
        <w:tc>
          <w:tcPr>
            <w:tcW w:w="68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286,210</w:t>
            </w:r>
          </w:p>
        </w:tc>
        <w:tc>
          <w:tcPr>
            <w:tcW w:w="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456,366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63,425</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63,425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Currency translation adjustment (net of tax)</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14,818</w:t>
            </w: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Total comprehensive income</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00"/>
              <w:spacing w:after="0" w:line="149" w:lineRule="exact"/>
              <w:rPr>
                <w:sz w:val="20"/>
                <w:szCs w:val="20"/>
                <w:color w:val="auto"/>
              </w:rPr>
            </w:pPr>
            <w:r>
              <w:rPr>
                <w:rFonts w:ascii="Arial" w:cs="Arial" w:eastAsia="Arial" w:hAnsi="Arial"/>
                <w:sz w:val="14"/>
                <w:szCs w:val="14"/>
                <w:color w:val="auto"/>
              </w:rPr>
              <w:t>Share issuance costs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Exercise of share options</w:t>
            </w:r>
          </w:p>
        </w:tc>
        <w:tc>
          <w:tcPr>
            <w:tcW w:w="12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129,341</w:t>
            </w:r>
          </w:p>
        </w:tc>
        <w:tc>
          <w:tcPr>
            <w:tcW w:w="4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00"/>
              <w:spacing w:after="0" w:line="149" w:lineRule="exact"/>
              <w:rPr>
                <w:sz w:val="20"/>
                <w:szCs w:val="20"/>
                <w:color w:val="auto"/>
              </w:rPr>
            </w:pPr>
            <w:r>
              <w:rPr>
                <w:rFonts w:ascii="Arial" w:cs="Arial" w:eastAsia="Arial" w:hAnsi="Arial"/>
                <w:sz w:val="14"/>
                <w:szCs w:val="14"/>
                <w:color w:val="auto"/>
              </w:rPr>
              <w:t>Non-cash stock compensation expense</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Tax benefit on exercise of share options</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September 30, 2009</w:t>
            </w:r>
          </w:p>
        </w:tc>
        <w:tc>
          <w:tcPr>
            <w:tcW w:w="1280" w:type="dxa"/>
            <w:vAlign w:val="bottom"/>
            <w:tcBorders>
              <w:bottom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58,647,536</w:t>
            </w:r>
          </w:p>
        </w:tc>
        <w:tc>
          <w:tcPr>
            <w:tcW w:w="48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4,933</w:t>
            </w:r>
          </w:p>
        </w:tc>
        <w:tc>
          <w:tcPr>
            <w:tcW w:w="46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168,290</w:t>
            </w: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17,996</w:t>
            </w:r>
          </w:p>
        </w:tc>
        <w:tc>
          <w:tcPr>
            <w:tcW w:w="680" w:type="dxa"/>
            <w:vAlign w:val="bottom"/>
            <w:tcBorders>
              <w:bottom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349,635</w:t>
            </w:r>
          </w:p>
        </w:tc>
        <w:tc>
          <w:tcPr>
            <w:tcW w:w="480" w:type="dxa"/>
            <w:vAlign w:val="bottom"/>
            <w:tcBorders>
              <w:bottom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540,854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5680" w:right="5680" w:hanging="5669"/>
        <w:spacing w:after="0" w:line="416" w:lineRule="auto"/>
        <w:rPr>
          <w:sz w:val="20"/>
          <w:szCs w:val="20"/>
          <w:color w:val="auto"/>
        </w:rPr>
      </w:pPr>
      <w:r>
        <w:rPr>
          <w:rFonts w:ascii="Arial" w:cs="Arial" w:eastAsia="Arial" w:hAnsi="Arial"/>
          <w:sz w:val="12"/>
          <w:szCs w:val="12"/>
          <w:color w:val="auto"/>
        </w:rPr>
        <w:t>The accompanying notes are an integral part of these condensed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ICON plc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CONDENSED CONSOLIDATED FINANCIAL STATEMENTS</w:t>
      </w:r>
    </w:p>
    <w:p>
      <w:pPr>
        <w:jc w:val="center"/>
        <w:spacing w:after="0" w:line="226" w:lineRule="auto"/>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Basis of Presentation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condensed consolidated financial statements should be read in conjunction with the accounting policies and notes to the consolidated financial statements included in ICON’s Form 20-F for the year ended December 31, 2008. Operating results for the nine months ended September 30, 2009, are not necessarily indicative of the results that may be expected for the fiscal period ending December 31, 2009.</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In June 2009, the Financial Accounting Standards Board (“FASB”) issued the FASB Accounting Standards Codification (the “ASC”). The ASC has become the single source of non-governmental accounting principles generally accepted in the United States (“GAAP”) recognized by the FASB in the preparation of financial statements. The ASC does not supersede the rules or regulations of the Securities and Exchange Commission (“SEC”), therefore, the rules and interpretive releases of the SEC continue to be additional sources of GAAP for the Company. The Company adopted the ASC as of July 1, 2009. The ASC does not change GAAP and did not have an effect on the Company’s financial position, results of operations or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gridSpan w:val="2"/>
          </w:tcPr>
          <w:p>
            <w:pPr>
              <w:spacing w:after="0"/>
              <w:rPr>
                <w:sz w:val="20"/>
                <w:szCs w:val="20"/>
                <w:color w:val="auto"/>
              </w:rPr>
            </w:pPr>
            <w:r>
              <w:rPr>
                <w:rFonts w:ascii="Arial" w:cs="Arial" w:eastAsia="Arial" w:hAnsi="Arial"/>
                <w:sz w:val="14"/>
                <w:szCs w:val="14"/>
                <w:b w:val="1"/>
                <w:bCs w:val="1"/>
                <w:color w:val="auto"/>
              </w:rPr>
              <w:t>2. Goodwill</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58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4"/>
                <w:szCs w:val="24"/>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0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71"/>
              </w:rPr>
              <w:t>thousands)</w:t>
            </w:r>
          </w:p>
        </w:tc>
        <w:tc>
          <w:tcPr>
            <w:tcW w:w="80" w:type="dxa"/>
            <w:vAlign w:val="bottom"/>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Opening balance</w:t>
            </w:r>
          </w:p>
        </w:tc>
        <w:tc>
          <w:tcPr>
            <w:tcW w:w="4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169,344</w:t>
            </w:r>
          </w:p>
        </w:tc>
        <w:tc>
          <w:tcPr>
            <w:tcW w:w="50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123,879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Payments made in respect of current period acquisitions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3"/>
          </w:tcPr>
          <w:p>
            <w:pPr>
              <w:jc w:val="right"/>
              <w:ind w:right="33"/>
              <w:spacing w:after="0" w:line="149" w:lineRule="exact"/>
              <w:rPr>
                <w:sz w:val="20"/>
                <w:szCs w:val="20"/>
                <w:color w:val="auto"/>
              </w:rPr>
            </w:pPr>
            <w:r>
              <w:rPr>
                <w:rFonts w:ascii="Arial" w:cs="Arial" w:eastAsia="Arial" w:hAnsi="Arial"/>
                <w:sz w:val="14"/>
                <w:szCs w:val="14"/>
                <w:color w:val="auto"/>
              </w:rPr>
              <w:t>2,006</w:t>
            </w:r>
          </w:p>
        </w:tc>
        <w:tc>
          <w:tcPr>
            <w:tcW w:w="500" w:type="dxa"/>
            <w:vAlign w:val="bottom"/>
          </w:tcPr>
          <w:p>
            <w:pPr>
              <w:spacing w:after="0"/>
              <w:rPr>
                <w:sz w:val="12"/>
                <w:szCs w:val="12"/>
                <w:color w:val="auto"/>
              </w:rPr>
            </w:pP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55,674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made in respect of prior period acquisitions</w:t>
            </w: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Foreign exchange movement</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3"/>
          </w:tcPr>
          <w:p>
            <w:pPr>
              <w:jc w:val="right"/>
              <w:ind w:right="33"/>
              <w:spacing w:after="0" w:line="149" w:lineRule="exact"/>
              <w:rPr>
                <w:sz w:val="20"/>
                <w:szCs w:val="20"/>
                <w:color w:val="auto"/>
              </w:rPr>
            </w:pPr>
            <w:r>
              <w:rPr>
                <w:rFonts w:ascii="Arial" w:cs="Arial" w:eastAsia="Arial" w:hAnsi="Arial"/>
                <w:sz w:val="14"/>
                <w:szCs w:val="14"/>
                <w:color w:val="auto"/>
              </w:rPr>
              <w:t>4,313</w:t>
            </w:r>
          </w:p>
        </w:tc>
        <w:tc>
          <w:tcPr>
            <w:tcW w:w="500" w:type="dxa"/>
            <w:vAlign w:val="bottom"/>
          </w:tcPr>
          <w:p>
            <w:pPr>
              <w:spacing w:after="0"/>
              <w:rPr>
                <w:sz w:val="13"/>
                <w:szCs w:val="13"/>
                <w:color w:val="auto"/>
              </w:rPr>
            </w:pPr>
          </w:p>
        </w:tc>
        <w:tc>
          <w:tcPr>
            <w:tcW w:w="102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(10,209)</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7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continue"/>
          </w:tcPr>
          <w:p>
            <w:pPr>
              <w:spacing w:after="0"/>
              <w:rPr>
                <w:sz w:val="12"/>
                <w:szCs w:val="12"/>
                <w:color w:val="auto"/>
              </w:rPr>
            </w:pPr>
          </w:p>
        </w:tc>
        <w:tc>
          <w:tcPr>
            <w:tcW w:w="7300" w:type="dxa"/>
            <w:vAlign w:val="bottom"/>
          </w:tcPr>
          <w:p>
            <w:pPr>
              <w:spacing w:after="0" w:line="149" w:lineRule="exact"/>
              <w:rPr>
                <w:sz w:val="20"/>
                <w:szCs w:val="20"/>
                <w:color w:val="auto"/>
              </w:rPr>
            </w:pPr>
            <w:r>
              <w:rPr>
                <w:rFonts w:ascii="Arial" w:cs="Arial" w:eastAsia="Arial" w:hAnsi="Arial"/>
                <w:sz w:val="14"/>
                <w:szCs w:val="14"/>
                <w:color w:val="auto"/>
              </w:rPr>
              <w:t>Closing balance</w:t>
            </w:r>
          </w:p>
        </w:tc>
        <w:tc>
          <w:tcPr>
            <w:tcW w:w="480" w:type="dxa"/>
            <w:vAlign w:val="bottom"/>
            <w:tcBorders>
              <w:bottom w:val="single" w:sz="8" w:color="auto"/>
            </w:tcBorders>
            <w:gridSpan w:val="2"/>
          </w:tcPr>
          <w:p>
            <w:pPr>
              <w:jc w:val="right"/>
              <w:ind w:right="400"/>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3"/>
          </w:tcPr>
          <w:p>
            <w:pPr>
              <w:jc w:val="right"/>
              <w:ind w:right="33"/>
              <w:spacing w:after="0" w:line="149" w:lineRule="exact"/>
              <w:rPr>
                <w:sz w:val="20"/>
                <w:szCs w:val="20"/>
                <w:color w:val="auto"/>
              </w:rPr>
            </w:pPr>
            <w:r>
              <w:rPr>
                <w:rFonts w:ascii="Arial" w:cs="Arial" w:eastAsia="Arial" w:hAnsi="Arial"/>
                <w:sz w:val="14"/>
                <w:szCs w:val="14"/>
                <w:color w:val="auto"/>
              </w:rPr>
              <w:t>176,144</w:t>
            </w:r>
          </w:p>
        </w:tc>
        <w:tc>
          <w:tcPr>
            <w:tcW w:w="50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4"/>
          </w:tcPr>
          <w:p>
            <w:pPr>
              <w:jc w:val="right"/>
              <w:ind w:right="20"/>
              <w:spacing w:after="0" w:line="149" w:lineRule="exact"/>
              <w:rPr>
                <w:sz w:val="20"/>
                <w:szCs w:val="20"/>
                <w:color w:val="auto"/>
              </w:rPr>
            </w:pPr>
            <w:r>
              <w:rPr>
                <w:rFonts w:ascii="Arial" w:cs="Arial" w:eastAsia="Arial" w:hAnsi="Arial"/>
                <w:sz w:val="14"/>
                <w:szCs w:val="14"/>
                <w:color w:val="auto"/>
              </w:rPr>
              <w:t>169,344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Acquisitions during the nine months ended September 30, 2009</w:t>
      </w:r>
    </w:p>
    <w:p>
      <w:pPr>
        <w:spacing w:after="0" w:line="200" w:lineRule="exact"/>
        <w:rPr>
          <w:sz w:val="20"/>
          <w:szCs w:val="20"/>
          <w:color w:val="auto"/>
        </w:rPr>
      </w:pPr>
    </w:p>
    <w:p>
      <w:pPr>
        <w:spacing w:after="0" w:line="27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During the nine months ended September 30, 2009, the Company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are considered individually significant. In aggregate, the total purchase price for these acquisitions was approximately $2.2 million. The excess of the consideration paid over the carrying value of the assets acquired of $0.2 million, has been recorded as goodwill of $2.0 million, pending the Company’s finalization of the allocation of total consideration paid to acquire net tangible and intangible assets. These acquisitions have been accounted for in accordance with the Financial Accounting Standards Board’s new pronouncement on business combinations which is effective for all acquisitions which have taken place since January 1, 2009.</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Prior Period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remaining 30% interest in Beacon Biosciences Inc.</w:t>
      </w:r>
    </w:p>
    <w:p>
      <w:pPr>
        <w:spacing w:after="0" w:line="23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No amounts have been accrued in respect of the additional consideration payable.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9" w:name="page10"/>
    <w:bookmarkEnd w:id="9"/>
    <w:p>
      <w:pPr>
        <w:jc w:val="both"/>
        <w:spacing w:after="0" w:line="234" w:lineRule="auto"/>
        <w:rPr>
          <w:sz w:val="20"/>
          <w:szCs w:val="20"/>
          <w:color w:val="auto"/>
        </w:rPr>
      </w:pPr>
      <w:r>
        <w:rPr>
          <w:rFonts w:ascii="Arial" w:cs="Arial" w:eastAsia="Arial" w:hAnsi="Arial"/>
          <w:sz w:val="14"/>
          <w:szCs w:val="14"/>
          <w:color w:val="auto"/>
        </w:rPr>
        <w:t xml:space="preserve">The acquisition of Beacon has been accounted for as a business combination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excess of consideration paid of $17.8 million, including costs of acquisition, over the carrying value of minority interest of $1.5 million, has been recorded as goodwill of $16.3 million, pending the Company’s finalization of the allocation of total consideration paid to acquired net tangible and intangible assets. This will be completed prior to December 31, 2009. Goodwill represents the acquisition of the minority interest in the net assets of Beacon.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Prevalere Life Sciences Inc.</w:t>
      </w:r>
    </w:p>
    <w:p>
      <w:pPr>
        <w:spacing w:after="0" w:line="23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$37.7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On April 30, 2009, $5.0 million was paid in respect of the milestones for the year ended December 31, 2008. No amounts have been accrued for amounts potentially payable in respect of the year ended December 31, 2009.</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Prevalere has been accounted for as a business combination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November 14,</w:t>
            </w: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 thousands)</w:t>
            </w: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38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2,614</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38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7,375</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38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29,566</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38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38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6,504</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2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800" w:type="dxa"/>
            <w:vAlign w:val="bottom"/>
          </w:tcPr>
          <w:p>
            <w:pPr>
              <w:spacing w:after="0"/>
              <w:rPr>
                <w:sz w:val="13"/>
                <w:szCs w:val="13"/>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(2,827)</w:t>
            </w:r>
          </w:p>
        </w:tc>
      </w:tr>
      <w:tr>
        <w:trPr>
          <w:trHeight w:val="189"/>
        </w:trPr>
        <w:tc>
          <w:tcPr>
            <w:tcW w:w="20" w:type="dxa"/>
            <w:vAlign w:val="bottom"/>
          </w:tcPr>
          <w:p>
            <w:pPr>
              <w:spacing w:after="0"/>
              <w:rPr>
                <w:sz w:val="16"/>
                <w:szCs w:val="16"/>
                <w:color w:val="auto"/>
              </w:rPr>
            </w:pPr>
          </w:p>
        </w:tc>
        <w:tc>
          <w:tcPr>
            <w:tcW w:w="52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3800" w:type="dxa"/>
            <w:vAlign w:val="bottom"/>
            <w:tcBorders>
              <w:top w:val="single" w:sz="8" w:color="auto"/>
              <w:bottom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43,502</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Goodwill represents the acquisition of an established workforce with experience in the provision of bioanalytical and immunoassay services to pharmaceutical and biotechnology companies and allows ICON to participate in a growing market for these services.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Acquisition of Healthcare Discoveries Inc.</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additional amounts have been paid as these milestones were not achieved during the year ended December 31, 2008.</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 xml:space="preserve">The acquisition of Healthcare Discoveries has been accounted for as a business combination in accordance with FASB Statement No. 141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(“SFAS 141”). The following table summarises the fair values of the assets acquired and the liabilities assumed at the date of acquisition.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February 11,</w:t>
            </w: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2008</w:t>
            </w: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 thousands)</w:t>
            </w: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4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w:t>
            </w: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Intangible assets</w:t>
            </w:r>
          </w:p>
        </w:tc>
        <w:tc>
          <w:tcPr>
            <w:tcW w:w="438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2,890</w:t>
            </w: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4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9,995</w:t>
            </w:r>
          </w:p>
        </w:tc>
      </w:tr>
      <w:tr>
        <w:trPr>
          <w:trHeight w:val="149"/>
        </w:trPr>
        <w:tc>
          <w:tcPr>
            <w:tcW w:w="20" w:type="dxa"/>
            <w:vAlign w:val="bottom"/>
          </w:tcPr>
          <w:p>
            <w:pPr>
              <w:spacing w:after="0"/>
              <w:rPr>
                <w:sz w:val="12"/>
                <w:szCs w:val="12"/>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4380" w:type="dxa"/>
            <w:vAlign w:val="bottom"/>
          </w:tcPr>
          <w:p>
            <w:pPr>
              <w:spacing w:after="0"/>
              <w:rPr>
                <w:sz w:val="12"/>
                <w:szCs w:val="12"/>
                <w:color w:val="auto"/>
              </w:rPr>
            </w:pP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r>
      <w:tr>
        <w:trPr>
          <w:trHeight w:val="149"/>
        </w:trPr>
        <w:tc>
          <w:tcPr>
            <w:tcW w:w="20" w:type="dxa"/>
            <w:vAlign w:val="bottom"/>
          </w:tcPr>
          <w:p>
            <w:pPr>
              <w:spacing w:after="0"/>
              <w:rPr>
                <w:sz w:val="12"/>
                <w:szCs w:val="12"/>
                <w:color w:val="auto"/>
              </w:rPr>
            </w:pPr>
          </w:p>
        </w:tc>
        <w:tc>
          <w:tcPr>
            <w:tcW w:w="5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 assets</w:t>
            </w:r>
          </w:p>
        </w:tc>
        <w:tc>
          <w:tcPr>
            <w:tcW w:w="43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575</w:t>
            </w:r>
          </w:p>
        </w:tc>
      </w:tr>
      <w:tr>
        <w:trPr>
          <w:trHeight w:val="156"/>
        </w:trPr>
        <w:tc>
          <w:tcPr>
            <w:tcW w:w="20" w:type="dxa"/>
            <w:vAlign w:val="bottom"/>
          </w:tcPr>
          <w:p>
            <w:pPr>
              <w:spacing w:after="0"/>
              <w:rPr>
                <w:sz w:val="13"/>
                <w:szCs w:val="13"/>
                <w:color w:val="auto"/>
              </w:rPr>
            </w:pPr>
          </w:p>
        </w:tc>
        <w:tc>
          <w:tcPr>
            <w:tcW w:w="57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4380" w:type="dxa"/>
            <w:vAlign w:val="bottom"/>
          </w:tcPr>
          <w:p>
            <w:pPr>
              <w:spacing w:after="0"/>
              <w:rPr>
                <w:sz w:val="13"/>
                <w:szCs w:val="13"/>
                <w:color w:val="auto"/>
              </w:rPr>
            </w:pPr>
          </w:p>
        </w:tc>
        <w:tc>
          <w:tcPr>
            <w:tcW w:w="1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(1,951)</w:t>
            </w:r>
          </w:p>
        </w:tc>
      </w:tr>
      <w:tr>
        <w:trPr>
          <w:trHeight w:val="189"/>
        </w:trPr>
        <w:tc>
          <w:tcPr>
            <w:tcW w:w="20" w:type="dxa"/>
            <w:vAlign w:val="bottom"/>
          </w:tcPr>
          <w:p>
            <w:pPr>
              <w:spacing w:after="0"/>
              <w:rPr>
                <w:sz w:val="16"/>
                <w:szCs w:val="16"/>
                <w:color w:val="auto"/>
              </w:rPr>
            </w:pPr>
          </w:p>
        </w:tc>
        <w:tc>
          <w:tcPr>
            <w:tcW w:w="5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Purchase price</w:t>
            </w:r>
          </w:p>
        </w:tc>
        <w:tc>
          <w:tcPr>
            <w:tcW w:w="4380" w:type="dxa"/>
            <w:vAlign w:val="bottom"/>
            <w:tcBorders>
              <w:top w:val="single" w:sz="8" w:color="auto"/>
              <w:bottom w:val="single" w:sz="8" w:color="auto"/>
            </w:tcBorders>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11,841</w:t>
            </w:r>
          </w:p>
        </w:tc>
        <w:tc>
          <w:tcPr>
            <w:tcW w:w="100" w:type="dxa"/>
            <w:vAlign w:val="bottom"/>
            <w:tcBorders>
              <w:bottom w:val="single" w:sz="8" w:color="CCEEFF"/>
            </w:tcBorders>
            <w:shd w:val="clear" w:color="auto" w:fill="CCEEFF"/>
          </w:tcPr>
          <w:p>
            <w:pPr>
              <w:spacing w:after="0"/>
              <w:rPr>
                <w:sz w:val="16"/>
                <w:szCs w:val="1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Goodwill represents the acquisition of an established workforce with experience in the provision of Phase I clinical trial management services to pharmaceutical and biotechnology companies.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One-time net charges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One-time net charges recognized during the nine months ended September 30, 2009, comprise:</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gridSpan w:val="2"/>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500" w:type="dxa"/>
            <w:vAlign w:val="bottom"/>
          </w:tcPr>
          <w:p>
            <w:pPr>
              <w:spacing w:after="0"/>
              <w:rPr>
                <w:sz w:val="11"/>
                <w:szCs w:val="11"/>
                <w:color w:val="auto"/>
              </w:rPr>
            </w:pPr>
          </w:p>
        </w:tc>
        <w:tc>
          <w:tcPr>
            <w:tcW w:w="108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Sept 30,</w:t>
            </w:r>
          </w:p>
        </w:tc>
        <w:tc>
          <w:tcPr>
            <w:tcW w:w="22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70"/>
              </w:rPr>
              <w:t>Sept</w:t>
            </w:r>
          </w:p>
        </w:tc>
        <w:tc>
          <w:tcPr>
            <w:tcW w:w="38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30,</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jc w:val="right"/>
              <w:ind w:right="528"/>
              <w:spacing w:after="0" w:line="129" w:lineRule="exact"/>
              <w:rPr>
                <w:sz w:val="20"/>
                <w:szCs w:val="20"/>
                <w:color w:val="auto"/>
              </w:rPr>
            </w:pPr>
            <w:r>
              <w:rPr>
                <w:rFonts w:ascii="Arial" w:cs="Arial" w:eastAsia="Arial" w:hAnsi="Arial"/>
                <w:sz w:val="14"/>
                <w:szCs w:val="14"/>
                <w:b w:val="1"/>
                <w:bCs w:val="1"/>
                <w:color w:val="auto"/>
                <w:w w:val="89"/>
              </w:rPr>
              <w:t>Sept 30,</w:t>
            </w:r>
          </w:p>
        </w:tc>
        <w:tc>
          <w:tcPr>
            <w:tcW w:w="6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29"/>
        </w:trPr>
        <w:tc>
          <w:tcPr>
            <w:tcW w:w="7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vMerge w:val="restart"/>
          </w:tcPr>
          <w:p>
            <w:pPr>
              <w:spacing w:after="0"/>
              <w:rPr>
                <w:sz w:val="20"/>
                <w:szCs w:val="20"/>
                <w:color w:val="auto"/>
              </w:rPr>
            </w:pPr>
            <w:r>
              <w:rPr>
                <w:rFonts w:ascii="Arial" w:cs="Arial" w:eastAsia="Arial" w:hAnsi="Arial"/>
                <w:sz w:val="13"/>
                <w:szCs w:val="13"/>
                <w:b w:val="1"/>
                <w:bCs w:val="1"/>
                <w:color w:val="auto"/>
                <w:w w:val="74"/>
              </w:rPr>
              <w:t>thousands)</w:t>
            </w: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2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ind w:right="93"/>
              <w:spacing w:after="0" w:line="143" w:lineRule="exact"/>
              <w:rPr>
                <w:sz w:val="20"/>
                <w:szCs w:val="20"/>
                <w:color w:val="auto"/>
              </w:rPr>
            </w:pPr>
            <w:r>
              <w:rPr>
                <w:rFonts w:ascii="Arial" w:cs="Arial" w:eastAsia="Arial" w:hAnsi="Arial"/>
                <w:sz w:val="13"/>
                <w:szCs w:val="13"/>
                <w:b w:val="1"/>
                <w:bCs w:val="1"/>
                <w:color w:val="auto"/>
                <w:w w:val="75"/>
              </w:rPr>
              <w:t>(in</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Restructuring charge</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5"/>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13,434</w:t>
            </w:r>
          </w:p>
        </w:tc>
        <w:tc>
          <w:tcPr>
            <w:tcW w:w="6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5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Research and development incentives</w:t>
            </w:r>
          </w:p>
        </w:tc>
        <w:tc>
          <w:tcPr>
            <w:tcW w:w="5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right"/>
              <w:ind w:right="488"/>
              <w:spacing w:after="0" w:line="149" w:lineRule="exact"/>
              <w:rPr>
                <w:sz w:val="20"/>
                <w:szCs w:val="20"/>
                <w:color w:val="auto"/>
              </w:rPr>
            </w:pPr>
            <w:r>
              <w:rPr>
                <w:rFonts w:ascii="Arial" w:cs="Arial" w:eastAsia="Arial" w:hAnsi="Arial"/>
                <w:sz w:val="14"/>
                <w:szCs w:val="14"/>
                <w:color w:val="auto"/>
              </w:rPr>
              <w:t>(4,493)</w:t>
            </w:r>
          </w:p>
        </w:tc>
        <w:tc>
          <w:tcPr>
            <w:tcW w:w="52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5"/>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8,941</w:t>
            </w:r>
          </w:p>
        </w:tc>
        <w:tc>
          <w:tcPr>
            <w:tcW w:w="52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Charge</w:t>
      </w:r>
    </w:p>
    <w:p>
      <w:pPr>
        <w:spacing w:after="0" w:line="231"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In response to the globalization of clinical studies and its attendant impact on resources in existing and emerging markets, the Company conducted a review of its existing infrastructure to better align its resources with the needs of its clients. This realignment resulted in resource rationalizations in certain more mature markets in which the Company operates. A restructuring charge of $13.4 million was recognised during the three months ended June 30, 2009, comprising $8.3 million in respect of office consolidations and $5.1 million is respect of workforce reductions.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 Tax Incentives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Company has received research and development incentives in certain jurisdictions in which it operates. Income of $4.5 million has been recognized during the nine months ended September 30, 2009, in respect of these incentives.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4. Income Taxes</w:t>
            </w: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6"/>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Three Months Ended</w:t>
            </w:r>
          </w:p>
        </w:tc>
        <w:tc>
          <w:tcPr>
            <w:tcW w:w="3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gridSpan w:val="10"/>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6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rPr>
              <w:t>30,</w:t>
            </w:r>
          </w:p>
        </w:tc>
        <w:tc>
          <w:tcPr>
            <w:tcW w:w="5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Sept 30,</w:t>
            </w:r>
          </w:p>
        </w:tc>
        <w:tc>
          <w:tcPr>
            <w:tcW w:w="54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w w:val="70"/>
              </w:rPr>
              <w:t>Sept</w:t>
            </w:r>
          </w:p>
        </w:tc>
        <w:tc>
          <w:tcPr>
            <w:tcW w:w="3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 30,</w:t>
            </w:r>
          </w:p>
        </w:tc>
        <w:tc>
          <w:tcPr>
            <w:tcW w:w="480" w:type="dxa"/>
            <w:vAlign w:val="bottom"/>
          </w:tcPr>
          <w:p>
            <w:pPr>
              <w:spacing w:after="0"/>
              <w:rPr>
                <w:sz w:val="11"/>
                <w:szCs w:val="11"/>
                <w:color w:val="auto"/>
              </w:rPr>
            </w:pPr>
          </w:p>
        </w:tc>
        <w:tc>
          <w:tcPr>
            <w:tcW w:w="6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4"/>
              </w:rPr>
              <w:t>thousands)</w:t>
            </w: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2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ind w:right="93"/>
              <w:spacing w:after="0" w:line="143" w:lineRule="exact"/>
              <w:rPr>
                <w:sz w:val="20"/>
                <w:szCs w:val="20"/>
                <w:color w:val="auto"/>
              </w:rPr>
            </w:pPr>
            <w:r>
              <w:rPr>
                <w:rFonts w:ascii="Arial" w:cs="Arial" w:eastAsia="Arial" w:hAnsi="Arial"/>
                <w:sz w:val="13"/>
                <w:szCs w:val="13"/>
                <w:b w:val="1"/>
                <w:bCs w:val="1"/>
                <w:color w:val="auto"/>
                <w:w w:val="75"/>
              </w:rPr>
              <w:t>(in</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3"/>
              </w:rPr>
              <w:t>(in</w:t>
            </w: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before one-time credits</w:t>
            </w:r>
          </w:p>
        </w:tc>
        <w:tc>
          <w:tcPr>
            <w:tcW w:w="3260" w:type="dxa"/>
            <w:vAlign w:val="bottom"/>
            <w:tcBorders>
              <w:right w:val="single" w:sz="8" w:color="CCEEFF"/>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5,765</w:t>
            </w:r>
          </w:p>
        </w:tc>
        <w:tc>
          <w:tcPr>
            <w:tcW w:w="540" w:type="dxa"/>
            <w:vAlign w:val="bottom"/>
            <w:shd w:val="clear" w:color="auto" w:fill="CCEEFF"/>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5,355</w:t>
            </w:r>
          </w:p>
        </w:tc>
        <w:tc>
          <w:tcPr>
            <w:tcW w:w="52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16,687</w:t>
            </w: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One-time credits</w:t>
            </w:r>
          </w:p>
        </w:tc>
        <w:tc>
          <w:tcPr>
            <w:tcW w:w="3260" w:type="dxa"/>
            <w:vAlign w:val="bottom"/>
          </w:tcPr>
          <w:p>
            <w:pPr>
              <w:spacing w:after="0"/>
              <w:rPr>
                <w:sz w:val="13"/>
                <w:szCs w:val="13"/>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3"/>
                <w:szCs w:val="13"/>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gridSpan w:val="4"/>
          </w:tcPr>
          <w:p>
            <w:pPr>
              <w:jc w:val="right"/>
              <w:ind w:right="8"/>
              <w:spacing w:after="0" w:line="149" w:lineRule="exact"/>
              <w:rPr>
                <w:sz w:val="20"/>
                <w:szCs w:val="20"/>
                <w:color w:val="auto"/>
              </w:rPr>
            </w:pPr>
            <w:r>
              <w:rPr>
                <w:rFonts w:ascii="Arial" w:cs="Arial" w:eastAsia="Arial" w:hAnsi="Arial"/>
                <w:sz w:val="14"/>
                <w:szCs w:val="14"/>
                <w:color w:val="auto"/>
              </w:rPr>
              <w:t>(4,714)</w:t>
            </w:r>
          </w:p>
        </w:tc>
        <w:tc>
          <w:tcPr>
            <w:tcW w:w="480" w:type="dxa"/>
            <w:vAlign w:val="bottom"/>
          </w:tcPr>
          <w:p>
            <w:pPr>
              <w:spacing w:after="0"/>
              <w:rPr>
                <w:sz w:val="13"/>
                <w:szCs w:val="13"/>
                <w:color w:val="auto"/>
              </w:rPr>
            </w:pPr>
          </w:p>
        </w:tc>
        <w:tc>
          <w:tcPr>
            <w:tcW w:w="6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60" w:type="dxa"/>
            <w:vAlign w:val="bottom"/>
            <w:tcBorders>
              <w:top w:val="single" w:sz="8" w:color="auto"/>
            </w:tcBorders>
            <w:shd w:val="clear" w:color="auto" w:fill="CCEEFF"/>
          </w:tcPr>
          <w:p>
            <w:pPr>
              <w:spacing w:after="0"/>
              <w:rPr>
                <w:sz w:val="12"/>
                <w:szCs w:val="12"/>
                <w:color w:val="auto"/>
              </w:rPr>
            </w:pPr>
          </w:p>
        </w:tc>
        <w:tc>
          <w:tcPr>
            <w:tcW w:w="3260" w:type="dxa"/>
            <w:vAlign w:val="bottom"/>
            <w:tcBorders>
              <w:top w:val="single" w:sz="8" w:color="auto"/>
              <w:righ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right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tcPr>
          <w:p>
            <w:pPr>
              <w:spacing w:after="0" w:line="149" w:lineRule="exact"/>
              <w:rPr>
                <w:sz w:val="20"/>
                <w:szCs w:val="20"/>
                <w:color w:val="auto"/>
              </w:rPr>
            </w:pPr>
            <w:r>
              <w:rPr>
                <w:rFonts w:ascii="Arial" w:cs="Arial" w:eastAsia="Arial" w:hAnsi="Arial"/>
                <w:sz w:val="14"/>
                <w:szCs w:val="14"/>
                <w:color w:val="auto"/>
              </w:rPr>
              <w:t>Provision for income taxes after one time credits</w:t>
            </w:r>
          </w:p>
        </w:tc>
        <w:tc>
          <w:tcPr>
            <w:tcW w:w="32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5,765</w:t>
            </w:r>
          </w:p>
        </w:tc>
        <w:tc>
          <w:tcPr>
            <w:tcW w:w="540" w:type="dxa"/>
            <w:vAlign w:val="bottom"/>
          </w:tcPr>
          <w:p>
            <w:pPr>
              <w:jc w:val="right"/>
              <w:ind w:right="29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5,355</w:t>
            </w:r>
          </w:p>
        </w:tc>
        <w:tc>
          <w:tcPr>
            <w:tcW w:w="52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48"/>
              <w:spacing w:after="0" w:line="149" w:lineRule="exact"/>
              <w:rPr>
                <w:sz w:val="20"/>
                <w:szCs w:val="20"/>
                <w:color w:val="auto"/>
              </w:rPr>
            </w:pPr>
            <w:r>
              <w:rPr>
                <w:rFonts w:ascii="Arial" w:cs="Arial" w:eastAsia="Arial" w:hAnsi="Arial"/>
                <w:sz w:val="14"/>
                <w:szCs w:val="14"/>
                <w:color w:val="auto"/>
              </w:rPr>
              <w:t>11,973</w:t>
            </w: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60" w:type="dxa"/>
            <w:vAlign w:val="bottom"/>
            <w:tcBorders>
              <w:top w:val="single" w:sz="8" w:color="auto"/>
              <w:bottom w:val="single" w:sz="8" w:color="auto"/>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60" w:type="dxa"/>
            <w:vAlign w:val="bottom"/>
          </w:tcPr>
          <w:p>
            <w:pPr>
              <w:jc w:val="right"/>
              <w:ind w:right="1688"/>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6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4"/>
          <w:szCs w:val="14"/>
          <w:color w:val="auto"/>
        </w:rPr>
        <w:t>Provision for income taxes for the nine months ended September 30, 2009, are inclusive of one-time credits which comprise corporation tax refunds arising from research and development tax credits received in certain jurisdictions in which the Company operates and the tax effect of restructuring costs recognized.</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at September 30, 2009, the Company maintains a $13.3 million liability (December 31, 2008: $11.1 million) for unrecognized tax benefit, which is comprised of $10.3 million (December 31, 2008: $9.3 million) related to items generating unrecognized tax benefits and $3.0 million (December 31, 2008: $1.8 million) for interest and related penalties to such items. The Company recognizes interest accrued on unrecognized tax benefits as an additional income tax expense.</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2004 through 2008 tax years. The Company does not believe that the outcome of any examination will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Net income per ordinary share</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reconciliation of the number of shares used in the computation of basic and diluted net income per ordinary share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80" w:type="dxa"/>
            <w:vAlign w:val="bottom"/>
            <w:gridSpan w:val="9"/>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460" w:type="dxa"/>
            <w:vAlign w:val="bottom"/>
            <w:gridSpan w:val="10"/>
          </w:tcPr>
          <w:p>
            <w:pPr>
              <w:ind w:lef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Sept 30,</w:t>
            </w:r>
          </w:p>
        </w:tc>
        <w:tc>
          <w:tcPr>
            <w:tcW w:w="760" w:type="dxa"/>
            <w:vAlign w:val="bottom"/>
            <w:tcBorders>
              <w:top w:val="single" w:sz="8" w:color="auto"/>
            </w:tcBorders>
          </w:tcPr>
          <w:p>
            <w:pPr>
              <w:spacing w:after="0"/>
              <w:rPr>
                <w:sz w:val="11"/>
                <w:szCs w:val="11"/>
                <w:color w:val="auto"/>
              </w:rPr>
            </w:pPr>
          </w:p>
        </w:tc>
        <w:tc>
          <w:tcPr>
            <w:tcW w:w="960" w:type="dxa"/>
            <w:vAlign w:val="bottom"/>
            <w:gridSpan w:val="4"/>
          </w:tcPr>
          <w:p>
            <w:pPr>
              <w:ind w:left="120"/>
              <w:spacing w:after="0" w:line="129" w:lineRule="exact"/>
              <w:rPr>
                <w:sz w:val="20"/>
                <w:szCs w:val="20"/>
                <w:color w:val="auto"/>
              </w:rPr>
            </w:pPr>
            <w:r>
              <w:rPr>
                <w:rFonts w:ascii="Arial" w:cs="Arial" w:eastAsia="Arial" w:hAnsi="Arial"/>
                <w:sz w:val="14"/>
                <w:szCs w:val="14"/>
                <w:b w:val="1"/>
                <w:bCs w:val="1"/>
                <w:color w:val="auto"/>
              </w:rPr>
              <w:t>Sept 30,</w:t>
            </w:r>
          </w:p>
        </w:tc>
        <w:tc>
          <w:tcPr>
            <w:tcW w:w="5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85"/>
              </w:rPr>
              <w:t>Sept 30,</w:t>
            </w:r>
          </w:p>
        </w:tc>
        <w:tc>
          <w:tcPr>
            <w:tcW w:w="360" w:type="dxa"/>
            <w:vAlign w:val="bottom"/>
            <w:tcBorders>
              <w:top w:val="single" w:sz="8" w:color="auto"/>
            </w:tcBorders>
          </w:tcPr>
          <w:p>
            <w:pPr>
              <w:spacing w:after="0"/>
              <w:rPr>
                <w:sz w:val="11"/>
                <w:szCs w:val="11"/>
                <w:color w:val="auto"/>
              </w:rPr>
            </w:pPr>
          </w:p>
        </w:tc>
        <w:tc>
          <w:tcPr>
            <w:tcW w:w="740" w:type="dxa"/>
            <w:vAlign w:val="bottom"/>
            <w:gridSpan w:val="4"/>
          </w:tcPr>
          <w:p>
            <w:pPr>
              <w:ind w:left="140"/>
              <w:spacing w:after="0" w:line="129" w:lineRule="exact"/>
              <w:rPr>
                <w:sz w:val="20"/>
                <w:szCs w:val="20"/>
                <w:color w:val="auto"/>
              </w:rPr>
            </w:pPr>
            <w:r>
              <w:rPr>
                <w:rFonts w:ascii="Arial" w:cs="Arial" w:eastAsia="Arial" w:hAnsi="Arial"/>
                <w:sz w:val="14"/>
                <w:szCs w:val="14"/>
                <w:b w:val="1"/>
                <w:bCs w:val="1"/>
                <w:color w:val="auto"/>
              </w:rPr>
              <w:t>Sept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2009</w:t>
            </w:r>
          </w:p>
        </w:tc>
        <w:tc>
          <w:tcPr>
            <w:tcW w:w="880" w:type="dxa"/>
            <w:vAlign w:val="bottom"/>
            <w:gridSpan w:val="2"/>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Weighted average number of ordinary shares outstanding for basic net income per ordinary share</w:t>
            </w:r>
          </w:p>
        </w:tc>
        <w:tc>
          <w:tcPr>
            <w:tcW w:w="11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58,624,028</w:t>
            </w:r>
          </w:p>
        </w:tc>
        <w:tc>
          <w:tcPr>
            <w:tcW w:w="138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58,451,960</w:t>
            </w:r>
          </w:p>
        </w:tc>
        <w:tc>
          <w:tcPr>
            <w:tcW w:w="340" w:type="dxa"/>
            <w:vAlign w:val="bottom"/>
            <w:shd w:val="clear" w:color="auto" w:fill="CCEEFF"/>
          </w:tcPr>
          <w:p>
            <w:pPr>
              <w:spacing w:after="0"/>
              <w:rPr>
                <w:sz w:val="12"/>
                <w:szCs w:val="12"/>
                <w:color w:val="auto"/>
              </w:rPr>
            </w:pPr>
          </w:p>
        </w:tc>
        <w:tc>
          <w:tcPr>
            <w:tcW w:w="1360" w:type="dxa"/>
            <w:vAlign w:val="bottom"/>
            <w:gridSpan w:val="5"/>
            <w:shd w:val="clear" w:color="auto" w:fill="CCEEFF"/>
          </w:tcPr>
          <w:p>
            <w:pPr>
              <w:jc w:val="right"/>
              <w:ind w:right="360"/>
              <w:spacing w:after="0" w:line="142" w:lineRule="exact"/>
              <w:rPr>
                <w:sz w:val="20"/>
                <w:szCs w:val="20"/>
                <w:color w:val="auto"/>
              </w:rPr>
            </w:pPr>
            <w:r>
              <w:rPr>
                <w:rFonts w:ascii="Arial" w:cs="Arial" w:eastAsia="Arial" w:hAnsi="Arial"/>
                <w:sz w:val="14"/>
                <w:szCs w:val="14"/>
                <w:color w:val="auto"/>
              </w:rPr>
              <w:t>58,579,402</w:t>
            </w:r>
          </w:p>
        </w:tc>
        <w:tc>
          <w:tcPr>
            <w:tcW w:w="1100" w:type="dxa"/>
            <w:vAlign w:val="bottom"/>
            <w:gridSpan w:val="5"/>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58,156,869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Effect of dilutive share options outstanding</w:t>
            </w:r>
          </w:p>
        </w:tc>
        <w:tc>
          <w:tcPr>
            <w:tcW w:w="116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1,329,546</w:t>
            </w:r>
          </w:p>
        </w:tc>
        <w:tc>
          <w:tcPr>
            <w:tcW w:w="138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3,395,305</w:t>
            </w: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360"/>
              <w:spacing w:after="0" w:line="149" w:lineRule="exact"/>
              <w:rPr>
                <w:sz w:val="20"/>
                <w:szCs w:val="20"/>
                <w:color w:val="auto"/>
              </w:rPr>
            </w:pPr>
            <w:r>
              <w:rPr>
                <w:rFonts w:ascii="Arial" w:cs="Arial" w:eastAsia="Arial" w:hAnsi="Arial"/>
                <w:sz w:val="14"/>
                <w:szCs w:val="14"/>
                <w:color w:val="auto"/>
              </w:rPr>
              <w:t>1,201,690</w:t>
            </w:r>
          </w:p>
        </w:tc>
        <w:tc>
          <w:tcPr>
            <w:tcW w:w="100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3,201,024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 average number of ordinary shares for diluted net income per ordinary share</w:t>
            </w:r>
          </w:p>
        </w:tc>
        <w:tc>
          <w:tcPr>
            <w:tcW w:w="116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59,953,574</w:t>
            </w:r>
          </w:p>
        </w:tc>
        <w:tc>
          <w:tcPr>
            <w:tcW w:w="138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61,847,265</w:t>
            </w:r>
          </w:p>
        </w:tc>
        <w:tc>
          <w:tcPr>
            <w:tcW w:w="3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gridSpan w:val="5"/>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59,781,092</w:t>
            </w:r>
          </w:p>
        </w:tc>
        <w:tc>
          <w:tcPr>
            <w:tcW w:w="1000" w:type="dxa"/>
            <w:vAlign w:val="bottom"/>
            <w:tcBorders>
              <w:bottom w:val="single" w:sz="8" w:color="auto"/>
            </w:tcBorders>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61,357,893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Stock Options</w:t>
      </w:r>
    </w:p>
    <w:p>
      <w:pPr>
        <w:spacing w:after="0" w:line="235" w:lineRule="exact"/>
        <w:rPr>
          <w:sz w:val="20"/>
          <w:szCs w:val="20"/>
          <w:color w:val="auto"/>
        </w:rPr>
      </w:pPr>
    </w:p>
    <w:p>
      <w:pPr>
        <w:jc w:val="both"/>
        <w:ind w:right="20"/>
        <w:spacing w:after="0" w:line="234" w:lineRule="auto"/>
        <w:rPr>
          <w:sz w:val="20"/>
          <w:szCs w:val="20"/>
          <w:color w:val="auto"/>
        </w:rPr>
      </w:pPr>
      <w:r>
        <w:rPr>
          <w:rFonts w:ascii="Arial" w:cs="Arial" w:eastAsia="Arial" w:hAnsi="Arial"/>
          <w:sz w:val="14"/>
          <w:szCs w:val="14"/>
          <w:color w:val="auto"/>
        </w:rPr>
        <w:t>On July 21, 2008, the Company adopted the Employee Share Option Plan 2008 (the “2008 Employee Plan”) pursuant to which the Compensation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Committee of the Company’s Board of Directors may grant options to any consultant, adviser or non-executive director retained by the Company or any Subsidiary for the purchase of ordinary shares.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Each option granted under the 2008 Employee Plan or the 2008 Consultants Plan (together the “2008 Option plans”) will be an employee stock option, or NSO, as described in Section 422 or 423 of the Code. Each grant of an option under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2" w:name="page13"/>
    <w:bookmarkEnd w:id="12"/>
    <w:p>
      <w:pPr>
        <w:jc w:val="both"/>
        <w:spacing w:after="0" w:line="234" w:lineRule="auto"/>
        <w:rPr>
          <w:sz w:val="20"/>
          <w:szCs w:val="20"/>
          <w:color w:val="auto"/>
        </w:rPr>
      </w:pPr>
      <w:r>
        <w:rPr>
          <w:rFonts w:ascii="Arial" w:cs="Arial" w:eastAsia="Arial" w:hAnsi="Arial"/>
          <w:sz w:val="14"/>
          <w:szCs w:val="14"/>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July 21, 2018.</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July 21, 2008, the Company adopted the the 2008 Employees Restricted Share Unit Plan (the “2008 RSU Plan”) pursuant to which the Compensation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Plan may be settled in cash or shares.</w:t>
      </w:r>
    </w:p>
    <w:p>
      <w:pPr>
        <w:spacing w:after="0" w:line="210" w:lineRule="exact"/>
        <w:rPr>
          <w:sz w:val="20"/>
          <w:szCs w:val="20"/>
          <w:color w:val="auto"/>
        </w:rPr>
      </w:pPr>
    </w:p>
    <w:p>
      <w:pPr>
        <w:ind w:right="360"/>
        <w:spacing w:after="0" w:line="238" w:lineRule="auto"/>
        <w:rPr>
          <w:sz w:val="20"/>
          <w:szCs w:val="20"/>
          <w:color w:val="auto"/>
        </w:rPr>
      </w:pPr>
      <w:r>
        <w:rPr>
          <w:rFonts w:ascii="Arial" w:cs="Arial" w:eastAsia="Arial" w:hAnsi="Arial"/>
          <w:sz w:val="14"/>
          <w:szCs w:val="14"/>
          <w:color w:val="auto"/>
        </w:rPr>
        <w:t>On January 17, 2003, the Company adopted the Share Option Plan 2003 (the “2003 Plan”) pursuant to which the Compensation Committee of the Board may grant options to officers and other employees of the Company or its subsidiaries for the purchase of ordinary shares. Each grant of an option under the 2003 Plan will be evidenced by a Stock Option Agreement between the employee and the Company. The exercise price will be specified in each Stock Option Agreement.</w:t>
      </w:r>
    </w:p>
    <w:p>
      <w:pPr>
        <w:spacing w:after="0" w:line="210"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unless the Board expressly determines otherwise. Further, the maximum number of ordinary shares with respect to which options may be granted under the 2003 Plan during any calendar year to any employee shall be 400,000 ordinary shares. Share option awards are granted with an exercise price equal to the market price of the Company’s shares at date of grant. Share options typically vest over a period of five years from date of grant and expire eight years from date of grant. No options can be granted after January 17,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6080" w:type="dxa"/>
            <w:vAlign w:val="bottom"/>
            <w:gridSpan w:val="2"/>
          </w:tcPr>
          <w:p>
            <w:pPr>
              <w:spacing w:after="0"/>
              <w:rPr>
                <w:sz w:val="20"/>
                <w:szCs w:val="20"/>
                <w:color w:val="auto"/>
              </w:rPr>
            </w:pPr>
            <w:r>
              <w:rPr>
                <w:rFonts w:ascii="Arial" w:cs="Arial" w:eastAsia="Arial" w:hAnsi="Arial"/>
                <w:sz w:val="14"/>
                <w:szCs w:val="14"/>
                <w:color w:val="auto"/>
              </w:rPr>
              <w:t>The following table summarizes option activity for the nine months ended September 30, 2009:</w:t>
            </w:r>
          </w:p>
        </w:tc>
        <w:tc>
          <w:tcPr>
            <w:tcW w:w="1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3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Pr>
          <w:p>
            <w:pPr>
              <w:spacing w:after="0"/>
              <w:rPr>
                <w:sz w:val="24"/>
                <w:szCs w:val="24"/>
                <w:color w:val="auto"/>
              </w:rPr>
            </w:pP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Weighted</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Weighted</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Outstanding</w:t>
            </w:r>
          </w:p>
        </w:tc>
        <w:tc>
          <w:tcPr>
            <w:tcW w:w="38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jc w:val="center"/>
              <w:ind w:left="348"/>
              <w:spacing w:after="0" w:line="149" w:lineRule="exact"/>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9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Exercise</w:t>
            </w:r>
          </w:p>
        </w:tc>
        <w:tc>
          <w:tcPr>
            <w:tcW w:w="380" w:type="dxa"/>
            <w:vAlign w:val="bottom"/>
          </w:tcPr>
          <w:p>
            <w:pPr>
              <w:spacing w:after="0"/>
              <w:rPr>
                <w:sz w:val="12"/>
                <w:szCs w:val="12"/>
                <w:color w:val="auto"/>
              </w:rPr>
            </w:pPr>
          </w:p>
        </w:tc>
        <w:tc>
          <w:tcPr>
            <w:tcW w:w="11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Average</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00" w:type="dxa"/>
            <w:vAlign w:val="bottom"/>
          </w:tcPr>
          <w:p>
            <w:pPr>
              <w:jc w:val="center"/>
              <w:ind w:left="368"/>
              <w:spacing w:after="0"/>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w:t>
            </w:r>
          </w:p>
        </w:tc>
        <w:tc>
          <w:tcPr>
            <w:tcW w:w="380" w:type="dxa"/>
            <w:vAlign w:val="bottom"/>
          </w:tcPr>
          <w:p>
            <w:pPr>
              <w:spacing w:after="0"/>
              <w:rPr>
                <w:sz w:val="16"/>
                <w:szCs w:val="16"/>
                <w:color w:val="auto"/>
              </w:rPr>
            </w:pP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 Value</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Outstanding at December 31, 2008</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5,222,263</w:t>
            </w:r>
          </w:p>
        </w:tc>
        <w:tc>
          <w:tcPr>
            <w:tcW w:w="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17.98</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7.24</w:t>
            </w:r>
          </w:p>
        </w:tc>
        <w:tc>
          <w:tcPr>
            <w:tcW w:w="10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932,133</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21.54</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8.47</w:t>
            </w: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3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(129,341)</w:t>
            </w:r>
          </w:p>
        </w:tc>
        <w:tc>
          <w:tcPr>
            <w:tcW w:w="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9.88</w:t>
            </w:r>
          </w:p>
        </w:tc>
        <w:tc>
          <w:tcPr>
            <w:tcW w:w="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4.40</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3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(310,164)</w:t>
            </w:r>
          </w:p>
        </w:tc>
        <w:tc>
          <w:tcPr>
            <w:tcW w:w="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21.03</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8.17</w:t>
            </w:r>
          </w:p>
        </w:tc>
        <w:tc>
          <w:tcPr>
            <w:tcW w:w="10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September 30, 2009</w:t>
            </w:r>
          </w:p>
        </w:tc>
        <w:tc>
          <w:tcPr>
            <w:tcW w:w="13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5,714,891</w:t>
            </w:r>
          </w:p>
        </w:tc>
        <w:tc>
          <w:tcPr>
            <w:tcW w:w="3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18.57</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7.45</w:t>
            </w: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Exercisable at September 30, 2009</w:t>
            </w:r>
          </w:p>
        </w:tc>
        <w:tc>
          <w:tcPr>
            <w:tcW w:w="13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2,738,474</w:t>
            </w:r>
          </w:p>
        </w:tc>
        <w:tc>
          <w:tcPr>
            <w:tcW w:w="380" w:type="dxa"/>
            <w:vAlign w:val="bottom"/>
            <w:tcBorders>
              <w:bottom w:val="single" w:sz="8" w:color="auto"/>
            </w:tcBorders>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13.14</w:t>
            </w:r>
          </w:p>
        </w:tc>
        <w:tc>
          <w:tcPr>
            <w:tcW w:w="3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5.52</w:t>
            </w: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Share option awards are generally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2009, is eight years.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weighted average fair value of stock options granted during the nine months ended September 30, 2009, calculated using the Black-Scholes option pricing model, was $8.47 based on the following assumptions; dividend yield - 0%, risk free interest rate – 0.2%, expected volatility - 45% and weighted average expected life – 5.11 years.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Expected volatility is based on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gilts zero-coupon yield curve in effect at time of grant for periods corresponding with the expected life of the option.</w:t>
      </w:r>
    </w:p>
    <w:p>
      <w:pPr>
        <w:spacing w:after="0" w:line="210"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On August 7, 2008, the Company issued 6,280 restricted share units to certain employees of the Group. These shares are exercisable over periods ranging from February 26, 2009, to February 26, 2011. The market value of the Company’s shares on date of issue was $41.95.</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Non-cash stock compensation expense for the three and nine months ended September 30, 2009, has been allocated to direct costs and selling, general and administrative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Sept 30,</w:t>
            </w:r>
          </w:p>
        </w:tc>
        <w:tc>
          <w:tcPr>
            <w:tcW w:w="200" w:type="dxa"/>
            <w:vAlign w:val="bottom"/>
          </w:tcPr>
          <w:p>
            <w:pPr>
              <w:spacing w:after="0"/>
              <w:rPr>
                <w:sz w:val="14"/>
                <w:szCs w:val="1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rPr>
              <w:t>Sept 30,</w:t>
            </w: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5"/>
          </w:tcPr>
          <w:p>
            <w:pPr>
              <w:ind w:left="680"/>
              <w:spacing w:after="0" w:line="129" w:lineRule="exact"/>
              <w:rPr>
                <w:sz w:val="20"/>
                <w:szCs w:val="20"/>
                <w:color w:val="auto"/>
              </w:rPr>
            </w:pPr>
            <w:r>
              <w:rPr>
                <w:rFonts w:ascii="Arial" w:cs="Arial" w:eastAsia="Arial" w:hAnsi="Arial"/>
                <w:sz w:val="14"/>
                <w:szCs w:val="14"/>
                <w:b w:val="1"/>
                <w:bCs w:val="1"/>
                <w:color w:val="auto"/>
              </w:rPr>
              <w:t>Sept 30,</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w w:val="82"/>
              </w:rPr>
              <w:t>(In thousands)</w:t>
            </w:r>
          </w:p>
        </w:tc>
        <w:tc>
          <w:tcPr>
            <w:tcW w:w="300" w:type="dxa"/>
            <w:vAlign w:val="bottom"/>
            <w:tcBorders>
              <w:top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2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924</w:t>
            </w:r>
          </w:p>
        </w:tc>
        <w:tc>
          <w:tcPr>
            <w:tcW w:w="1040" w:type="dxa"/>
            <w:vAlign w:val="bottom"/>
            <w:gridSpan w:val="2"/>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882</w:t>
            </w:r>
          </w:p>
        </w:tc>
        <w:tc>
          <w:tcPr>
            <w:tcW w:w="560" w:type="dxa"/>
            <w:vAlign w:val="bottom"/>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2,718</w:t>
            </w:r>
          </w:p>
        </w:tc>
        <w:tc>
          <w:tcPr>
            <w:tcW w:w="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2,420</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460" w:type="dxa"/>
            <w:vAlign w:val="bottom"/>
          </w:tcPr>
          <w:p>
            <w:pPr>
              <w:spacing w:after="0"/>
              <w:rPr>
                <w:sz w:val="13"/>
                <w:szCs w:val="13"/>
                <w:color w:val="auto"/>
              </w:rPr>
            </w:pPr>
          </w:p>
        </w:tc>
        <w:tc>
          <w:tcPr>
            <w:tcW w:w="9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753</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722</w:t>
            </w:r>
          </w:p>
        </w:tc>
        <w:tc>
          <w:tcPr>
            <w:tcW w:w="560" w:type="dxa"/>
            <w:vAlign w:val="bottom"/>
          </w:tcPr>
          <w:p>
            <w:pPr>
              <w:spacing w:after="0"/>
              <w:rPr>
                <w:sz w:val="13"/>
                <w:szCs w:val="13"/>
                <w:color w:val="auto"/>
              </w:rPr>
            </w:pPr>
          </w:p>
        </w:tc>
        <w:tc>
          <w:tcPr>
            <w:tcW w:w="104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2,216</w:t>
            </w:r>
          </w:p>
        </w:tc>
        <w:tc>
          <w:tcPr>
            <w:tcW w:w="160" w:type="dxa"/>
            <w:vAlign w:val="bottom"/>
          </w:tcPr>
          <w:p>
            <w:pPr>
              <w:spacing w:after="0"/>
              <w:rPr>
                <w:sz w:val="13"/>
                <w:szCs w:val="13"/>
                <w:color w:val="auto"/>
              </w:rPr>
            </w:pPr>
          </w:p>
        </w:tc>
        <w:tc>
          <w:tcPr>
            <w:tcW w:w="12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2,013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92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1,677</w:t>
            </w:r>
          </w:p>
        </w:tc>
        <w:tc>
          <w:tcPr>
            <w:tcW w:w="1040" w:type="dxa"/>
            <w:vAlign w:val="bottom"/>
            <w:gridSpan w:val="2"/>
          </w:tcPr>
          <w:p>
            <w:pPr>
              <w:jc w:val="right"/>
              <w:ind w:right="708"/>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1,604</w:t>
            </w:r>
          </w:p>
        </w:tc>
        <w:tc>
          <w:tcPr>
            <w:tcW w:w="5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4,934</w:t>
            </w: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4,433</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89"/>
              </w:rPr>
              <w:t>13</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7100" w:type="dxa"/>
            <w:vAlign w:val="bottom"/>
            <w:gridSpan w:val="2"/>
          </w:tcPr>
          <w:p>
            <w:pPr>
              <w:spacing w:after="0"/>
              <w:rPr>
                <w:sz w:val="20"/>
                <w:szCs w:val="20"/>
                <w:color w:val="auto"/>
              </w:rPr>
            </w:pPr>
            <w:r>
              <w:rPr>
                <w:rFonts w:ascii="Arial" w:cs="Arial" w:eastAsia="Arial" w:hAnsi="Arial"/>
                <w:sz w:val="14"/>
                <w:szCs w:val="14"/>
                <w:color w:val="auto"/>
              </w:rPr>
              <w:t>Non vested shares outstanding as at September 30, 2009, are as follows:</w:t>
            </w: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7"/>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24"/>
                <w:szCs w:val="2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Weighted Average</w:t>
            </w:r>
          </w:p>
        </w:tc>
        <w:tc>
          <w:tcPr>
            <w:tcW w:w="180" w:type="dxa"/>
            <w:vAlign w:val="bottom"/>
          </w:tcPr>
          <w:p>
            <w:pPr>
              <w:spacing w:after="0"/>
              <w:rPr>
                <w:sz w:val="24"/>
                <w:szCs w:val="2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6"/>
                <w:szCs w:val="16"/>
                <w:color w:val="auto"/>
              </w:rPr>
            </w:pPr>
          </w:p>
        </w:tc>
        <w:tc>
          <w:tcPr>
            <w:tcW w:w="1280" w:type="dxa"/>
            <w:vAlign w:val="bottom"/>
            <w:gridSpan w:val="2"/>
          </w:tcPr>
          <w:p>
            <w:pPr>
              <w:ind w:left="5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70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December 31, 2008</w:t>
            </w:r>
          </w:p>
        </w:tc>
        <w:tc>
          <w:tcPr>
            <w:tcW w:w="14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3,760,750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20.69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80" w:type="dxa"/>
            <w:vAlign w:val="bottom"/>
            <w:tcBorders>
              <w:top w:val="single" w:sz="8" w:color="CCEEFF"/>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Granted</w:t>
            </w:r>
          </w:p>
        </w:tc>
        <w:tc>
          <w:tcPr>
            <w:tcW w:w="142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932,133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21.54</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line="149" w:lineRule="exact"/>
              <w:rPr>
                <w:sz w:val="20"/>
                <w:szCs w:val="20"/>
                <w:color w:val="auto"/>
              </w:rPr>
            </w:pPr>
            <w:r>
              <w:rPr>
                <w:rFonts w:ascii="Arial" w:cs="Arial" w:eastAsia="Arial" w:hAnsi="Arial"/>
                <w:sz w:val="14"/>
                <w:szCs w:val="14"/>
                <w:color w:val="auto"/>
              </w:rPr>
              <w:t>Vested</w:t>
            </w:r>
          </w:p>
        </w:tc>
        <w:tc>
          <w:tcPr>
            <w:tcW w:w="14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(1,532,639)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14.88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14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(183,827)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26.66</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080" w:type="dxa"/>
            <w:vAlign w:val="bottom"/>
            <w:tcBorders>
              <w:top w:val="single" w:sz="8" w:color="CCEEFF"/>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Non vested outstanding at September 30, 2009</w:t>
            </w:r>
          </w:p>
        </w:tc>
        <w:tc>
          <w:tcPr>
            <w:tcW w:w="142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2,976,417</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23.57</w:t>
            </w:r>
          </w:p>
        </w:tc>
        <w:tc>
          <w:tcPr>
            <w:tcW w:w="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As at September 30, 2009, total unrecognized compensation cost related to unvested options, which the Company expects to recognize over a weighted average period of 2.1 years, amounted to</w:t>
      </w:r>
    </w:p>
    <w:p>
      <w:pPr>
        <w:spacing w:after="0" w:line="11" w:lineRule="exact"/>
        <w:rPr>
          <w:sz w:val="20"/>
          <w:szCs w:val="20"/>
          <w:color w:val="auto"/>
        </w:rPr>
      </w:pPr>
    </w:p>
    <w:p>
      <w:pPr>
        <w:ind w:right="100"/>
        <w:spacing w:after="0" w:line="227" w:lineRule="auto"/>
        <w:rPr>
          <w:sz w:val="20"/>
          <w:szCs w:val="20"/>
          <w:color w:val="auto"/>
        </w:rPr>
      </w:pPr>
      <w:r>
        <w:rPr>
          <w:rFonts w:ascii="Arial" w:cs="Arial" w:eastAsia="Arial" w:hAnsi="Arial"/>
          <w:sz w:val="14"/>
          <w:szCs w:val="14"/>
          <w:color w:val="auto"/>
        </w:rPr>
        <w:t>$18.3 million. The Company has granted options with fair values ranging from $3.17 to $13.93 per option or a weighted average fair value of $6.01 per option. The Company issues new ordinary shares for all options exercised. The total amount of fully vested share options which remained outstanding at September 30, 2009, was 2,738,474. These fully vested options have an average remaining contractual term of 3.7 years, an average exercise price of $13.14 and a total intrinsic value of $31.1 million. The total intrinsic value of options exercised during the three months ended September 30, 2009, was $0.7 million (three months ended September 30, 2008, was $3.9 million). The total intrinsic value of options exercised during the nine months ended September 30, 2009, was $1.9 million (nine months ended September 30, 2008, was $23.4 million).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Business Segment Information</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The Company's areas of operation outside of Ireland principally include the United States, United Kingdom, France, Germany, Italy, Spain, The Netherlands, Denmark, Sweden, Finland, Poland, Czech Republic, Lithuania, Latvia, Russia, Ukraine, Hungary, Israel, Romania, Canada, Mexico, Brazil, Colombia, Argentina, Chile, Peru, India, China, Hong Kong, South Korea, Japan, Thailand, Taiwan, Singapore, Australia, New Zealand and South Africa. Segment information for the three and nine months ended September 30, 2009, the three and nine months ended September 30, 2008 and as at September 30, 2009, and December 31, 2008,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gridSpan w:val="2"/>
          </w:tcPr>
          <w:p>
            <w:pPr>
              <w:spacing w:after="0"/>
              <w:rPr>
                <w:sz w:val="20"/>
                <w:szCs w:val="20"/>
                <w:color w:val="auto"/>
              </w:rPr>
            </w:pPr>
            <w:r>
              <w:rPr>
                <w:rFonts w:ascii="Arial" w:cs="Arial" w:eastAsia="Arial" w:hAnsi="Arial"/>
                <w:sz w:val="14"/>
                <w:szCs w:val="14"/>
                <w:color w:val="auto"/>
              </w:rPr>
              <w:t>a) The distribution of net revenue by geographical area was as follows:</w:t>
            </w: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w w:val="93"/>
              </w:rPr>
              <w:t>Three Months Ended</w:t>
            </w:r>
          </w:p>
        </w:tc>
        <w:tc>
          <w:tcPr>
            <w:tcW w:w="7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9"/>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400" w:type="dxa"/>
            <w:vAlign w:val="bottom"/>
          </w:tcPr>
          <w:p>
            <w:pPr>
              <w:spacing w:after="0"/>
              <w:rPr>
                <w:sz w:val="11"/>
                <w:szCs w:val="11"/>
                <w:color w:val="auto"/>
              </w:rPr>
            </w:pPr>
          </w:p>
        </w:tc>
        <w:tc>
          <w:tcPr>
            <w:tcW w:w="1080" w:type="dxa"/>
            <w:vAlign w:val="bottom"/>
            <w:gridSpan w:val="5"/>
          </w:tcPr>
          <w:p>
            <w:pPr>
              <w:ind w:left="100"/>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1060" w:type="dxa"/>
            <w:vAlign w:val="bottom"/>
            <w:gridSpan w:val="5"/>
          </w:tcPr>
          <w:p>
            <w:pPr>
              <w:jc w:val="right"/>
              <w:ind w:right="28"/>
              <w:spacing w:after="0" w:line="129" w:lineRule="exact"/>
              <w:rPr>
                <w:sz w:val="20"/>
                <w:szCs w:val="20"/>
                <w:color w:val="auto"/>
              </w:rPr>
            </w:pPr>
            <w:r>
              <w:rPr>
                <w:rFonts w:ascii="Arial" w:cs="Arial" w:eastAsia="Arial" w:hAnsi="Arial"/>
                <w:sz w:val="14"/>
                <w:szCs w:val="14"/>
                <w:b w:val="1"/>
                <w:bCs w:val="1"/>
                <w:color w:val="auto"/>
                <w:w w:val="98"/>
              </w:rPr>
              <w:t>September 30,</w:t>
            </w:r>
          </w:p>
        </w:tc>
        <w:tc>
          <w:tcPr>
            <w:tcW w:w="380" w:type="dxa"/>
            <w:vAlign w:val="bottom"/>
          </w:tcPr>
          <w:p>
            <w:pPr>
              <w:spacing w:after="0"/>
              <w:rPr>
                <w:sz w:val="11"/>
                <w:szCs w:val="11"/>
                <w:color w:val="auto"/>
              </w:rPr>
            </w:pPr>
          </w:p>
        </w:tc>
        <w:tc>
          <w:tcPr>
            <w:tcW w:w="9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93"/>
              <w:spacing w:after="0" w:line="143" w:lineRule="exact"/>
              <w:rPr>
                <w:sz w:val="20"/>
                <w:szCs w:val="20"/>
                <w:color w:val="auto"/>
              </w:rPr>
            </w:pPr>
            <w:r>
              <w:rPr>
                <w:rFonts w:ascii="Arial" w:cs="Arial" w:eastAsia="Arial" w:hAnsi="Arial"/>
                <w:sz w:val="13"/>
                <w:szCs w:val="13"/>
                <w:b w:val="1"/>
                <w:bCs w:val="1"/>
                <w:color w:val="auto"/>
                <w:w w:val="75"/>
              </w:rPr>
              <w:t>(in</w:t>
            </w:r>
          </w:p>
        </w:tc>
        <w:tc>
          <w:tcPr>
            <w:tcW w:w="1080" w:type="dxa"/>
            <w:vAlign w:val="bottom"/>
            <w:gridSpan w:val="4"/>
          </w:tcPr>
          <w:p>
            <w:pPr>
              <w:jc w:val="center"/>
              <w:ind w:right="540"/>
              <w:spacing w:after="0" w:line="142" w:lineRule="exact"/>
              <w:rPr>
                <w:sz w:val="20"/>
                <w:szCs w:val="20"/>
                <w:color w:val="auto"/>
              </w:rPr>
            </w:pPr>
            <w:r>
              <w:rPr>
                <w:rFonts w:ascii="Arial" w:cs="Arial" w:eastAsia="Arial" w:hAnsi="Arial"/>
                <w:sz w:val="14"/>
                <w:szCs w:val="14"/>
                <w:b w:val="1"/>
                <w:bCs w:val="1"/>
                <w:color w:val="auto"/>
                <w:w w:val="71"/>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74"/>
              </w:rPr>
              <w:t>(in</w:t>
            </w:r>
          </w:p>
        </w:tc>
        <w:tc>
          <w:tcPr>
            <w:tcW w:w="10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148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46,182</w:t>
            </w:r>
          </w:p>
        </w:tc>
        <w:tc>
          <w:tcPr>
            <w:tcW w:w="400" w:type="dxa"/>
            <w:vAlign w:val="bottom"/>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36,868</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116,908</w:t>
            </w:r>
          </w:p>
        </w:tc>
        <w:tc>
          <w:tcPr>
            <w:tcW w:w="3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14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57,420</w:t>
            </w:r>
          </w:p>
        </w:tc>
        <w:tc>
          <w:tcPr>
            <w:tcW w:w="400" w:type="dxa"/>
            <w:vAlign w:val="bottom"/>
          </w:tcPr>
          <w:p>
            <w:pPr>
              <w:spacing w:after="0"/>
              <w:rPr>
                <w:sz w:val="12"/>
                <w:szCs w:val="12"/>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72,540</w:t>
            </w:r>
          </w:p>
        </w:tc>
        <w:tc>
          <w:tcPr>
            <w:tcW w:w="280" w:type="dxa"/>
            <w:vAlign w:val="bottom"/>
          </w:tcPr>
          <w:p>
            <w:pPr>
              <w:spacing w:after="0"/>
              <w:rPr>
                <w:sz w:val="12"/>
                <w:szCs w:val="12"/>
                <w:color w:val="auto"/>
              </w:rPr>
            </w:pPr>
          </w:p>
        </w:tc>
        <w:tc>
          <w:tcPr>
            <w:tcW w:w="106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175,229</w:t>
            </w:r>
          </w:p>
        </w:tc>
        <w:tc>
          <w:tcPr>
            <w:tcW w:w="380" w:type="dxa"/>
            <w:vAlign w:val="bottom"/>
          </w:tcPr>
          <w:p>
            <w:pPr>
              <w:spacing w:after="0"/>
              <w:rPr>
                <w:sz w:val="12"/>
                <w:szCs w:val="12"/>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196,568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14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98,172</w:t>
            </w:r>
          </w:p>
        </w:tc>
        <w:tc>
          <w:tcPr>
            <w:tcW w:w="40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93,601</w:t>
            </w:r>
          </w:p>
        </w:tc>
        <w:tc>
          <w:tcPr>
            <w:tcW w:w="28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314,869</w:t>
            </w:r>
          </w:p>
        </w:tc>
        <w:tc>
          <w:tcPr>
            <w:tcW w:w="38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286,236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Rest of the World</w:t>
            </w:r>
          </w:p>
        </w:tc>
        <w:tc>
          <w:tcPr>
            <w:tcW w:w="1480" w:type="dxa"/>
            <w:vAlign w:val="bottom"/>
          </w:tcPr>
          <w:p>
            <w:pPr>
              <w:spacing w:after="0"/>
              <w:rPr>
                <w:sz w:val="13"/>
                <w:szCs w:val="13"/>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18,587</w:t>
            </w:r>
          </w:p>
        </w:tc>
        <w:tc>
          <w:tcPr>
            <w:tcW w:w="400" w:type="dxa"/>
            <w:vAlign w:val="bottom"/>
          </w:tcPr>
          <w:p>
            <w:pPr>
              <w:spacing w:after="0"/>
              <w:rPr>
                <w:sz w:val="13"/>
                <w:szCs w:val="13"/>
                <w:color w:val="auto"/>
              </w:rPr>
            </w:pP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22,502</w:t>
            </w:r>
          </w:p>
        </w:tc>
        <w:tc>
          <w:tcPr>
            <w:tcW w:w="280" w:type="dxa"/>
            <w:vAlign w:val="bottom"/>
          </w:tcPr>
          <w:p>
            <w:pPr>
              <w:spacing w:after="0"/>
              <w:rPr>
                <w:sz w:val="13"/>
                <w:szCs w:val="13"/>
                <w:color w:val="auto"/>
              </w:rPr>
            </w:pPr>
          </w:p>
        </w:tc>
        <w:tc>
          <w:tcPr>
            <w:tcW w:w="106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53,187</w:t>
            </w:r>
          </w:p>
        </w:tc>
        <w:tc>
          <w:tcPr>
            <w:tcW w:w="380" w:type="dxa"/>
            <w:vAlign w:val="bottom"/>
          </w:tcPr>
          <w:p>
            <w:pPr>
              <w:spacing w:after="0"/>
              <w:rPr>
                <w:sz w:val="13"/>
                <w:szCs w:val="13"/>
                <w:color w:val="auto"/>
              </w:rPr>
            </w:pP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53,090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8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14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220,361</w:t>
            </w:r>
          </w:p>
        </w:tc>
        <w:tc>
          <w:tcPr>
            <w:tcW w:w="4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5"/>
          </w:tcPr>
          <w:p>
            <w:pPr>
              <w:jc w:val="right"/>
              <w:ind w:right="100"/>
              <w:spacing w:after="0" w:line="149" w:lineRule="exact"/>
              <w:rPr>
                <w:sz w:val="20"/>
                <w:szCs w:val="20"/>
                <w:color w:val="auto"/>
              </w:rPr>
            </w:pPr>
            <w:r>
              <w:rPr>
                <w:rFonts w:ascii="Arial" w:cs="Arial" w:eastAsia="Arial" w:hAnsi="Arial"/>
                <w:sz w:val="14"/>
                <w:szCs w:val="14"/>
                <w:color w:val="auto"/>
              </w:rPr>
              <w:t>225,511</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5"/>
          </w:tcPr>
          <w:p>
            <w:pPr>
              <w:jc w:val="right"/>
              <w:ind w:right="28"/>
              <w:spacing w:after="0" w:line="149" w:lineRule="exact"/>
              <w:rPr>
                <w:sz w:val="20"/>
                <w:szCs w:val="20"/>
                <w:color w:val="auto"/>
              </w:rPr>
            </w:pPr>
            <w:r>
              <w:rPr>
                <w:rFonts w:ascii="Arial" w:cs="Arial" w:eastAsia="Arial" w:hAnsi="Arial"/>
                <w:sz w:val="14"/>
                <w:szCs w:val="14"/>
                <w:color w:val="auto"/>
              </w:rPr>
              <w:t>660,193</w:t>
            </w:r>
          </w:p>
        </w:tc>
        <w:tc>
          <w:tcPr>
            <w:tcW w:w="38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645,155</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8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860" w:type="dxa"/>
            <w:vAlign w:val="bottom"/>
          </w:tcPr>
          <w:p>
            <w:pPr>
              <w:spacing w:after="0"/>
              <w:rPr>
                <w:sz w:val="20"/>
                <w:szCs w:val="20"/>
                <w:color w:val="auto"/>
              </w:rPr>
            </w:pPr>
            <w:r>
              <w:rPr>
                <w:rFonts w:ascii="Arial" w:cs="Arial" w:eastAsia="Arial" w:hAnsi="Arial"/>
                <w:sz w:val="14"/>
                <w:szCs w:val="14"/>
                <w:color w:val="auto"/>
              </w:rPr>
              <w:t>* All sales shown for Ireland are export sales.</w:t>
            </w: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86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2"/>
        </w:trPr>
        <w:tc>
          <w:tcPr>
            <w:tcW w:w="5540" w:type="dxa"/>
            <w:vAlign w:val="bottom"/>
            <w:gridSpan w:val="2"/>
          </w:tcPr>
          <w:p>
            <w:pPr>
              <w:spacing w:after="0"/>
              <w:rPr>
                <w:sz w:val="20"/>
                <w:szCs w:val="20"/>
                <w:color w:val="auto"/>
              </w:rPr>
            </w:pPr>
            <w:r>
              <w:rPr>
                <w:rFonts w:ascii="Arial" w:cs="Arial" w:eastAsia="Arial" w:hAnsi="Arial"/>
                <w:sz w:val="14"/>
                <w:szCs w:val="14"/>
                <w:color w:val="auto"/>
              </w:rPr>
              <w:t>b) The distribution of income from operations by geographical area was as follows: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3"/>
              </w:rPr>
              <w:t>Nine Months Ended</w:t>
            </w:r>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10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1"/>
                <w:szCs w:val="11"/>
                <w:color w:val="auto"/>
              </w:rPr>
            </w:pPr>
          </w:p>
        </w:tc>
        <w:tc>
          <w:tcPr>
            <w:tcW w:w="1000" w:type="dxa"/>
            <w:vAlign w:val="bottom"/>
            <w:gridSpan w:val="7"/>
          </w:tcPr>
          <w:p>
            <w:pPr>
              <w:ind w:left="80"/>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1"/>
                <w:szCs w:val="11"/>
                <w:color w:val="auto"/>
              </w:rPr>
            </w:pPr>
          </w:p>
        </w:tc>
        <w:tc>
          <w:tcPr>
            <w:tcW w:w="1100" w:type="dxa"/>
            <w:vAlign w:val="bottom"/>
            <w:gridSpan w:val="7"/>
          </w:tcPr>
          <w:p>
            <w:pPr>
              <w:jc w:val="right"/>
              <w:ind w:right="100"/>
              <w:spacing w:after="0" w:line="12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21,767</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17,896</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45,349</w:t>
            </w:r>
          </w:p>
        </w:tc>
        <w:tc>
          <w:tcPr>
            <w:tcW w:w="320" w:type="dxa"/>
            <w:vAlign w:val="bottom"/>
            <w:shd w:val="clear" w:color="auto" w:fill="CCEEFF"/>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40,361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7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2,286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2,834</w:t>
            </w:r>
          </w:p>
        </w:tc>
        <w:tc>
          <w:tcPr>
            <w:tcW w:w="280" w:type="dxa"/>
            <w:vAlign w:val="bottom"/>
          </w:tcPr>
          <w:p>
            <w:pPr>
              <w:spacing w:after="0"/>
              <w:rPr>
                <w:sz w:val="12"/>
                <w:szCs w:val="12"/>
                <w:color w:val="auto"/>
              </w:rPr>
            </w:pP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10,862</w:t>
            </w:r>
          </w:p>
        </w:tc>
        <w:tc>
          <w:tcPr>
            <w:tcW w:w="320" w:type="dxa"/>
            <w:vAlign w:val="bottom"/>
          </w:tcPr>
          <w:p>
            <w:pPr>
              <w:spacing w:after="0"/>
              <w:rPr>
                <w:sz w:val="12"/>
                <w:szCs w:val="12"/>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7,337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4,844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5,353</w:t>
            </w:r>
          </w:p>
        </w:tc>
        <w:tc>
          <w:tcPr>
            <w:tcW w:w="280" w:type="dxa"/>
            <w:vAlign w:val="bottom"/>
            <w:shd w:val="clear" w:color="auto" w:fill="CCEEFF"/>
          </w:tcPr>
          <w:p>
            <w:pPr>
              <w:spacing w:after="0"/>
              <w:rPr>
                <w:sz w:val="12"/>
                <w:szCs w:val="12"/>
                <w:color w:val="auto"/>
              </w:rPr>
            </w:pP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18,502</w:t>
            </w:r>
          </w:p>
        </w:tc>
        <w:tc>
          <w:tcPr>
            <w:tcW w:w="320" w:type="dxa"/>
            <w:vAlign w:val="bottom"/>
            <w:shd w:val="clear" w:color="auto" w:fill="CCEEFF"/>
          </w:tcPr>
          <w:p>
            <w:pPr>
              <w:spacing w:after="0"/>
              <w:rPr>
                <w:sz w:val="12"/>
                <w:szCs w:val="12"/>
                <w:color w:val="auto"/>
              </w:rPr>
            </w:pP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the World</w:t>
            </w:r>
          </w:p>
        </w:tc>
        <w:tc>
          <w:tcPr>
            <w:tcW w:w="700" w:type="dxa"/>
            <w:vAlign w:val="bottom"/>
          </w:tcPr>
          <w:p>
            <w:pPr>
              <w:spacing w:after="0"/>
              <w:rPr>
                <w:sz w:val="13"/>
                <w:szCs w:val="13"/>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1,512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1,049</w:t>
            </w:r>
          </w:p>
        </w:tc>
        <w:tc>
          <w:tcPr>
            <w:tcW w:w="280" w:type="dxa"/>
            <w:vAlign w:val="bottom"/>
          </w:tcPr>
          <w:p>
            <w:pPr>
              <w:spacing w:after="0"/>
              <w:rPr>
                <w:sz w:val="13"/>
                <w:szCs w:val="13"/>
                <w:color w:val="auto"/>
              </w:rPr>
            </w:pP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2,989</w:t>
            </w:r>
          </w:p>
        </w:tc>
        <w:tc>
          <w:tcPr>
            <w:tcW w:w="320" w:type="dxa"/>
            <w:vAlign w:val="bottom"/>
          </w:tcPr>
          <w:p>
            <w:pPr>
              <w:spacing w:after="0"/>
              <w:rPr>
                <w:sz w:val="13"/>
                <w:szCs w:val="13"/>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5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30,409</w:t>
            </w:r>
          </w:p>
        </w:tc>
        <w:tc>
          <w:tcPr>
            <w:tcW w:w="120" w:type="dxa"/>
            <w:vAlign w:val="bottom"/>
          </w:tcPr>
          <w:p>
            <w:pPr>
              <w:spacing w:after="0"/>
              <w:rPr>
                <w:sz w:val="12"/>
                <w:szCs w:val="12"/>
                <w:color w:val="auto"/>
              </w:rPr>
            </w:pPr>
          </w:p>
        </w:tc>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27,132</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77,702</w:t>
            </w:r>
          </w:p>
        </w:tc>
        <w:tc>
          <w:tcPr>
            <w:tcW w:w="320" w:type="dxa"/>
            <w:vAlign w:val="bottom"/>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73,038</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5540" w:type="dxa"/>
            <w:vAlign w:val="bottom"/>
            <w:gridSpan w:val="2"/>
          </w:tcPr>
          <w:p>
            <w:pPr>
              <w:spacing w:after="0"/>
              <w:rPr>
                <w:sz w:val="20"/>
                <w:szCs w:val="20"/>
                <w:color w:val="auto"/>
              </w:rPr>
            </w:pPr>
            <w:r>
              <w:rPr>
                <w:rFonts w:ascii="Arial" w:cs="Arial" w:eastAsia="Arial" w:hAnsi="Arial"/>
                <w:sz w:val="14"/>
                <w:szCs w:val="14"/>
                <w:color w:val="auto"/>
                <w:w w:val="95"/>
              </w:rPr>
              <w:t>c) The distribution of property, plant and equipment, net, by geographical area was as follows: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gridSpan w:val="5"/>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40" w:type="dxa"/>
            <w:vAlign w:val="bottom"/>
            <w:gridSpan w:val="7"/>
            <w:vMerge w:val="restart"/>
          </w:tcPr>
          <w:p>
            <w:pPr>
              <w:jc w:val="center"/>
              <w:ind w:right="520"/>
              <w:spacing w:after="0"/>
              <w:rPr>
                <w:sz w:val="20"/>
                <w:szCs w:val="20"/>
                <w:color w:val="auto"/>
              </w:rPr>
            </w:pPr>
            <w:r>
              <w:rPr>
                <w:rFonts w:ascii="Arial" w:cs="Arial" w:eastAsia="Arial" w:hAnsi="Arial"/>
                <w:sz w:val="13"/>
                <w:szCs w:val="13"/>
                <w:b w:val="1"/>
                <w:bCs w:val="1"/>
                <w:color w:val="auto"/>
                <w:w w:val="74"/>
              </w:rPr>
              <w:t>thousands)</w:t>
            </w:r>
          </w:p>
        </w:tc>
        <w:tc>
          <w:tcPr>
            <w:tcW w:w="3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gridSpan w:val="4"/>
          </w:tcPr>
          <w:p>
            <w:pPr>
              <w:jc w:val="right"/>
              <w:ind w:right="108"/>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109,381</w:t>
            </w:r>
          </w:p>
        </w:tc>
        <w:tc>
          <w:tcPr>
            <w:tcW w:w="320" w:type="dxa"/>
            <w:vAlign w:val="bottom"/>
            <w:shd w:val="clear" w:color="auto" w:fill="CCEEFF"/>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17,569</w:t>
            </w:r>
          </w:p>
        </w:tc>
        <w:tc>
          <w:tcPr>
            <w:tcW w:w="320" w:type="dxa"/>
            <w:vAlign w:val="bottom"/>
          </w:tcPr>
          <w:p>
            <w:pPr>
              <w:spacing w:after="0"/>
              <w:rPr>
                <w:sz w:val="12"/>
                <w:szCs w:val="12"/>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18,071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44,946</w:t>
            </w:r>
          </w:p>
        </w:tc>
        <w:tc>
          <w:tcPr>
            <w:tcW w:w="320" w:type="dxa"/>
            <w:vAlign w:val="bottom"/>
            <w:shd w:val="clear" w:color="auto" w:fill="CCEEFF"/>
          </w:tcPr>
          <w:p>
            <w:pPr>
              <w:spacing w:after="0"/>
              <w:rPr>
                <w:sz w:val="12"/>
                <w:szCs w:val="12"/>
                <w:color w:val="auto"/>
              </w:rPr>
            </w:pP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43,976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7"/>
          </w:tcPr>
          <w:p>
            <w:pPr>
              <w:jc w:val="right"/>
              <w:spacing w:after="0" w:line="149" w:lineRule="exact"/>
              <w:rPr>
                <w:sz w:val="20"/>
                <w:szCs w:val="20"/>
                <w:color w:val="auto"/>
              </w:rPr>
            </w:pPr>
            <w:r>
              <w:rPr>
                <w:rFonts w:ascii="Arial" w:cs="Arial" w:eastAsia="Arial" w:hAnsi="Arial"/>
                <w:sz w:val="14"/>
                <w:szCs w:val="14"/>
                <w:color w:val="auto"/>
              </w:rPr>
              <w:t>10,646</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7,986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182,542</w:t>
            </w:r>
          </w:p>
        </w:tc>
        <w:tc>
          <w:tcPr>
            <w:tcW w:w="320" w:type="dxa"/>
            <w:vAlign w:val="bottom"/>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171,748</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5540" w:type="dxa"/>
            <w:vAlign w:val="bottom"/>
            <w:gridSpan w:val="2"/>
          </w:tcPr>
          <w:p>
            <w:pPr>
              <w:spacing w:after="0"/>
              <w:rPr>
                <w:sz w:val="20"/>
                <w:szCs w:val="20"/>
                <w:color w:val="auto"/>
              </w:rPr>
            </w:pPr>
            <w:r>
              <w:rPr>
                <w:rFonts w:ascii="Arial" w:cs="Arial" w:eastAsia="Arial" w:hAnsi="Arial"/>
                <w:sz w:val="14"/>
                <w:szCs w:val="14"/>
                <w:color w:val="auto"/>
              </w:rPr>
              <w:t>d) The distribution of depreciation and amortization by geographical area was as follows: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3"/>
              </w:rPr>
              <w:t>Nine Months Ended</w:t>
            </w:r>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5"/>
          </w:tcPr>
          <w:p>
            <w:pPr>
              <w:ind w:left="12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tcPr>
          <w:p>
            <w:pPr>
              <w:jc w:val="right"/>
              <w:ind w:right="100"/>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1"/>
                <w:szCs w:val="11"/>
                <w:color w:val="auto"/>
              </w:rPr>
            </w:pPr>
          </w:p>
        </w:tc>
        <w:tc>
          <w:tcPr>
            <w:tcW w:w="1000" w:type="dxa"/>
            <w:vAlign w:val="bottom"/>
            <w:gridSpan w:val="7"/>
          </w:tcPr>
          <w:p>
            <w:pPr>
              <w:ind w:left="80"/>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6"/>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7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3,179</w:t>
            </w:r>
          </w:p>
        </w:tc>
        <w:tc>
          <w:tcPr>
            <w:tcW w:w="2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6,901</w:t>
            </w:r>
          </w:p>
        </w:tc>
        <w:tc>
          <w:tcPr>
            <w:tcW w:w="320" w:type="dxa"/>
            <w:vAlign w:val="bottom"/>
            <w:shd w:val="clear" w:color="auto" w:fill="CCEEFF"/>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7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1,321</w:t>
            </w:r>
          </w:p>
        </w:tc>
        <w:tc>
          <w:tcPr>
            <w:tcW w:w="280" w:type="dxa"/>
            <w:vAlign w:val="bottom"/>
          </w:tcPr>
          <w:p>
            <w:pPr>
              <w:spacing w:after="0"/>
              <w:rPr>
                <w:sz w:val="12"/>
                <w:szCs w:val="12"/>
                <w:color w:val="auto"/>
              </w:rPr>
            </w:pP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3,941</w:t>
            </w:r>
          </w:p>
        </w:tc>
        <w:tc>
          <w:tcPr>
            <w:tcW w:w="320" w:type="dxa"/>
            <w:vAlign w:val="bottom"/>
          </w:tcPr>
          <w:p>
            <w:pPr>
              <w:spacing w:after="0"/>
              <w:rPr>
                <w:sz w:val="12"/>
                <w:szCs w:val="12"/>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4,335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0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3,752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6"/>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2,852</w:t>
            </w:r>
          </w:p>
        </w:tc>
        <w:tc>
          <w:tcPr>
            <w:tcW w:w="280" w:type="dxa"/>
            <w:vAlign w:val="bottom"/>
            <w:shd w:val="clear" w:color="auto" w:fill="CCEEFF"/>
          </w:tcPr>
          <w:p>
            <w:pPr>
              <w:spacing w:after="0"/>
              <w:rPr>
                <w:sz w:val="12"/>
                <w:szCs w:val="12"/>
                <w:color w:val="auto"/>
              </w:rPr>
            </w:pP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10,319</w:t>
            </w:r>
          </w:p>
        </w:tc>
        <w:tc>
          <w:tcPr>
            <w:tcW w:w="320" w:type="dxa"/>
            <w:vAlign w:val="bottom"/>
            <w:shd w:val="clear" w:color="auto" w:fill="CCEEFF"/>
          </w:tcPr>
          <w:p>
            <w:pPr>
              <w:spacing w:after="0"/>
              <w:rPr>
                <w:sz w:val="12"/>
                <w:szCs w:val="12"/>
                <w:color w:val="auto"/>
              </w:rPr>
            </w:pP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line="149" w:lineRule="exact"/>
              <w:rPr>
                <w:sz w:val="20"/>
                <w:szCs w:val="20"/>
                <w:color w:val="auto"/>
              </w:rPr>
            </w:pPr>
            <w:r>
              <w:rPr>
                <w:rFonts w:ascii="Arial" w:cs="Arial" w:eastAsia="Arial" w:hAnsi="Arial"/>
                <w:sz w:val="14"/>
                <w:szCs w:val="14"/>
                <w:color w:val="auto"/>
              </w:rPr>
              <w:t>883</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5"/>
          </w:tcPr>
          <w:p>
            <w:pPr>
              <w:jc w:val="right"/>
              <w:spacing w:after="0" w:line="149" w:lineRule="exact"/>
              <w:rPr>
                <w:sz w:val="20"/>
                <w:szCs w:val="20"/>
                <w:color w:val="auto"/>
              </w:rPr>
            </w:pPr>
            <w:r>
              <w:rPr>
                <w:rFonts w:ascii="Arial" w:cs="Arial" w:eastAsia="Arial" w:hAnsi="Arial"/>
                <w:sz w:val="14"/>
                <w:szCs w:val="14"/>
                <w:color w:val="auto"/>
              </w:rPr>
              <w:t>585</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7"/>
          </w:tcPr>
          <w:p>
            <w:pPr>
              <w:jc w:val="right"/>
              <w:spacing w:after="0" w:line="149" w:lineRule="exact"/>
              <w:rPr>
                <w:sz w:val="20"/>
                <w:szCs w:val="20"/>
                <w:color w:val="auto"/>
              </w:rPr>
            </w:pPr>
            <w:r>
              <w:rPr>
                <w:rFonts w:ascii="Arial" w:cs="Arial" w:eastAsia="Arial" w:hAnsi="Arial"/>
                <w:sz w:val="14"/>
                <w:szCs w:val="14"/>
                <w:color w:val="auto"/>
              </w:rPr>
              <w:t>2,259</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1,658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8,404</w:t>
            </w:r>
          </w:p>
        </w:tc>
        <w:tc>
          <w:tcPr>
            <w:tcW w:w="120" w:type="dxa"/>
            <w:vAlign w:val="bottom"/>
          </w:tcPr>
          <w:p>
            <w:pPr>
              <w:spacing w:after="0"/>
              <w:rPr>
                <w:sz w:val="12"/>
                <w:szCs w:val="12"/>
                <w:color w:val="auto"/>
              </w:rPr>
            </w:pPr>
          </w:p>
        </w:tc>
        <w:tc>
          <w:tcPr>
            <w:tcW w:w="2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6"/>
          </w:tcPr>
          <w:p>
            <w:pPr>
              <w:jc w:val="right"/>
              <w:ind w:right="100"/>
              <w:spacing w:after="0" w:line="149" w:lineRule="exact"/>
              <w:rPr>
                <w:sz w:val="20"/>
                <w:szCs w:val="20"/>
                <w:color w:val="auto"/>
              </w:rPr>
            </w:pPr>
            <w:r>
              <w:rPr>
                <w:rFonts w:ascii="Arial" w:cs="Arial" w:eastAsia="Arial" w:hAnsi="Arial"/>
                <w:sz w:val="14"/>
                <w:szCs w:val="14"/>
                <w:color w:val="auto"/>
              </w:rPr>
              <w:t>7,937</w:t>
            </w:r>
          </w:p>
        </w:tc>
        <w:tc>
          <w:tcPr>
            <w:tcW w:w="2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23,420</w:t>
            </w:r>
          </w:p>
        </w:tc>
        <w:tc>
          <w:tcPr>
            <w:tcW w:w="320" w:type="dxa"/>
            <w:vAlign w:val="bottom"/>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20,676</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5540" w:type="dxa"/>
            <w:vAlign w:val="bottom"/>
            <w:gridSpan w:val="2"/>
          </w:tcPr>
          <w:p>
            <w:pPr>
              <w:spacing w:after="0"/>
              <w:rPr>
                <w:sz w:val="20"/>
                <w:szCs w:val="20"/>
                <w:color w:val="auto"/>
              </w:rPr>
            </w:pPr>
            <w:r>
              <w:rPr>
                <w:rFonts w:ascii="Arial" w:cs="Arial" w:eastAsia="Arial" w:hAnsi="Arial"/>
                <w:sz w:val="14"/>
                <w:szCs w:val="14"/>
                <w:color w:val="auto"/>
              </w:rPr>
              <w:t>e) The distribution of total assets by geographical area was as follows: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7"/>
          </w:tcPr>
          <w:p>
            <w:pPr>
              <w:ind w:left="80"/>
              <w:spacing w:after="0"/>
              <w:rPr>
                <w:sz w:val="20"/>
                <w:szCs w:val="20"/>
                <w:color w:val="auto"/>
              </w:rPr>
            </w:pPr>
            <w:r>
              <w:rPr>
                <w:rFonts w:ascii="Arial" w:cs="Arial" w:eastAsia="Arial" w:hAnsi="Arial"/>
                <w:sz w:val="14"/>
                <w:szCs w:val="14"/>
                <w:b w:val="1"/>
                <w:bCs w:val="1"/>
                <w:color w:val="auto"/>
                <w:w w:val="93"/>
              </w:rPr>
              <w:t>September 30,</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gridSpan w:val="6"/>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1"/>
                <w:szCs w:val="11"/>
                <w:color w:val="auto"/>
              </w:rPr>
            </w:pPr>
          </w:p>
        </w:tc>
        <w:tc>
          <w:tcPr>
            <w:tcW w:w="160" w:type="dxa"/>
            <w:vAlign w:val="bottom"/>
            <w:gridSpan w:val="3"/>
          </w:tcPr>
          <w:p>
            <w:pPr>
              <w:spacing w:after="0"/>
              <w:rPr>
                <w:sz w:val="11"/>
                <w:szCs w:val="11"/>
                <w:color w:val="auto"/>
              </w:rPr>
            </w:pPr>
          </w:p>
        </w:tc>
        <w:tc>
          <w:tcPr>
            <w:tcW w:w="8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top w:val="single" w:sz="8" w:color="auto"/>
            </w:tcBorders>
            <w:gridSpan w:val="4"/>
          </w:tcPr>
          <w:p>
            <w:pPr>
              <w:jc w:val="right"/>
              <w:ind w:right="133"/>
              <w:spacing w:after="0" w:line="142" w:lineRule="exact"/>
              <w:rPr>
                <w:sz w:val="20"/>
                <w:szCs w:val="20"/>
                <w:color w:val="auto"/>
              </w:rPr>
            </w:pPr>
            <w:r>
              <w:rPr>
                <w:rFonts w:ascii="Arial" w:cs="Arial" w:eastAsia="Arial" w:hAnsi="Arial"/>
                <w:sz w:val="14"/>
                <w:szCs w:val="14"/>
                <w:b w:val="1"/>
                <w:bCs w:val="1"/>
                <w:color w:val="auto"/>
                <w:w w:val="81"/>
              </w:rPr>
              <w:t>(in</w:t>
            </w:r>
          </w:p>
        </w:tc>
        <w:tc>
          <w:tcPr>
            <w:tcW w:w="1020" w:type="dxa"/>
            <w:vAlign w:val="bottom"/>
            <w:gridSpan w:val="6"/>
          </w:tcPr>
          <w:p>
            <w:pPr>
              <w:jc w:val="center"/>
              <w:ind w:right="520"/>
              <w:spacing w:after="0" w:line="143" w:lineRule="exact"/>
              <w:rPr>
                <w:sz w:val="20"/>
                <w:szCs w:val="20"/>
                <w:color w:val="auto"/>
              </w:rPr>
            </w:pPr>
            <w:r>
              <w:rPr>
                <w:rFonts w:ascii="Arial" w:cs="Arial" w:eastAsia="Arial" w:hAnsi="Arial"/>
                <w:sz w:val="13"/>
                <w:szCs w:val="13"/>
                <w:b w:val="1"/>
                <w:bCs w:val="1"/>
                <w:color w:val="auto"/>
                <w:w w:val="71"/>
              </w:rPr>
              <w:t>thousands)</w:t>
            </w: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Ireland</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320,755</w:t>
            </w:r>
          </w:p>
        </w:tc>
        <w:tc>
          <w:tcPr>
            <w:tcW w:w="320" w:type="dxa"/>
            <w:vAlign w:val="bottom"/>
            <w:shd w:val="clear" w:color="auto" w:fill="CCEEFF"/>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Rest of Europe</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187,632</w:t>
            </w:r>
          </w:p>
        </w:tc>
        <w:tc>
          <w:tcPr>
            <w:tcW w:w="320" w:type="dxa"/>
            <w:vAlign w:val="bottom"/>
          </w:tcPr>
          <w:p>
            <w:pPr>
              <w:spacing w:after="0"/>
              <w:rPr>
                <w:sz w:val="12"/>
                <w:szCs w:val="12"/>
                <w:color w:val="auto"/>
              </w:rPr>
            </w:pP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165,624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378,664</w:t>
            </w:r>
          </w:p>
        </w:tc>
        <w:tc>
          <w:tcPr>
            <w:tcW w:w="320" w:type="dxa"/>
            <w:vAlign w:val="bottom"/>
            <w:shd w:val="clear" w:color="auto" w:fill="CCEEFF"/>
          </w:tcPr>
          <w:p>
            <w:pPr>
              <w:spacing w:after="0"/>
              <w:rPr>
                <w:sz w:val="12"/>
                <w:szCs w:val="12"/>
                <w:color w:val="auto"/>
              </w:rPr>
            </w:pPr>
          </w:p>
        </w:tc>
        <w:tc>
          <w:tcPr>
            <w:tcW w:w="1100" w:type="dxa"/>
            <w:vAlign w:val="bottom"/>
            <w:gridSpan w:val="7"/>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442,351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Rest of the World</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7"/>
          </w:tcPr>
          <w:p>
            <w:pPr>
              <w:jc w:val="right"/>
              <w:spacing w:after="0" w:line="149" w:lineRule="exact"/>
              <w:rPr>
                <w:sz w:val="20"/>
                <w:szCs w:val="20"/>
                <w:color w:val="auto"/>
              </w:rPr>
            </w:pPr>
            <w:r>
              <w:rPr>
                <w:rFonts w:ascii="Arial" w:cs="Arial" w:eastAsia="Arial" w:hAnsi="Arial"/>
                <w:sz w:val="14"/>
                <w:szCs w:val="14"/>
                <w:color w:val="auto"/>
              </w:rPr>
              <w:t>35,089</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6"/>
          </w:tcPr>
          <w:p>
            <w:pPr>
              <w:jc w:val="right"/>
              <w:spacing w:after="0" w:line="149" w:lineRule="exact"/>
              <w:rPr>
                <w:sz w:val="20"/>
                <w:szCs w:val="20"/>
                <w:color w:val="auto"/>
              </w:rPr>
            </w:pPr>
            <w:r>
              <w:rPr>
                <w:rFonts w:ascii="Arial" w:cs="Arial" w:eastAsia="Arial" w:hAnsi="Arial"/>
                <w:sz w:val="14"/>
                <w:szCs w:val="14"/>
                <w:color w:val="auto"/>
              </w:rPr>
              <w:t>25,151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20" w:type="dxa"/>
            <w:vAlign w:val="bottom"/>
          </w:tcPr>
          <w:p>
            <w:pPr>
              <w:spacing w:after="0" w:line="149" w:lineRule="exact"/>
              <w:rPr>
                <w:sz w:val="20"/>
                <w:szCs w:val="20"/>
                <w:color w:val="auto"/>
              </w:rPr>
            </w:pPr>
            <w:r>
              <w:rPr>
                <w:rFonts w:ascii="Arial" w:cs="Arial" w:eastAsia="Arial" w:hAnsi="Arial"/>
                <w:sz w:val="14"/>
                <w:szCs w:val="14"/>
                <w:color w:val="auto"/>
              </w:rPr>
              <w:t>Total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7"/>
          </w:tcPr>
          <w:p>
            <w:pPr>
              <w:jc w:val="right"/>
              <w:spacing w:after="0" w:line="149" w:lineRule="exact"/>
              <w:rPr>
                <w:sz w:val="20"/>
                <w:szCs w:val="20"/>
                <w:color w:val="auto"/>
              </w:rPr>
            </w:pPr>
            <w:r>
              <w:rPr>
                <w:rFonts w:ascii="Arial" w:cs="Arial" w:eastAsia="Arial" w:hAnsi="Arial"/>
                <w:sz w:val="14"/>
                <w:szCs w:val="14"/>
                <w:color w:val="auto"/>
              </w:rPr>
              <w:t>922,140</w:t>
            </w:r>
          </w:p>
        </w:tc>
        <w:tc>
          <w:tcPr>
            <w:tcW w:w="320" w:type="dxa"/>
            <w:vAlign w:val="bottom"/>
          </w:tcPr>
          <w:p>
            <w:pPr>
              <w:jc w:val="center"/>
              <w:ind w:left="29"/>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7"/>
          </w:tcPr>
          <w:p>
            <w:pPr>
              <w:jc w:val="right"/>
              <w:ind w:right="100"/>
              <w:spacing w:after="0" w:line="149" w:lineRule="exact"/>
              <w:rPr>
                <w:sz w:val="20"/>
                <w:szCs w:val="20"/>
                <w:color w:val="auto"/>
              </w:rPr>
            </w:pPr>
            <w:r>
              <w:rPr>
                <w:rFonts w:ascii="Arial" w:cs="Arial" w:eastAsia="Arial" w:hAnsi="Arial"/>
                <w:sz w:val="14"/>
                <w:szCs w:val="14"/>
                <w:color w:val="auto"/>
              </w:rPr>
              <w:t>867,285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700" w:type="dxa"/>
            <w:vAlign w:val="bottom"/>
          </w:tcPr>
          <w:p>
            <w:pPr>
              <w:jc w:val="right"/>
              <w:ind w:right="38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55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2008. The Consolidated Financial Statements have been prepared in accordance with accounting principles generally accepted in the United States.</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Clinical Development - from compound selection to Phase I-IV clinical studies. We have the operational flexibility to provide development services on a stand-alone basis or as part of an integrated “full service” solution. Our primary approach is to use dedicated teams to achieve optimum results, but we can implement a range of resourcing models to suit client requirements.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 a highly fragmented industry, we are one of a small number of companies with the capability and expertise to conduct clinical trials in all major therapeutic areas on a global basis. Currently, we have approximately 7,000 employees, in 68 locations in 38 countries, providing Phase I - IV clinical trials management, drug development support services, data management and biostatistical services, clinical pharmacology, central laboratory services and imaging consulting.</w:t>
      </w: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for contracts is recognized on the basis of the relationship between time incurred and the total estimated duration of the trial or on a fee-for-service basis according to the particular circumstances of the contract. 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As the nature of ICON's business involves the management of projects having a typical duration of one to three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In addition to translation exposures, we are also subject to transaction exposures because the currency in which contracts are priced can be different from the currencies in which costs relating to those contracts are incurred. We have 18 operations operating in U.S. dollars, 10 trading in Euros, 5 in pounds Sterling, 3 in Indian Rupee, 2 each in Russian Rouble, Swedish Krona, Singapore Dollar, and Japanese Yen, and 1 each in Danish Krone, Czech Koruna, Lithuanian Litas, Latvian Lats, Ukraine Hryvnia, Hungarian Forint, Polish Zloty, Israeli New Shekels, Romanian New Leu, Canadian dollar, Mexican Peso, Brazilian Real, Colombian Peso, Argentine Peso, Chilean Peso, Peruvian Neuvo Sol, Chinese Yuan Renminbi, Hong Kong dollar, South Korean Won, Taiwan dollar, Thai Baht, Australian dollar, New Zealand dollar and South African Rand.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Euros or pounds Sterling,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the Company's results of operations. We regularly review our currency exposures and, when appropriate, hedge a portion of these, using forward exchange contracts, where they are not covered by natural hedges. In addition, we usually negotiate currency fluctuation clauses in our contracts which allow for price negotiation if certain exchange rate triggers occur.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17" w:name="page18"/>
    <w:bookmarkEnd w:id="17"/>
    <w:p>
      <w:pPr>
        <w:jc w:val="both"/>
        <w:ind w:right="20"/>
        <w:spacing w:after="0" w:line="238" w:lineRule="auto"/>
        <w:rPr>
          <w:sz w:val="20"/>
          <w:szCs w:val="20"/>
          <w:color w:val="auto"/>
        </w:rPr>
      </w:pPr>
      <w:r>
        <w:rPr>
          <w:rFonts w:ascii="Arial" w:cs="Arial" w:eastAsia="Arial" w:hAnsi="Arial"/>
          <w:sz w:val="14"/>
          <w:szCs w:val="14"/>
          <w:color w:val="auto"/>
        </w:rPr>
        <w:t>As we conduct operations on a global basis, our effective tax rate has depended and will depend on the geographic distribution of our revenue and earnings among locations with varying tax rates. The Company's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Three Months Ended September 30, 2009 compared with Three Months Ended September 30, 2008</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9"/>
          </w:tcPr>
          <w:p>
            <w:pPr>
              <w:jc w:val="right"/>
              <w:ind w:right="1520"/>
              <w:spacing w:after="0"/>
              <w:rPr>
                <w:sz w:val="20"/>
                <w:szCs w:val="20"/>
                <w:color w:val="auto"/>
              </w:rPr>
            </w:pPr>
            <w:r>
              <w:rPr>
                <w:rFonts w:ascii="Arial" w:cs="Arial" w:eastAsia="Arial" w:hAnsi="Arial"/>
                <w:sz w:val="14"/>
                <w:szCs w:val="14"/>
                <w:b w:val="1"/>
                <w:bCs w:val="1"/>
                <w:color w:val="auto"/>
                <w:w w:val="92"/>
              </w:rPr>
              <w:t>Three Months Ended</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20" w:type="dxa"/>
            <w:vAlign w:val="bottom"/>
            <w:gridSpan w:val="4"/>
            <w:vMerge w:val="restart"/>
          </w:tcPr>
          <w:p>
            <w:pPr>
              <w:jc w:val="right"/>
              <w:ind w:right="740"/>
              <w:spacing w:after="0" w:line="149" w:lineRule="exact"/>
              <w:rPr>
                <w:sz w:val="20"/>
                <w:szCs w:val="20"/>
                <w:color w:val="auto"/>
              </w:rPr>
            </w:pPr>
            <w:r>
              <w:rPr>
                <w:rFonts w:ascii="Arial" w:cs="Arial" w:eastAsia="Arial" w:hAnsi="Arial"/>
                <w:sz w:val="14"/>
                <w:szCs w:val="14"/>
                <w:b w:val="1"/>
                <w:bCs w:val="1"/>
                <w:color w:val="auto"/>
                <w:w w:val="79"/>
              </w:rPr>
              <w:t>September 30,</w:t>
            </w:r>
          </w:p>
        </w:tc>
        <w:tc>
          <w:tcPr>
            <w:tcW w:w="1840" w:type="dxa"/>
            <w:vAlign w:val="bottom"/>
            <w:gridSpan w:val="5"/>
            <w:vMerge w:val="restart"/>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2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w w:val="75"/>
              </w:rPr>
              <w:t>to</w:t>
            </w:r>
          </w:p>
        </w:tc>
        <w:tc>
          <w:tcPr>
            <w:tcW w:w="3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160" w:type="dxa"/>
            <w:vAlign w:val="bottom"/>
            <w:gridSpan w:val="11"/>
            <w:vMerge w:val="restart"/>
          </w:tcPr>
          <w:p>
            <w:pPr>
              <w:jc w:val="right"/>
              <w:ind w:right="1340"/>
              <w:spacing w:after="0"/>
              <w:rPr>
                <w:sz w:val="20"/>
                <w:szCs w:val="20"/>
                <w:color w:val="auto"/>
              </w:rPr>
            </w:pPr>
            <w:r>
              <w:rPr>
                <w:rFonts w:ascii="Arial" w:cs="Arial" w:eastAsia="Arial" w:hAnsi="Arial"/>
                <w:sz w:val="14"/>
                <w:szCs w:val="14"/>
                <w:b w:val="1"/>
                <w:bCs w:val="1"/>
                <w:color w:val="auto"/>
                <w:w w:val="99"/>
              </w:rPr>
              <w:t>Percentage of Net Revenue</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1860" w:type="dxa"/>
            <w:vAlign w:val="bottom"/>
            <w:gridSpan w:val="6"/>
          </w:tcPr>
          <w:p>
            <w:pPr>
              <w:jc w:val="right"/>
              <w:ind w:right="20"/>
              <w:spacing w:after="0" w:line="129" w:lineRule="exact"/>
              <w:rPr>
                <w:sz w:val="20"/>
                <w:szCs w:val="20"/>
                <w:color w:val="auto"/>
              </w:rPr>
            </w:pPr>
            <w:r>
              <w:rPr>
                <w:rFonts w:ascii="Arial" w:cs="Arial" w:eastAsia="Arial" w:hAnsi="Arial"/>
                <w:sz w:val="14"/>
                <w:szCs w:val="14"/>
                <w:b w:val="1"/>
                <w:bCs w:val="1"/>
                <w:color w:val="auto"/>
              </w:rPr>
              <w:t>(Decrease)/Increase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1880" w:type="dxa"/>
            <w:vAlign w:val="bottom"/>
            <w:gridSpan w:val="6"/>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w:t>
            </w:r>
          </w:p>
        </w:tc>
        <w:tc>
          <w:tcPr>
            <w:tcW w:w="2020" w:type="dxa"/>
            <w:vAlign w:val="bottom"/>
            <w:gridSpan w:val="7"/>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57.7%</w:t>
            </w:r>
          </w:p>
        </w:tc>
        <w:tc>
          <w:tcPr>
            <w:tcW w:w="1880" w:type="dxa"/>
            <w:vAlign w:val="bottom"/>
            <w:gridSpan w:val="6"/>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56.7%</w:t>
            </w:r>
          </w:p>
        </w:tc>
        <w:tc>
          <w:tcPr>
            <w:tcW w:w="2020" w:type="dxa"/>
            <w:vAlign w:val="bottom"/>
            <w:gridSpan w:val="7"/>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820" w:type="dxa"/>
            <w:vAlign w:val="bottom"/>
            <w:gridSpan w:val="6"/>
          </w:tcPr>
          <w:p>
            <w:pPr>
              <w:jc w:val="right"/>
              <w:ind w:right="280"/>
              <w:spacing w:after="0" w:line="149" w:lineRule="exact"/>
              <w:rPr>
                <w:sz w:val="20"/>
                <w:szCs w:val="20"/>
                <w:color w:val="auto"/>
              </w:rPr>
            </w:pPr>
            <w:r>
              <w:rPr>
                <w:rFonts w:ascii="Arial" w:cs="Arial" w:eastAsia="Arial" w:hAnsi="Arial"/>
                <w:sz w:val="14"/>
                <w:szCs w:val="14"/>
                <w:color w:val="auto"/>
              </w:rPr>
              <w:t>24.7%</w:t>
            </w:r>
          </w:p>
        </w:tc>
        <w:tc>
          <w:tcPr>
            <w:tcW w:w="1880" w:type="dxa"/>
            <w:vAlign w:val="bottom"/>
            <w:gridSpan w:val="6"/>
          </w:tcPr>
          <w:p>
            <w:pPr>
              <w:jc w:val="right"/>
              <w:ind w:right="620"/>
              <w:spacing w:after="0" w:line="149" w:lineRule="exact"/>
              <w:rPr>
                <w:sz w:val="20"/>
                <w:szCs w:val="20"/>
                <w:color w:val="auto"/>
              </w:rPr>
            </w:pPr>
            <w:r>
              <w:rPr>
                <w:rFonts w:ascii="Arial" w:cs="Arial" w:eastAsia="Arial" w:hAnsi="Arial"/>
                <w:sz w:val="14"/>
                <w:szCs w:val="14"/>
                <w:color w:val="auto"/>
              </w:rPr>
              <w:t>27.7%</w:t>
            </w:r>
          </w:p>
        </w:tc>
        <w:tc>
          <w:tcPr>
            <w:tcW w:w="2020" w:type="dxa"/>
            <w:vAlign w:val="bottom"/>
            <w:gridSpan w:val="7"/>
          </w:tcPr>
          <w:p>
            <w:pPr>
              <w:jc w:val="right"/>
              <w:ind w:right="20"/>
              <w:spacing w:after="0" w:line="149"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w:t>
            </w:r>
          </w:p>
        </w:tc>
        <w:tc>
          <w:tcPr>
            <w:tcW w:w="1880" w:type="dxa"/>
            <w:vAlign w:val="bottom"/>
            <w:gridSpan w:val="6"/>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3.5%</w:t>
            </w:r>
          </w:p>
        </w:tc>
        <w:tc>
          <w:tcPr>
            <w:tcW w:w="202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Income from operations</w:t>
            </w:r>
          </w:p>
        </w:tc>
        <w:tc>
          <w:tcPr>
            <w:tcW w:w="2820" w:type="dxa"/>
            <w:vAlign w:val="bottom"/>
            <w:gridSpan w:val="6"/>
          </w:tcPr>
          <w:p>
            <w:pPr>
              <w:jc w:val="right"/>
              <w:ind w:right="280"/>
              <w:spacing w:after="0"/>
              <w:rPr>
                <w:sz w:val="20"/>
                <w:szCs w:val="20"/>
                <w:color w:val="auto"/>
              </w:rPr>
            </w:pPr>
            <w:r>
              <w:rPr>
                <w:rFonts w:ascii="Arial" w:cs="Arial" w:eastAsia="Arial" w:hAnsi="Arial"/>
                <w:sz w:val="14"/>
                <w:szCs w:val="14"/>
                <w:color w:val="auto"/>
              </w:rPr>
              <w:t>13.8%</w:t>
            </w:r>
          </w:p>
        </w:tc>
        <w:tc>
          <w:tcPr>
            <w:tcW w:w="1880" w:type="dxa"/>
            <w:vAlign w:val="bottom"/>
            <w:gridSpan w:val="6"/>
          </w:tcPr>
          <w:p>
            <w:pPr>
              <w:jc w:val="right"/>
              <w:ind w:right="620"/>
              <w:spacing w:after="0"/>
              <w:rPr>
                <w:sz w:val="20"/>
                <w:szCs w:val="20"/>
                <w:color w:val="auto"/>
              </w:rPr>
            </w:pPr>
            <w:r>
              <w:rPr>
                <w:rFonts w:ascii="Arial" w:cs="Arial" w:eastAsia="Arial" w:hAnsi="Arial"/>
                <w:sz w:val="14"/>
                <w:szCs w:val="14"/>
                <w:color w:val="auto"/>
              </w:rPr>
              <w:t>12.0%</w:t>
            </w:r>
          </w:p>
        </w:tc>
        <w:tc>
          <w:tcPr>
            <w:tcW w:w="2020" w:type="dxa"/>
            <w:vAlign w:val="bottom"/>
            <w:gridSpan w:val="7"/>
          </w:tcPr>
          <w:p>
            <w:pPr>
              <w:jc w:val="right"/>
              <w:ind w:right="6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Net revenue decreased by $5.1 million, or 2.3%, from $225.5 million for the three months ended September 30, 2008, to $220.4 million for the three months ended September 30, 2009. The decrease in net revenue is as a result of reduced business given the economic downturn, its impact on market confidence and the availability of funding for drug development. For the three months ended September 30, 2009, we derived approximately 44.6%, 47.0% and 8.4% of our net revenue in the United States, Europe and Rest of World, respectively.</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Direct costs decreased by $0.7 million, or 0.6%, from $127.9 million for the three months ended September 30, 2008, to $127.2 million for the three months ended September 30, 2009. Direct costs consist primarily of compensation, associated fringe benefits and share based compensation expense for project-related employees and other direct project driven costs. This decrease was primarily due to a reduction in salary and related costs of $1.0 million, travel costs for project-related employees of $1.3 million and decreased laboratory expenses of $1.0 million. This was offset by an increase in study supplies and material expenses and other project related costs of $2.6 million. Direct costs as a percentage of net revenue increased from 56.7% for the three months ended September 30, 2008, to 57.7% for three months ended September 30, 2009.</w:t>
      </w:r>
    </w:p>
    <w:p>
      <w:pPr>
        <w:spacing w:after="0" w:line="21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Selling, general and administrative expenses decreased by $8.1 million, or 13.0%, from $62.5 million for the three months ended September 30, 2008, to $54.4 million for the three months ended September 30, 2009. Selling, general and administrative expenses consist of compensation, related fringe benefits and share based compensation expense for selling and administrative employees, professional services costs, advertising costs and all costs related to facilities and information systems. The decrease in selling, general and administrative expenses arises primarily from a decrease of $4.6 million in personnel related costs, comprising salary and travel cost for selling, general and administrative employees and recruitment expenditure. Facilities and information systems costs decreased by $2.9 million, principally as a result of a reduction in utility costs and support and maintenance costs. The remainder of the decreases arise from a decrease in other overhead costs. As a percentage of net revenue, selling, general and administrative expenses, decreased from 27.7% in the three months ended September 30, 2008, to 24.7% in the three months ended September 30, 2009.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8" w:name="page19"/>
    <w:bookmarkEnd w:id="18"/>
    <w:p>
      <w:pPr>
        <w:jc w:val="both"/>
        <w:ind w:right="20"/>
        <w:spacing w:after="0" w:line="253" w:lineRule="auto"/>
        <w:rPr>
          <w:sz w:val="20"/>
          <w:szCs w:val="20"/>
          <w:color w:val="auto"/>
        </w:rPr>
      </w:pPr>
      <w:r>
        <w:rPr>
          <w:rFonts w:ascii="Arial" w:cs="Arial" w:eastAsia="Arial" w:hAnsi="Arial"/>
          <w:sz w:val="14"/>
          <w:szCs w:val="14"/>
          <w:color w:val="auto"/>
        </w:rPr>
        <w:t>Total share based compensation expense recognized during the three months ended September 30, 2009 amounted to $1.7 million compared to $1.6 million during the three months ended September 30, 2008.</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Depreciation and amortization expense increased by $0.5 million, or 5.9%, from $7.9 million for the three months ended September 30, 2008, to $8.4 million for the three months ended September 30, 2009. As a percentage of net revenue, depreciation and amortization increased from 3.5% for the three months ended September 30, 2008 to 3.8% for the three months ended September 30, 2009. The increase arises primarily from our continued investment in facilities and equipment to support the Company’s growth.</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Income from operations increased by $3.3 million, or 12.1%, from $27.1 million for the three months ended September 30, 2008, to $30.4 million for the three months ended September 30, 2009. As a percentage of net revenue, income from operations increased from 12.0% for the three months ended September 30, 2008, to 13.8% of net revenues for the three months ended September 30, 2009.</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Net interest expense for the three months ended September 30, 2009, was $0.7 million, an increase of $0.5 million on net interest expense of $0.2 million for the three months ended September 30,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2008. Interest expense for the period decreased by $0.2 million from $0.9 million for the three months ended 30 September 2008 to $0.7 million for the three months ended September 30,</w:t>
      </w:r>
    </w:p>
    <w:p>
      <w:pPr>
        <w:spacing w:after="0"/>
        <w:rPr>
          <w:sz w:val="20"/>
          <w:szCs w:val="20"/>
          <w:color w:val="auto"/>
        </w:rPr>
      </w:pPr>
      <w:r>
        <w:rPr>
          <w:rFonts w:ascii="Arial" w:cs="Arial" w:eastAsia="Arial" w:hAnsi="Arial"/>
          <w:sz w:val="14"/>
          <w:szCs w:val="14"/>
          <w:color w:val="auto"/>
        </w:rPr>
        <w:t>2009. Interest income for the period decreased from $0.7 million for the three months ended September 30, 2008, to $0.05 million for the three months ended September 30, 2009.</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Provision for income taxes increased from $5.4 million for the three months ended September 30, 2008, to $5.8 million for the three months ended September 30, 2009. The Company’s effective tax rate for the three months ended September 30, 2009, was 19.4% compared with 19.9% for the three months ended September 30, 2008.</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color w:val="auto"/>
        </w:rPr>
        <w:t>Nine Months Ended September 30, 2009 Compared with Nine Months Ended September 30, 2008</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gridSpan w:val="8"/>
          </w:tcPr>
          <w:p>
            <w:pPr>
              <w:jc w:val="right"/>
              <w:ind w:right="1560"/>
              <w:spacing w:after="0"/>
              <w:rPr>
                <w:sz w:val="20"/>
                <w:szCs w:val="20"/>
                <w:color w:val="auto"/>
              </w:rPr>
            </w:pPr>
            <w:r>
              <w:rPr>
                <w:rFonts w:ascii="Arial" w:cs="Arial" w:eastAsia="Arial" w:hAnsi="Arial"/>
                <w:sz w:val="14"/>
                <w:szCs w:val="14"/>
                <w:b w:val="1"/>
                <w:bCs w:val="1"/>
                <w:color w:val="auto"/>
                <w:w w:val="91"/>
              </w:rPr>
              <w:t>Nine Months Ended</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560" w:type="dxa"/>
            <w:vAlign w:val="bottom"/>
            <w:gridSpan w:val="4"/>
            <w:vMerge w:val="restart"/>
          </w:tcPr>
          <w:p>
            <w:pPr>
              <w:jc w:val="right"/>
              <w:ind w:right="7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1840" w:type="dxa"/>
            <w:vAlign w:val="bottom"/>
            <w:gridSpan w:val="5"/>
            <w:vMerge w:val="restart"/>
          </w:tcPr>
          <w:p>
            <w:pPr>
              <w:jc w:val="right"/>
              <w:spacing w:after="0" w:line="149" w:lineRule="exact"/>
              <w:rPr>
                <w:sz w:val="20"/>
                <w:szCs w:val="20"/>
                <w:color w:val="auto"/>
              </w:rPr>
            </w:pPr>
            <w:r>
              <w:rPr>
                <w:rFonts w:ascii="Arial" w:cs="Arial" w:eastAsia="Arial" w:hAnsi="Arial"/>
                <w:sz w:val="14"/>
                <w:szCs w:val="14"/>
                <w:b w:val="1"/>
                <w:bCs w:val="1"/>
                <w:color w:val="auto"/>
              </w:rPr>
              <w:t>2008</w:t>
            </w: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820" w:type="dxa"/>
            <w:vAlign w:val="bottom"/>
            <w:gridSpan w:val="6"/>
          </w:tcPr>
          <w:p>
            <w:pPr>
              <w:jc w:val="right"/>
              <w:ind w:right="400"/>
              <w:spacing w:after="0" w:line="129" w:lineRule="exact"/>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1"/>
                <w:szCs w:val="11"/>
                <w:color w:val="auto"/>
              </w:rPr>
            </w:pPr>
          </w:p>
        </w:tc>
        <w:tc>
          <w:tcPr>
            <w:tcW w:w="1560" w:type="dxa"/>
            <w:vAlign w:val="bottom"/>
            <w:gridSpan w:val="4"/>
            <w:vMerge w:val="continue"/>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to</w:t>
            </w:r>
          </w:p>
        </w:tc>
        <w:tc>
          <w:tcPr>
            <w:tcW w:w="3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160" w:type="dxa"/>
            <w:vAlign w:val="bottom"/>
            <w:gridSpan w:val="10"/>
            <w:vMerge w:val="restart"/>
          </w:tcPr>
          <w:p>
            <w:pPr>
              <w:jc w:val="right"/>
              <w:ind w:right="1340"/>
              <w:spacing w:after="0"/>
              <w:rPr>
                <w:sz w:val="20"/>
                <w:szCs w:val="20"/>
                <w:color w:val="auto"/>
              </w:rPr>
            </w:pPr>
            <w:r>
              <w:rPr>
                <w:rFonts w:ascii="Arial" w:cs="Arial" w:eastAsia="Arial" w:hAnsi="Arial"/>
                <w:sz w:val="14"/>
                <w:szCs w:val="14"/>
                <w:b w:val="1"/>
                <w:bCs w:val="1"/>
                <w:color w:val="auto"/>
                <w:w w:val="99"/>
              </w:rPr>
              <w:t>Percentage of Net Revenue</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7"/>
              </w:rPr>
              <w:t>Percentage</w:t>
            </w:r>
          </w:p>
        </w:tc>
        <w:tc>
          <w:tcPr>
            <w:tcW w:w="2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160" w:type="dxa"/>
            <w:vAlign w:val="bottom"/>
            <w:gridSpan w:val="10"/>
            <w:vMerge w:val="continue"/>
          </w:tcPr>
          <w:p>
            <w:pPr>
              <w:spacing w:after="0"/>
              <w:rPr>
                <w:sz w:val="11"/>
                <w:szCs w:val="11"/>
                <w:color w:val="auto"/>
              </w:rPr>
            </w:pPr>
          </w:p>
        </w:tc>
        <w:tc>
          <w:tcPr>
            <w:tcW w:w="1860" w:type="dxa"/>
            <w:vAlign w:val="bottom"/>
            <w:gridSpan w:val="6"/>
          </w:tcPr>
          <w:p>
            <w:pPr>
              <w:jc w:val="right"/>
              <w:ind w:right="20"/>
              <w:spacing w:after="0" w:line="129" w:lineRule="exact"/>
              <w:rPr>
                <w:sz w:val="20"/>
                <w:szCs w:val="20"/>
                <w:color w:val="auto"/>
              </w:rPr>
            </w:pPr>
            <w:r>
              <w:rPr>
                <w:rFonts w:ascii="Arial" w:cs="Arial" w:eastAsia="Arial" w:hAnsi="Arial"/>
                <w:sz w:val="14"/>
                <w:szCs w:val="14"/>
                <w:b w:val="1"/>
                <w:bCs w:val="1"/>
                <w:color w:val="auto"/>
              </w:rPr>
              <w:t>Increase/(Decrease)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revenue</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w:t>
            </w:r>
          </w:p>
        </w:tc>
        <w:tc>
          <w:tcPr>
            <w:tcW w:w="1880" w:type="dxa"/>
            <w:vAlign w:val="bottom"/>
            <w:gridSpan w:val="5"/>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100%</w:t>
            </w:r>
          </w:p>
        </w:tc>
        <w:tc>
          <w:tcPr>
            <w:tcW w:w="202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57.0%</w:t>
            </w:r>
          </w:p>
        </w:tc>
        <w:tc>
          <w:tcPr>
            <w:tcW w:w="1880" w:type="dxa"/>
            <w:vAlign w:val="bottom"/>
            <w:gridSpan w:val="5"/>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56.4%</w:t>
            </w:r>
          </w:p>
        </w:tc>
        <w:tc>
          <w:tcPr>
            <w:tcW w:w="202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820" w:type="dxa"/>
            <w:vAlign w:val="bottom"/>
            <w:gridSpan w:val="6"/>
          </w:tcPr>
          <w:p>
            <w:pPr>
              <w:jc w:val="right"/>
              <w:ind w:right="280"/>
              <w:spacing w:after="0" w:line="149" w:lineRule="exact"/>
              <w:rPr>
                <w:sz w:val="20"/>
                <w:szCs w:val="20"/>
                <w:color w:val="auto"/>
              </w:rPr>
            </w:pPr>
            <w:r>
              <w:rPr>
                <w:rFonts w:ascii="Arial" w:cs="Arial" w:eastAsia="Arial" w:hAnsi="Arial"/>
                <w:sz w:val="14"/>
                <w:szCs w:val="14"/>
                <w:color w:val="auto"/>
              </w:rPr>
              <w:t>26.3%</w:t>
            </w:r>
          </w:p>
        </w:tc>
        <w:tc>
          <w:tcPr>
            <w:tcW w:w="1880" w:type="dxa"/>
            <w:vAlign w:val="bottom"/>
            <w:gridSpan w:val="5"/>
          </w:tcPr>
          <w:p>
            <w:pPr>
              <w:jc w:val="right"/>
              <w:ind w:right="620"/>
              <w:spacing w:after="0" w:line="149" w:lineRule="exact"/>
              <w:rPr>
                <w:sz w:val="20"/>
                <w:szCs w:val="20"/>
                <w:color w:val="auto"/>
              </w:rPr>
            </w:pPr>
            <w:r>
              <w:rPr>
                <w:rFonts w:ascii="Arial" w:cs="Arial" w:eastAsia="Arial" w:hAnsi="Arial"/>
                <w:sz w:val="14"/>
                <w:szCs w:val="14"/>
                <w:color w:val="auto"/>
              </w:rPr>
              <w:t>29.0%</w:t>
            </w:r>
          </w:p>
        </w:tc>
        <w:tc>
          <w:tcPr>
            <w:tcW w:w="2020" w:type="dxa"/>
            <w:vAlign w:val="bottom"/>
            <w:gridSpan w:val="7"/>
          </w:tcPr>
          <w:p>
            <w:pPr>
              <w:jc w:val="right"/>
              <w:ind w:right="2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1880" w:type="dxa"/>
            <w:vAlign w:val="bottom"/>
            <w:gridSpan w:val="5"/>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3.2%</w:t>
            </w:r>
          </w:p>
        </w:tc>
        <w:tc>
          <w:tcPr>
            <w:tcW w:w="202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One-time net charges</w:t>
            </w:r>
          </w:p>
        </w:tc>
        <w:tc>
          <w:tcPr>
            <w:tcW w:w="2820" w:type="dxa"/>
            <w:vAlign w:val="bottom"/>
            <w:gridSpan w:val="6"/>
          </w:tcPr>
          <w:p>
            <w:pPr>
              <w:jc w:val="right"/>
              <w:ind w:right="280"/>
              <w:spacing w:after="0" w:line="149" w:lineRule="exact"/>
              <w:rPr>
                <w:sz w:val="20"/>
                <w:szCs w:val="20"/>
                <w:color w:val="auto"/>
              </w:rPr>
            </w:pPr>
            <w:r>
              <w:rPr>
                <w:rFonts w:ascii="Arial" w:cs="Arial" w:eastAsia="Arial" w:hAnsi="Arial"/>
                <w:sz w:val="14"/>
                <w:szCs w:val="14"/>
                <w:color w:val="auto"/>
              </w:rPr>
              <w:t>1.4%</w:t>
            </w:r>
          </w:p>
        </w:tc>
        <w:tc>
          <w:tcPr>
            <w:tcW w:w="11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2"/>
                <w:szCs w:val="12"/>
                <w:color w:val="auto"/>
              </w:rPr>
            </w:pPr>
          </w:p>
        </w:tc>
        <w:tc>
          <w:tcPr>
            <w:tcW w:w="2020" w:type="dxa"/>
            <w:vAlign w:val="bottom"/>
            <w:gridSpan w:val="7"/>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8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11.8%</w:t>
            </w:r>
          </w:p>
        </w:tc>
        <w:tc>
          <w:tcPr>
            <w:tcW w:w="1880" w:type="dxa"/>
            <w:vAlign w:val="bottom"/>
            <w:gridSpan w:val="5"/>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11.3%</w:t>
            </w:r>
          </w:p>
        </w:tc>
        <w:tc>
          <w:tcPr>
            <w:tcW w:w="2020" w:type="dxa"/>
            <w:vAlign w:val="bottom"/>
            <w:gridSpan w:val="7"/>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Net revenue increased by $15.0 million, or 2.3%, from $645.2 million for the nine months ended September 30, 2008, to $660.2 million for the nine months ended September 30, 2009. The rate of increase in net revenue growth has slowed in recent quarters due to the economic downturn and its impact on market confidence and the availability of funding for drug development. For the nine months ended September 30, 2009, we derived approximately 47.7%, 44.3% and 8.0% of our net revenue in the United States, Europe and Rest of World, respectively.</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Direct costs increased by $12.4 million, or 3.4%, from $364.1 million for the nine months ended September 30, 2008, to $376.5 million for the nine months ended September 30, 2009. Direct costs consist primarily of compensation, associated fringe benefits and share based compensation expense for project-related employees and other direct project driven costs. This increase was primarily due to increased salary and related costs of $8.9 million for project related employees, increased laboratory expenses of $1.4 million and increased study supplies and materials expenses of $4.4 million. These increases were offset by a reduction in travel costs for project related employees of $3.8 million. Direct costs as a percentage of net revenue increased from 56.4% for the nine months ended September 30, 2008, to 57.0% for the nine months ended September 30, 2009.</w:t>
      </w:r>
    </w:p>
    <w:p>
      <w:pPr>
        <w:spacing w:after="0" w:line="211"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Selling, general and administrative expenses decreased by $13.7 million, or 7.3%, from $187.3 million for the nine months ended September 30, 2008, to $173.6 million for the nine months ended September 30, 2009. Selling, general and administrative expenses consist of compensation, related fringe benefits and share based compensation expense for selling and administrative employees, professional services costs, advertising costs and all costs related to facilities and information systems. The decrease in selling, general and administrative expenses arises principally from decreases of $10.3 million in personnel related costs, comprising salary and travel cost for selling, general and administrative employees and recruitment expenditure. Facility and information system costs decreased by $2.4 million, principally as a result of a reduction in rent, utility and support and maintenance costs. The remainder of the decrease arises from a decrease in other overhead costs. As a percentage of net revenue, selling, general and administrative expenses, decreased from 29.0% for the nine months ended September 30, 2008, to 26.3% for the nine months ended September 30, 2009.</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Total share based compensation expense recognized during the nine months ended September 30, 2009 amounted to $4.9 million compared to $4.4 million during the nine months ended September 30, 2008.</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Depreciation and amortization expense increased by $2.7 million, or 13.3%, from $20.7 million for the nine months ended September 30, 2008 to $23.4 million for the nine months ended September 30, 2009. As a percentage of net revenue, depreciation and amortization, increased from 3.2% for the nine months ended September 30, 2008 to 3.5% for the nine months ended September 30, 2009. The increase arises primarily from our continued investment in facilities and equipment to support the Company’s growth.</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spacing w:after="0" w:line="234" w:lineRule="auto"/>
        <w:rPr>
          <w:sz w:val="20"/>
          <w:szCs w:val="20"/>
          <w:color w:val="auto"/>
        </w:rPr>
      </w:pPr>
      <w:r>
        <w:rPr>
          <w:rFonts w:ascii="Arial" w:cs="Arial" w:eastAsia="Arial" w:hAnsi="Arial"/>
          <w:sz w:val="14"/>
          <w:szCs w:val="14"/>
          <w:color w:val="auto"/>
        </w:rPr>
        <w:t>One-time net charges of $8.9 million have been recognised during the nine months ended September 30, 2009. In response to the globalization of clinical studies and its attendant impact on resources in existing and emerging markets, the Company conducted a review of its existing infrastructure to better align its resources with the needs of its clients. This realignment has resulted in resource rationalizations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20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Including the impact of the recognition of these one-time charges, income from operations increased by $4.7 million, or 6.4%, from $73.0 million for the nine months ended September 30, 2008, to $77.7 million for the nine months ended September 30, 2009. As a percentage of net revenue, income from operations increased from 11.3% for the nine months ended September 30, 2008 to 11.8% for the nine months ended September 30, 2009. Excluding the impact of one-time net charges recognized during the period, income from operations as a percentage of net revenue increased from 11.3% for the nine months ended September 30, 2008 to 13.1% for the nine months ended September 30, 2009.</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Net interest expense for the nine months ended September 30, 2009, was $2.3 million, an increase of $1.6 million on net interest expense of $0.7 million for the nine months ended September 30, 2008. Interest expense for the period decreased from $3.0 million for the nine months ended September 30, 2008, to $2.9 million for the nine months ended September 30, 2009. Interest income for the period decreased from $2.2 million for the nine months ended September 30, 2008, to $0.6 million for the nine months ended September 30, 2009.</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Provision for income taxes has decreased from $14.5 million for the nine months ended September 30, 2008, to $12.0 million for the nine months ended September 30, 2009. The Company’s effective tax rate for the nine months ended September 30, 2009, was 15.9% compared with 20.0% for the nine months ended September 30, 2008. The decrease in the effective tax rate during the period arose principally from corporation tax refunds arising from research and development tax credits received in certain jurisdictions and the tax effect of restructuring costs recognised.</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jc w:val="both"/>
        <w:ind w:right="20"/>
        <w:spacing w:after="0" w:line="253" w:lineRule="auto"/>
        <w:rPr>
          <w:sz w:val="20"/>
          <w:szCs w:val="20"/>
          <w:color w:val="auto"/>
        </w:rPr>
      </w:pPr>
      <w:r>
        <w:rPr>
          <w:rFonts w:ascii="Arial" w:cs="Arial" w:eastAsia="Arial" w:hAnsi="Arial"/>
          <w:sz w:val="14"/>
          <w:szCs w:val="14"/>
          <w:color w:val="auto"/>
        </w:rPr>
        <w:t>The CRO industry generally is not capital intensive. The Group’s principal operating cash needs are payment of salaries, office rents, travel expenditures and payments to investigators. Investing activities primarily reflect capital expenditures for facilities, information systems enhancements, the purchase of short term investments and acquisitions.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9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Net cash at September 30, 2009 amounted to $144.6 million compared with net debt of $4.3 million at December 31, 2008. Net cash at September 30, 2009 comprised cash and cash equivalents of $68.2 million, short term investments of $104.7 million, less bank credit lines and loan facilities of $28.3 million. Net debt at December 31, 2008 comprised cash and cash equivalents of $58.4 million, short term investments of $42.7 million, less bank credit lines and loan facilities of $105.4 million. Additional borrowings available to the Group under negotiated facilities at September 30, 2009 amounted to $160.3 million compared with $55.6 million at December 31, 2008.</w:t>
      </w:r>
    </w:p>
    <w:p>
      <w:pPr>
        <w:spacing w:after="0" w:line="20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Net cash provided by operating activities was $198.4 million for the nine months ended September 30, 2009, compared with cash provided by operating activities of $86.0 million for the nine months ended September 30, 2008. The Group’s working capital at September 30, 2009 amounted to $215.7 million, compared to $186.0 million at December 31, 2008.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39 days at September 30, 2009 and 70 days at December 31, 2008. The decrease in the number of days revenue outstanding at September 30, 2009 resulted from improved working capital management during the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 w:name="page22"/>
    <w:bookmarkEnd w:id="21"/>
    <w:p>
      <w:pPr>
        <w:jc w:val="both"/>
        <w:ind w:right="100"/>
        <w:spacing w:after="0" w:line="238" w:lineRule="auto"/>
        <w:rPr>
          <w:sz w:val="20"/>
          <w:szCs w:val="20"/>
          <w:color w:val="auto"/>
        </w:rPr>
      </w:pPr>
      <w:r>
        <w:rPr>
          <w:rFonts w:ascii="Arial" w:cs="Arial" w:eastAsia="Arial" w:hAnsi="Arial"/>
          <w:sz w:val="14"/>
          <w:szCs w:val="14"/>
          <w:color w:val="auto"/>
        </w:rPr>
        <w:t>Net cash used in investing activities was $110.9 million for the nine months ended September 30, 2009, compared to $66.1 million for the nine months ended September 30, 2008. Net cash used in the nine months ended September 30, 2009 arises principally from capital expenditure, payments for purchase of subsidiary undertakings, and purchase of short term investments, offset by the sale of short term investments.</w:t>
      </w:r>
    </w:p>
    <w:p>
      <w:pPr>
        <w:spacing w:after="0" w:line="210" w:lineRule="exact"/>
        <w:rPr>
          <w:sz w:val="20"/>
          <w:szCs w:val="20"/>
          <w:color w:val="auto"/>
        </w:rPr>
      </w:pPr>
    </w:p>
    <w:p>
      <w:pPr>
        <w:jc w:val="both"/>
        <w:ind w:right="100"/>
        <w:spacing w:after="0" w:line="231" w:lineRule="auto"/>
        <w:rPr>
          <w:sz w:val="20"/>
          <w:szCs w:val="20"/>
          <w:color w:val="auto"/>
        </w:rPr>
      </w:pPr>
      <w:r>
        <w:rPr>
          <w:rFonts w:ascii="Arial" w:cs="Arial" w:eastAsia="Arial" w:hAnsi="Arial"/>
          <w:sz w:val="14"/>
          <w:szCs w:val="14"/>
          <w:color w:val="auto"/>
        </w:rPr>
        <w:t>Capital expenditure for the nine months ended September 30, 2009, amounted to $26.0 million, and comprised mainly of expenditure on global infrastructure and information technology systems to support the Company’s growth. Cash paid on acquisitions during the nine months ended September 30, 2009, amounted to $25.9 million, being cash paid for the acquisition of the remaining 30% of the common stock of Beacon of $17.8 million, $5.9 million relating to the acquisition of Prevalere Lifesciences, $0.3 million relating to the acquisition of the assets of the former Qualia Clinical Service and $1.9 million relating to the acquisition of Veeda Laboratories Limited. $66.6 million was realized during the period from the sale of short term investments. An additional $126.1 million of surplus cash balances were invested in short term investments during the period.</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Net cash used by financing activities during the nine months ended September 30, 2009, amounted to $79.9 million compared with $1.8 million for the nine months ended September 30, 2008.</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During the nine months ended September 30, 2009, the Company repaid borrowings of $98.4 million. This was offset by $17.4 million in additional borrowings drawn down during the period.</w:t>
      </w:r>
    </w:p>
    <w:p>
      <w:pPr>
        <w:spacing w:after="0" w:line="136" w:lineRule="exact"/>
        <w:rPr>
          <w:sz w:val="20"/>
          <w:szCs w:val="20"/>
          <w:color w:val="auto"/>
        </w:rPr>
      </w:pPr>
    </w:p>
    <w:p>
      <w:pPr>
        <w:jc w:val="both"/>
        <w:ind w:right="100"/>
        <w:spacing w:after="0" w:line="253" w:lineRule="auto"/>
        <w:rPr>
          <w:sz w:val="20"/>
          <w:szCs w:val="20"/>
          <w:color w:val="auto"/>
        </w:rPr>
      </w:pPr>
      <w:r>
        <w:rPr>
          <w:rFonts w:ascii="Arial" w:cs="Arial" w:eastAsia="Arial" w:hAnsi="Arial"/>
          <w:sz w:val="14"/>
          <w:szCs w:val="14"/>
          <w:color w:val="auto"/>
        </w:rPr>
        <w:t>As a result of these cash flows, cash and cash equivalents increased by $9.8 million for the nine months ended September 30, 2009, compared to $15.5 million for the nine months ended September 30, 2008.</w:t>
      </w:r>
    </w:p>
    <w:p>
      <w:pPr>
        <w:spacing w:after="0" w:line="201" w:lineRule="exact"/>
        <w:rPr>
          <w:sz w:val="20"/>
          <w:szCs w:val="20"/>
          <w:color w:val="auto"/>
        </w:rPr>
      </w:pPr>
    </w:p>
    <w:p>
      <w:pPr>
        <w:jc w:val="both"/>
        <w:ind w:right="100"/>
        <w:spacing w:after="0" w:line="238" w:lineRule="auto"/>
        <w:rPr>
          <w:sz w:val="20"/>
          <w:szCs w:val="20"/>
          <w:color w:val="auto"/>
        </w:rPr>
      </w:pPr>
      <w:r>
        <w:rPr>
          <w:rFonts w:ascii="Arial" w:cs="Arial" w:eastAsia="Arial" w:hAnsi="Arial"/>
          <w:sz w:val="14"/>
          <w:szCs w:val="14"/>
          <w:color w:val="auto"/>
        </w:rPr>
        <w:t>On July 9, 2007, ICON plc entered into a five year committed multi-currency facility agreement for €35 million ($51.4 million) with Bank of Ireland. The facility bears interest at an annual rate equal to EURIBOR plus a margin and is secured by certain composite guarantees, indemnities and pledges in favor of the bank. At September 30, 2009, €7 million ($10.3 million), was available to be drawn under this facility.</w:t>
      </w:r>
    </w:p>
    <w:p>
      <w:pPr>
        <w:spacing w:after="0" w:line="2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3"/>
          <w:szCs w:val="13"/>
          <w:color w:val="auto"/>
        </w:rPr>
        <w:t>On December 22, 2008, committed credit facilities were negotiated with Allied Irish Bank plc for $75 million. The facilities comprise a one year Euro facility of approximately €20 million ($29.4 million), with the balance comprising a three year US dollar facility. The Euro facility bears interest at EURIBOR plus a margin and the US dollar facility bears interest at LIBOR plus a margin. Both facilities are secured by certain composite guarantees and pledges in favor of the bank. As at September 30, 2009, $75 million was available to be drawn under these facilities.</w:t>
      </w:r>
    </w:p>
    <w:p>
      <w:pPr>
        <w:spacing w:after="0" w:line="195" w:lineRule="exact"/>
        <w:rPr>
          <w:sz w:val="20"/>
          <w:szCs w:val="20"/>
          <w:color w:val="auto"/>
        </w:rPr>
      </w:pPr>
    </w:p>
    <w:p>
      <w:pPr>
        <w:jc w:val="both"/>
        <w:ind w:right="100"/>
        <w:spacing w:after="0" w:line="253" w:lineRule="auto"/>
        <w:rPr>
          <w:sz w:val="20"/>
          <w:szCs w:val="20"/>
          <w:color w:val="auto"/>
        </w:rPr>
      </w:pPr>
      <w:r>
        <w:rPr>
          <w:rFonts w:ascii="Arial" w:cs="Arial" w:eastAsia="Arial" w:hAnsi="Arial"/>
          <w:sz w:val="14"/>
          <w:szCs w:val="14"/>
          <w:color w:val="auto"/>
        </w:rPr>
        <w:t>On January 2, 2009, an additional four year committed credit facility was negotiated with Bank of Ireland for $25 million. The facility bears interest at LIBOR plus a margin and is secured by certain composite guarantees, indemnities and pledges in favor of the bank. As at September 30, 2009, $25 million was available to be drawn under this facility.</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On May 29,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favor of the bank. As at September 30, 2009, the full amount of these facilities were available to be drawn down.</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margin payable on all current facilities is 2.17 per cent.</w:t>
      </w:r>
    </w:p>
    <w:p>
      <w:pPr>
        <w:spacing w:after="0" w:line="231"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On February 11, 2008, the Company acquired 100% of the common stock of Healthcare Discoveries Inc., for an initial cash consideration of $10.9 million, excluding costs of acquisition. Healthcare Discoveries, located in San Antonio, Texas, is engaged in the provision of Phase I clinical trial management services. Certain performance milestones were built into the acquisition agreement requiring payment of additional consideration of up to $10.0 million if these milestones were achieved during the year ended December 31, 2008. No further payments have been made in respect of this acquisition as the performance milestones were not achieved.</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269" w:right="139" w:bottom="1440" w:gutter="0" w:footer="0" w:header="0"/>
        </w:sectPr>
      </w:pPr>
    </w:p>
    <w:bookmarkStart w:id="22" w:name="page23"/>
    <w:bookmarkEnd w:id="22"/>
    <w:p>
      <w:pPr>
        <w:jc w:val="both"/>
        <w:spacing w:after="0" w:line="231" w:lineRule="auto"/>
        <w:rPr>
          <w:sz w:val="20"/>
          <w:szCs w:val="20"/>
          <w:color w:val="auto"/>
        </w:rPr>
      </w:pPr>
      <w:r>
        <w:rPr>
          <w:rFonts w:ascii="Arial" w:cs="Arial" w:eastAsia="Arial" w:hAnsi="Arial"/>
          <w:sz w:val="14"/>
          <w:szCs w:val="14"/>
          <w:color w:val="auto"/>
        </w:rPr>
        <w:t>On November 14, 2008, the Company acquired 100% of the common stock of Prevalere Life Sciences Inc. (“Prevalere”), for an initial cash consideration of $37.7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are achieved during the years ended December 31, 2008 and 2009. On April 30, 2009, a further $5.0 million was paid in respect of the milestones for the year ended December 31, 2008. No amounts have been accrued in respect of the milestones for the year ended December 31, 2009.</w:t>
      </w:r>
    </w:p>
    <w:p>
      <w:pPr>
        <w:spacing w:after="0" w:line="211"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On July 1,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December 31,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are achieved during the year ended December 31, 2009. No amounts have been accrued in respect of the potential additional consideration.</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520"/>
          </w:cols>
          <w:pgMar w:left="240" w:top="364" w:right="1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Inflation</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We believe the effects of inflation generally do not have a material adverse impact on our operations or financial conditions.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We are not party to any litigation or other legal proceedings that we believe could reasonably be expected to have a material adverse effect on our business, results of operations and financial condition.</w:t>
      </w:r>
    </w:p>
    <w:p>
      <w:pPr>
        <w:spacing w:after="0" w:line="201"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360" w:right="719" w:bottom="1440" w:gutter="0" w:footer="0" w:header="0"/>
        </w:sectPr>
      </w:pPr>
    </w:p>
    <w:bookmarkStart w:id="24" w:name="page25"/>
    <w:bookmarkEnd w:id="24"/>
    <w:p>
      <w:pPr>
        <w:ind w:left="5260"/>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ICON plc</w:t>
      </w:r>
    </w:p>
    <w:p>
      <w:pPr>
        <w:spacing w:after="0" w:line="200" w:lineRule="exact"/>
        <w:rPr>
          <w:sz w:val="20"/>
          <w:szCs w:val="20"/>
          <w:color w:val="auto"/>
        </w:rPr>
      </w:pPr>
    </w:p>
    <w:p>
      <w:pPr>
        <w:spacing w:after="0" w:line="385" w:lineRule="exact"/>
        <w:rPr>
          <w:sz w:val="20"/>
          <w:szCs w:val="20"/>
          <w:color w:val="auto"/>
        </w:rPr>
      </w:pPr>
    </w:p>
    <w:p>
      <w:pPr>
        <w:ind w:left="7440"/>
        <w:spacing w:after="0"/>
        <w:rPr>
          <w:sz w:val="20"/>
          <w:szCs w:val="20"/>
          <w:color w:val="auto"/>
        </w:rPr>
      </w:pPr>
      <w:r>
        <w:rPr>
          <w:rFonts w:ascii="Arial" w:cs="Arial" w:eastAsia="Arial" w:hAnsi="Arial"/>
          <w:sz w:val="14"/>
          <w:szCs w:val="14"/>
          <w:u w:val="single" w:color="auto"/>
          <w:color w:val="auto"/>
        </w:rPr>
        <w:t>/s/ Ciaran Murray</w:t>
      </w:r>
    </w:p>
    <w:p>
      <w:pPr>
        <w:spacing w:after="0"/>
        <w:tabs>
          <w:tab w:leader="none" w:pos="7420" w:val="left"/>
        </w:tabs>
        <w:rPr>
          <w:sz w:val="20"/>
          <w:szCs w:val="20"/>
          <w:color w:val="auto"/>
        </w:rPr>
      </w:pPr>
      <w:r>
        <w:rPr>
          <w:rFonts w:ascii="Arial" w:cs="Arial" w:eastAsia="Arial" w:hAnsi="Arial"/>
          <w:sz w:val="14"/>
          <w:szCs w:val="14"/>
          <w:color w:val="auto"/>
        </w:rPr>
        <w:t>Date October 19, 2009</w:t>
      </w:r>
      <w:r>
        <w:rPr>
          <w:sz w:val="20"/>
          <w:szCs w:val="20"/>
          <w:color w:val="auto"/>
        </w:rPr>
        <w:tab/>
      </w:r>
      <w:r>
        <w:rPr>
          <w:rFonts w:ascii="Arial" w:cs="Arial" w:eastAsia="Arial" w:hAnsi="Arial"/>
          <w:sz w:val="13"/>
          <w:szCs w:val="13"/>
          <w:color w:val="auto"/>
        </w:rPr>
        <w:t>Ciaran Murray</w:t>
      </w:r>
    </w:p>
    <w:p>
      <w:pPr>
        <w:ind w:left="7440"/>
        <w:spacing w:after="0"/>
        <w:rPr>
          <w:sz w:val="20"/>
          <w:szCs w:val="20"/>
          <w:color w:val="auto"/>
        </w:rPr>
      </w:pPr>
      <w:r>
        <w:rPr>
          <w:rFonts w:ascii="Arial" w:cs="Arial" w:eastAsia="Arial" w:hAnsi="Arial"/>
          <w:sz w:val="14"/>
          <w:szCs w:val="14"/>
          <w:color w:val="auto"/>
        </w:rPr>
        <w:t>Chief Financial Officer</w:t>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24</w:t>
      </w:r>
    </w:p>
    <w:sectPr>
      <w:pgSz w:w="11900" w:h="16838" w:orient="portrait"/>
      <w:cols w:equalWidth="0" w:num="1">
        <w:col w:w="10560"/>
      </w:cols>
      <w:pgMar w:left="240" w:top="603"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2019-12-10T17:00:22Z</dcterms:created>
  <dcterms:modified xsi:type="dcterms:W3CDTF">2019-12-10T17:00:22Z</dcterms:modified>
</cp:coreProperties>
</file>