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6"/>
          <w:szCs w:val="16"/>
          <w:color w:val="auto"/>
        </w:rPr>
        <w:t>FORM 6-K</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Pursuant to Rule 13a - 16 under</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For the quarterly period ended February 29, 2004</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ICON plc</w:t>
      </w:r>
    </w:p>
    <w:p>
      <w:pPr>
        <w:spacing w:after="0" w:line="7"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(Registrant's name)</w:t>
      </w:r>
    </w:p>
    <w:p>
      <w:pPr>
        <w:spacing w:after="0" w:line="195"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0-29714</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(Commission file number)</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South County Business Park, Leopardstown, Dublin 18, Ireland.</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95" w:lineRule="exact"/>
        <w:rPr>
          <w:sz w:val="24"/>
          <w:szCs w:val="24"/>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Form 20-F or Form 40-F.</w:t>
      </w:r>
    </w:p>
    <w:p>
      <w:pPr>
        <w:spacing w:after="0" w:line="183" w:lineRule="exact"/>
        <w:rPr>
          <w:sz w:val="24"/>
          <w:szCs w:val="24"/>
          <w:color w:val="auto"/>
        </w:rPr>
      </w:pPr>
    </w:p>
    <w:p>
      <w:pPr>
        <w:ind w:left="880"/>
        <w:spacing w:after="0"/>
        <w:tabs>
          <w:tab w:leader="none" w:pos="1740" w:val="left"/>
          <w:tab w:leader="none" w:pos="408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spacing w:after="0" w:line="195" w:lineRule="exact"/>
        <w:rPr>
          <w:sz w:val="24"/>
          <w:szCs w:val="24"/>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101(b)(1):</w:t>
      </w:r>
    </w:p>
    <w:p>
      <w:pPr>
        <w:spacing w:after="0" w:line="183" w:lineRule="exact"/>
        <w:rPr>
          <w:sz w:val="24"/>
          <w:szCs w:val="24"/>
          <w:color w:val="auto"/>
        </w:rPr>
      </w:pPr>
    </w:p>
    <w:p>
      <w:pPr>
        <w:ind w:left="880"/>
        <w:spacing w:after="0"/>
        <w:tabs>
          <w:tab w:leader="none" w:pos="3980" w:val="left"/>
          <w:tab w:leader="none" w:pos="458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5"/>
          <w:szCs w:val="15"/>
          <w:color w:val="auto"/>
        </w:rPr>
        <w:t>/X/</w:t>
      </w:r>
    </w:p>
    <w:p>
      <w:pPr>
        <w:spacing w:after="0" w:line="195" w:lineRule="exact"/>
        <w:rPr>
          <w:sz w:val="24"/>
          <w:szCs w:val="24"/>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101(b)(7):</w:t>
      </w:r>
    </w:p>
    <w:p>
      <w:pPr>
        <w:spacing w:after="0" w:line="183" w:lineRule="exact"/>
        <w:rPr>
          <w:sz w:val="24"/>
          <w:szCs w:val="24"/>
          <w:color w:val="auto"/>
        </w:rPr>
      </w:pPr>
    </w:p>
    <w:p>
      <w:pPr>
        <w:ind w:left="880"/>
        <w:spacing w:after="0"/>
        <w:tabs>
          <w:tab w:leader="none" w:pos="3980" w:val="left"/>
          <w:tab w:leader="none" w:pos="438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No</w:t>
        <w:tab/>
        <w:t>/X/</w:t>
      </w:r>
    </w:p>
    <w:p>
      <w:pPr>
        <w:spacing w:after="0" w:line="195" w:lineRule="exact"/>
        <w:rPr>
          <w:sz w:val="24"/>
          <w:szCs w:val="24"/>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5" w:lineRule="exact"/>
        <w:rPr>
          <w:sz w:val="24"/>
          <w:szCs w:val="24"/>
          <w:color w:val="auto"/>
        </w:rPr>
      </w:pPr>
    </w:p>
    <w:p>
      <w:pPr>
        <w:ind w:left="880"/>
        <w:spacing w:after="0"/>
        <w:tabs>
          <w:tab w:leader="none" w:pos="3980" w:val="left"/>
          <w:tab w:leader="none" w:pos="458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5"/>
          <w:szCs w:val="15"/>
          <w:color w:val="auto"/>
        </w:rPr>
        <w:t>/X/</w:t>
      </w:r>
    </w:p>
    <w:p>
      <w:pPr>
        <w:spacing w:after="0" w:line="195" w:lineRule="exact"/>
        <w:rPr>
          <w:sz w:val="24"/>
          <w:szCs w:val="24"/>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Other Events.</w:t>
      </w:r>
    </w:p>
    <w:p>
      <w:pPr>
        <w:spacing w:after="0" w:line="383" w:lineRule="exact"/>
        <w:rPr>
          <w:sz w:val="24"/>
          <w:szCs w:val="24"/>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registrant hereby incorporates by reference the press release attached hereto as Exhibit 99.1 into this report.</w:t>
      </w:r>
    </w:p>
    <w:p>
      <w:pPr>
        <w:sectPr>
          <w:pgSz w:w="11900" w:h="16838" w:orient="portrait"/>
          <w:cols w:equalWidth="0" w:num="1">
            <w:col w:w="10219"/>
          </w:cols>
          <w:pgMar w:left="240" w:top="242"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Financial Statements and Exhibits.</w:t>
      </w:r>
    </w:p>
    <w:p>
      <w:pPr>
        <w:spacing w:after="0" w:line="383"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(c) The following Exhibits are filed as part of this report:</w:t>
      </w:r>
    </w:p>
    <w:p>
      <w:pPr>
        <w:sectPr>
          <w:pgSz w:w="11900" w:h="16838" w:orient="portrait"/>
          <w:cols w:equalWidth="0" w:num="1">
            <w:col w:w="10219"/>
          </w:cols>
          <w:pgMar w:left="240" w:top="868" w:right="1440" w:bottom="1440" w:gutter="0" w:footer="0" w:header="0"/>
        </w:sectPr>
      </w:pPr>
    </w:p>
    <w:p>
      <w:pPr>
        <w:spacing w:after="0" w:line="383"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EXHIBIT NO.</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DESCRIPTION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w:t>
      </w:r>
    </w:p>
    <w:p>
      <w:pPr>
        <w:sectPr>
          <w:pgSz w:w="11900" w:h="16838" w:orient="portrait"/>
          <w:cols w:equalWidth="0" w:num="2">
            <w:col w:w="4760" w:space="720"/>
            <w:col w:w="4739"/>
          </w:cols>
          <w:pgMar w:left="240" w:top="868" w:right="1440" w:bottom="1440" w:gutter="0" w:footer="0" w:header="0"/>
          <w:type w:val="continuous"/>
        </w:sectPr>
      </w:pPr>
    </w:p>
    <w:bookmarkStart w:id="2" w:name="page3"/>
    <w:bookmarkEnd w:id="2"/>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ICON plc</w:t>
      </w:r>
    </w:p>
    <w:p>
      <w:pPr>
        <w:sectPr>
          <w:pgSz w:w="11900" w:h="16838" w:orient="portrait"/>
          <w:cols w:equalWidth="0" w:num="1">
            <w:col w:w="10219"/>
          </w:cols>
          <w:pgMar w:left="240" w:top="868" w:right="1440" w:bottom="1440" w:gutter="0" w:footer="0" w:header="0"/>
        </w:sect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Sean Leech</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Sean Leech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2">
            <w:col w:w="3280" w:space="720"/>
            <w:col w:w="6219"/>
          </w:cols>
          <w:pgMar w:left="240" w:top="868" w:right="1440" w:bottom="1440" w:gutter="0" w:footer="0" w:header="0"/>
          <w:type w:val="continuous"/>
        </w:sectPr>
      </w:pPr>
    </w:p>
    <w:bookmarkStart w:id="3" w:name="page4"/>
    <w:bookmarkEnd w:id="3"/>
    <w:p>
      <w:pPr>
        <w:jc w:val="right"/>
        <w:ind w:right="2399"/>
        <w:spacing w:after="0"/>
        <w:rPr>
          <w:sz w:val="20"/>
          <w:szCs w:val="20"/>
          <w:color w:val="auto"/>
        </w:rPr>
      </w:pPr>
      <w:r>
        <w:rPr>
          <w:rFonts w:ascii="Courier New" w:cs="Courier New" w:eastAsia="Courier New" w:hAnsi="Courier New"/>
          <w:sz w:val="16"/>
          <w:szCs w:val="16"/>
          <w:color w:val="auto"/>
        </w:rPr>
        <w:t>Exhibit 99.1</w:t>
      </w:r>
    </w:p>
    <w:p>
      <w:pPr>
        <w:spacing w:after="0" w:line="383"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ICON reports another strong quarter with a 42% increase in operating income and EPS of $0.47 for the Third Quarter FY 2004 (NASDAQ:ICLR)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Highlights - Third Quarter Fiscal 2004</w:t>
      </w:r>
    </w:p>
    <w:p>
      <w:pPr>
        <w:spacing w:after="0" w:line="195" w:lineRule="exact"/>
        <w:rPr>
          <w:sz w:val="20"/>
          <w:szCs w:val="20"/>
          <w:color w:val="auto"/>
        </w:rPr>
      </w:pPr>
    </w:p>
    <w:p>
      <w:pPr>
        <w:ind w:left="480" w:right="2599" w:hanging="480"/>
        <w:spacing w:after="0" w:line="252"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quarter net revenues increased 30% over the third quarter of fiscal 2003 to $76.9 million and increased 37% on a year-to-date basis.</w:t>
      </w:r>
    </w:p>
    <w:p>
      <w:pPr>
        <w:spacing w:after="0" w:line="183" w:lineRule="exact"/>
        <w:rPr>
          <w:rFonts w:ascii="Courier New" w:cs="Courier New" w:eastAsia="Courier New" w:hAnsi="Courier New"/>
          <w:sz w:val="16"/>
          <w:szCs w:val="16"/>
          <w:color w:val="auto"/>
        </w:rPr>
      </w:pPr>
    </w:p>
    <w:p>
      <w:pPr>
        <w:jc w:val="both"/>
        <w:ind w:left="480" w:right="2499" w:hanging="480"/>
        <w:spacing w:after="0" w:line="252"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from operations increased 42% over the third quarter of fiscal 2003 to $8.8 million and increased 40% in the nine months to February 29, 2004.</w:t>
      </w:r>
    </w:p>
    <w:p>
      <w:pPr>
        <w:spacing w:after="0" w:line="183" w:lineRule="exact"/>
        <w:rPr>
          <w:rFonts w:ascii="Courier New" w:cs="Courier New" w:eastAsia="Courier New" w:hAnsi="Courier New"/>
          <w:sz w:val="16"/>
          <w:szCs w:val="16"/>
          <w:color w:val="auto"/>
        </w:rPr>
      </w:pPr>
    </w:p>
    <w:p>
      <w:pPr>
        <w:ind w:left="480" w:right="2499" w:hanging="480"/>
        <w:spacing w:after="0" w:line="249"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earnings per share increased 24% for the third quarter to 47 cents compared to 38 cents in the same quarter last year. Year-to-date diluted earnings per share was 139 cents compared to 107 cents for the comparable period last year.</w:t>
      </w:r>
    </w:p>
    <w:p>
      <w:pPr>
        <w:spacing w:after="0" w:line="187"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$91 million of net new business awarded to ICON during the quarter.</w:t>
      </w:r>
    </w:p>
    <w:p>
      <w:pPr>
        <w:spacing w:after="0" w:line="195"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Dublin, Ireland, April 1, 2004 - ICON plc (NASDAQ: ICLR), a global contract clinical research organisation, which has approximately 2,450 employees providing services to the pharmaceutical and biotech industries from 33 locations in 20 countries worldwide, today reported the financial results for its third quarter ended February 29, 2004.</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revenues for the quarter were $76.9 million, representing a 30% increase over net revenues of $59.3 million for the same quarter last year. Excluding the impact of acquisitions, revenue growth for the quarter was 22% over the same quarter last year.</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Income from operations was $8.8 million, which represents an increase of 42% from the $6.2 million reported for the third quarter last year. Operating margin for the quarter was 11.4% compared to 10.4% for the equivalent period last year. Net income for the quarter was $6.7 million or 47 cents per share, on a diluted basis, compared with $4.6 million or 38 cents per share for the third quarter last year.</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the nine months to February 29, 2004, net revenues were $219.0 million, representing a 37% increase over net revenues of $159.7 million reported for the first nine months of last year. Excluding the impact of acquisitions, revenue growth was 24% for the nine months ending February 29, 2004.</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Income from operations was $24.7 million, representing an increase of 40% from the $17.7 million reported for the same period last year. Operating margin for the nine months to February 29, 2004 was 11.3%, compared to the 11.1% in the same period last year. Net income was $18.5 million or 139 cents per share, on a diluted basis, compared with $13.0 million or 107 cents per share reported for the same period last year.</w:t>
      </w:r>
    </w:p>
    <w:p>
      <w:pPr>
        <w:spacing w:after="0" w:line="187"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Days sales outstanding, comprising accounts receivable and unbilled revenue less payments on account, were 57 days at February 29, 2004 compared to 69 days at November 30, 2003 and 64 days at May 31, 2003.</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quarter ending February 29, 2004, cash generated from operations was</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$24.5 million, and capital expenditure was $2.0 million. For the nine months to February 29, 2004, cash generated from operations was $30.8 million, capital expenditure was $9.7 million and payments of $12.8 million were made in relation to acquisitions. As a result of these factors the company's net cash, short-term debt and short-term investments were $67.1 million at February 29, 2004, compared to $44.0 million at November 30, 2003 and $11.2 million at May 31, 2003.</w:t>
      </w:r>
    </w:p>
    <w:p>
      <w:pPr>
        <w:sectPr>
          <w:pgSz w:w="11900" w:h="16838" w:orient="portrait"/>
          <w:cols w:equalWidth="0" w:num="1">
            <w:col w:w="10219"/>
          </w:cols>
          <w:pgMar w:left="240" w:top="492" w:right="1440" w:bottom="1440" w:gutter="0" w:footer="0" w:header="0"/>
        </w:sectPr>
      </w:pPr>
    </w:p>
    <w:bookmarkStart w:id="4" w:name="page5"/>
    <w:bookmarkEnd w:id="4"/>
    <w:p>
      <w:pPr>
        <w:ind w:right="2399"/>
        <w:spacing w:after="0" w:line="249" w:lineRule="auto"/>
        <w:rPr>
          <w:sz w:val="20"/>
          <w:szCs w:val="20"/>
          <w:color w:val="auto"/>
        </w:rPr>
      </w:pPr>
      <w:r>
        <w:rPr>
          <w:rFonts w:ascii="Courier New" w:cs="Courier New" w:eastAsia="Courier New" w:hAnsi="Courier New"/>
          <w:sz w:val="16"/>
          <w:szCs w:val="16"/>
          <w:color w:val="auto"/>
        </w:rPr>
        <w:t>"This has been very good quarter for ICON", commented Chairman, Dr John Climax. "Our clinical business again performed well and our laboratory business showed good improvement. We achieved a very good level of new business wins and made excellent progress with our working capital management, which resulted in strong cash flows".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Commenting on the outlook, Dr Climax said "Net new business wins in the quarter were $91 million, which was a substantial increase over the previous quarter and our backlog has benefited from this. Nonetheless, we continue to be focused on our business development efforts to ensure that momentum will be maintained into our new fiscal year".</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will hold its third quarter conference call today, April 1, 2004 at 10:00 EST [16:00 Ireland &amp; UK / 17:00 CET]. This call and linked slide presentation can be accessed live from our website at http://www.iconclinical.com. A recording will also be available on the website for 90 days following the call. In addition, a calendar of company events, including upcoming conference presentations, is available on our website, under "shareholders services". This calendar will be updated regularly.</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7"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The financial information presented herein has been prepared in accordance with U.S. GAAP.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 ICON plc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 Investor Relations 1-888-381-7923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Sean Leech CFO + 353 -1-291-2000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Both at ICON.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http://www.iconclinical.com</w:t>
      </w:r>
    </w:p>
    <w:p>
      <w:pPr>
        <w:sectPr>
          <w:pgSz w:w="11900" w:h="16838" w:orient="portrait"/>
          <w:cols w:equalWidth="0" w:num="1">
            <w:col w:w="10219"/>
          </w:cols>
          <w:pgMar w:left="240" w:top="1056" w:right="1440" w:bottom="1440" w:gutter="0" w:footer="0" w:header="0"/>
        </w:sectPr>
      </w:pPr>
    </w:p>
    <w:bookmarkStart w:id="5" w:name="page6"/>
    <w:bookmarkEnd w:id="5"/>
    <w:p>
      <w:pPr>
        <w:jc w:val="center"/>
        <w:ind w:right="3700"/>
        <w:spacing w:after="0"/>
        <w:rPr>
          <w:sz w:val="20"/>
          <w:szCs w:val="20"/>
          <w:color w:val="auto"/>
        </w:rPr>
      </w:pPr>
      <w:r>
        <w:rPr>
          <w:rFonts w:ascii="Courier New" w:cs="Courier New" w:eastAsia="Courier New" w:hAnsi="Courier New"/>
          <w:sz w:val="16"/>
          <w:szCs w:val="16"/>
          <w:color w:val="auto"/>
        </w:rPr>
        <w:t>ICON plc</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Consolidated Income Statements</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(Unaudited)</w:t>
      </w:r>
    </w:p>
    <w:p>
      <w:pPr>
        <w:spacing w:after="0" w:line="195" w:lineRule="exact"/>
        <w:rPr>
          <w:sz w:val="20"/>
          <w:szCs w:val="20"/>
          <w:color w:val="auto"/>
        </w:rPr>
      </w:pPr>
    </w:p>
    <w:p>
      <w:pPr>
        <w:ind w:left="1180" w:right="4280" w:hanging="488"/>
        <w:spacing w:after="0" w:line="252" w:lineRule="auto"/>
        <w:rPr>
          <w:sz w:val="20"/>
          <w:szCs w:val="20"/>
          <w:color w:val="auto"/>
        </w:rPr>
      </w:pPr>
      <w:r>
        <w:rPr>
          <w:rFonts w:ascii="Courier New" w:cs="Courier New" w:eastAsia="Courier New" w:hAnsi="Courier New"/>
          <w:sz w:val="16"/>
          <w:szCs w:val="16"/>
          <w:color w:val="auto"/>
        </w:rPr>
        <w:t>Three and Nine Months ended February 29, 2004 and February 28, 2003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Three Months</w:t>
            </w: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Ended</w:t>
            </w:r>
          </w:p>
        </w:tc>
        <w:tc>
          <w:tcPr>
            <w:tcW w:w="346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Nine Months Ended</w:t>
            </w:r>
          </w:p>
        </w:tc>
      </w:tr>
      <w:tr>
        <w:trPr>
          <w:trHeight w:val="188"/>
        </w:trPr>
        <w:tc>
          <w:tcPr>
            <w:tcW w:w="4340" w:type="dxa"/>
            <w:vAlign w:val="bottom"/>
          </w:tcPr>
          <w:p>
            <w:pPr>
              <w:spacing w:after="0"/>
              <w:rPr>
                <w:sz w:val="16"/>
                <w:szCs w:val="16"/>
                <w:color w:val="auto"/>
              </w:rPr>
            </w:pP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February 29,</w:t>
            </w: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February 28,</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February 29,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February 28,</w:t>
            </w:r>
          </w:p>
        </w:tc>
      </w:tr>
      <w:tr>
        <w:trPr>
          <w:trHeight w:val="188"/>
        </w:trPr>
        <w:tc>
          <w:tcPr>
            <w:tcW w:w="4340" w:type="dxa"/>
            <w:vAlign w:val="bottom"/>
          </w:tcPr>
          <w:p>
            <w:pPr>
              <w:spacing w:after="0"/>
              <w:rPr>
                <w:sz w:val="16"/>
                <w:szCs w:val="16"/>
                <w:color w:val="auto"/>
              </w:rPr>
            </w:pP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2004</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2003</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2004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r>
        <w:trPr>
          <w:trHeight w:val="5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Gross Revenue</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112,831</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79,205</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332,181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236,270</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Subcontractor costs</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35,969</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19,894</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113,177</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76,565</w:t>
            </w:r>
          </w:p>
        </w:tc>
      </w:tr>
      <w:tr>
        <w:trPr>
          <w:trHeight w:val="376"/>
        </w:trPr>
        <w:tc>
          <w:tcPr>
            <w:tcW w:w="4340" w:type="dxa"/>
            <w:vAlign w:val="bottom"/>
          </w:tcPr>
          <w:p>
            <w:pPr>
              <w:spacing w:after="0"/>
              <w:rPr>
                <w:sz w:val="24"/>
                <w:szCs w:val="24"/>
                <w:color w:val="auto"/>
              </w:rPr>
            </w:pPr>
          </w:p>
        </w:tc>
        <w:tc>
          <w:tcPr>
            <w:tcW w:w="3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76,862</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59,311</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219,004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159,705</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Direct costs</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42,502</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33,366</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120,271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87,507</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22,708</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17,890</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65,774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49,481</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2,894</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1,869</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8,215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5,017</w:t>
            </w:r>
          </w:p>
        </w:tc>
      </w:tr>
      <w:tr>
        <w:trPr>
          <w:trHeight w:val="376"/>
        </w:trPr>
        <w:tc>
          <w:tcPr>
            <w:tcW w:w="4340" w:type="dxa"/>
            <w:vAlign w:val="bottom"/>
          </w:tcPr>
          <w:p>
            <w:pPr>
              <w:spacing w:after="0"/>
              <w:rPr>
                <w:sz w:val="24"/>
                <w:szCs w:val="24"/>
                <w:color w:val="auto"/>
              </w:rPr>
            </w:pPr>
          </w:p>
        </w:tc>
        <w:tc>
          <w:tcPr>
            <w:tcW w:w="3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Total costs and expenses</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68,104</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53,125</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194,260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142,005</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8,758</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6,186</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24,744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17,700</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income (net)</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75</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120</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197</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379</w:t>
            </w:r>
          </w:p>
        </w:tc>
      </w:tr>
      <w:tr>
        <w:trPr>
          <w:trHeight w:val="376"/>
        </w:trPr>
        <w:tc>
          <w:tcPr>
            <w:tcW w:w="4340" w:type="dxa"/>
            <w:vAlign w:val="bottom"/>
          </w:tcPr>
          <w:p>
            <w:pPr>
              <w:spacing w:after="0"/>
              <w:rPr>
                <w:sz w:val="24"/>
                <w:szCs w:val="24"/>
                <w:color w:val="auto"/>
              </w:rPr>
            </w:pPr>
          </w:p>
        </w:tc>
        <w:tc>
          <w:tcPr>
            <w:tcW w:w="3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Income before provision of income taxes</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8,833</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6,306</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24,941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18,079</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2,182</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1,709</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6,421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5,090</w:t>
            </w:r>
          </w:p>
        </w:tc>
      </w:tr>
      <w:tr>
        <w:trPr>
          <w:trHeight w:val="188"/>
        </w:trPr>
        <w:tc>
          <w:tcPr>
            <w:tcW w:w="4340" w:type="dxa"/>
            <w:vAlign w:val="bottom"/>
          </w:tcPr>
          <w:p>
            <w:pPr>
              <w:spacing w:after="0"/>
              <w:rPr>
                <w:sz w:val="16"/>
                <w:szCs w:val="16"/>
                <w:color w:val="auto"/>
              </w:rPr>
            </w:pPr>
          </w:p>
        </w:tc>
        <w:tc>
          <w:tcPr>
            <w:tcW w:w="3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6,651</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4,597</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18,520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12,989</w:t>
            </w:r>
          </w:p>
        </w:tc>
      </w:tr>
      <w:tr>
        <w:trPr>
          <w:trHeight w:val="188"/>
        </w:trPr>
        <w:tc>
          <w:tcPr>
            <w:tcW w:w="4340" w:type="dxa"/>
            <w:vAlign w:val="bottom"/>
          </w:tcPr>
          <w:p>
            <w:pPr>
              <w:spacing w:after="0"/>
              <w:rPr>
                <w:sz w:val="16"/>
                <w:szCs w:val="16"/>
                <w:color w:val="auto"/>
              </w:rPr>
            </w:pPr>
          </w:p>
        </w:tc>
        <w:tc>
          <w:tcPr>
            <w:tcW w:w="3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 per ordinary share</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$0.49</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$0.39</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8"/>
        </w:trPr>
        <w:tc>
          <w:tcPr>
            <w:tcW w:w="4340" w:type="dxa"/>
            <w:vAlign w:val="bottom"/>
          </w:tcPr>
          <w:p>
            <w:pPr>
              <w:spacing w:after="0"/>
              <w:rPr>
                <w:sz w:val="16"/>
                <w:szCs w:val="16"/>
                <w:color w:val="auto"/>
              </w:rPr>
            </w:pPr>
          </w:p>
        </w:tc>
        <w:tc>
          <w:tcPr>
            <w:tcW w:w="3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$0.47</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$0.38</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88"/>
        </w:trPr>
        <w:tc>
          <w:tcPr>
            <w:tcW w:w="4340" w:type="dxa"/>
            <w:vAlign w:val="bottom"/>
          </w:tcPr>
          <w:p>
            <w:pPr>
              <w:spacing w:after="0"/>
              <w:rPr>
                <w:sz w:val="16"/>
                <w:szCs w:val="16"/>
                <w:color w:val="auto"/>
              </w:rPr>
            </w:pPr>
          </w:p>
        </w:tc>
        <w:tc>
          <w:tcPr>
            <w:tcW w:w="3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Weighted average number of ordinary shares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13,622,514</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11,818,704</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12,797,089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11,804,576</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14,070,194</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12,220,266</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13,288,688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12,169,875</w:t>
            </w:r>
          </w:p>
        </w:tc>
      </w:tr>
    </w:tbl>
    <w:p>
      <w:pPr>
        <w:sectPr>
          <w:pgSz w:w="11900" w:h="16838" w:orient="portrait"/>
          <w:cols w:equalWidth="0" w:num="1">
            <w:col w:w="11520"/>
          </w:cols>
          <w:pgMar w:left="240" w:top="1244" w:right="139" w:bottom="1440" w:gutter="0" w:footer="0" w:header="0"/>
        </w:sectPr>
      </w:pPr>
    </w:p>
    <w:bookmarkStart w:id="6" w:name="page7"/>
    <w:bookmarkEnd w:id="6"/>
    <w:p>
      <w:pPr>
        <w:jc w:val="center"/>
        <w:ind w:right="2399"/>
        <w:spacing w:after="0"/>
        <w:rPr>
          <w:sz w:val="20"/>
          <w:szCs w:val="20"/>
          <w:color w:val="auto"/>
        </w:rPr>
      </w:pPr>
      <w:r>
        <w:rPr>
          <w:rFonts w:ascii="Courier New" w:cs="Courier New" w:eastAsia="Courier New" w:hAnsi="Courier New"/>
          <w:sz w:val="16"/>
          <w:szCs w:val="16"/>
          <w:color w:val="auto"/>
        </w:rPr>
        <w:t>ICON plc</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Summary Balance Sheet Data</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February 29, 2004 and May 31, 2003</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5"/>
                <w:szCs w:val="15"/>
                <w:color w:val="auto"/>
              </w:rPr>
            </w:pPr>
          </w:p>
        </w:tc>
        <w:tc>
          <w:tcPr>
            <w:tcW w:w="372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February 29,</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May 31,</w:t>
            </w:r>
          </w:p>
        </w:tc>
      </w:tr>
      <w:tr>
        <w:trPr>
          <w:trHeight w:val="188"/>
        </w:trPr>
        <w:tc>
          <w:tcPr>
            <w:tcW w:w="3120" w:type="dxa"/>
            <w:vAlign w:val="bottom"/>
          </w:tcPr>
          <w:p>
            <w:pPr>
              <w:spacing w:after="0"/>
              <w:rPr>
                <w:sz w:val="16"/>
                <w:szCs w:val="16"/>
                <w:color w:val="auto"/>
              </w:rPr>
            </w:pPr>
          </w:p>
        </w:tc>
        <w:tc>
          <w:tcPr>
            <w:tcW w:w="372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2004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2003</w:t>
            </w:r>
          </w:p>
        </w:tc>
      </w:tr>
      <w:tr>
        <w:trPr>
          <w:trHeight w:val="188"/>
        </w:trPr>
        <w:tc>
          <w:tcPr>
            <w:tcW w:w="3120" w:type="dxa"/>
            <w:vAlign w:val="bottom"/>
          </w:tcPr>
          <w:p>
            <w:pPr>
              <w:spacing w:after="0"/>
              <w:rPr>
                <w:sz w:val="16"/>
                <w:szCs w:val="16"/>
                <w:color w:val="auto"/>
              </w:rPr>
            </w:pPr>
          </w:p>
        </w:tc>
        <w:tc>
          <w:tcPr>
            <w:tcW w:w="372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(unaudited)</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(audited)</w:t>
            </w:r>
          </w:p>
        </w:tc>
      </w:tr>
      <w:tr>
        <w:trPr>
          <w:trHeight w:val="376"/>
        </w:trPr>
        <w:tc>
          <w:tcPr>
            <w:tcW w:w="3120" w:type="dxa"/>
            <w:vAlign w:val="bottom"/>
          </w:tcPr>
          <w:p>
            <w:pPr>
              <w:spacing w:after="0"/>
              <w:rPr>
                <w:sz w:val="20"/>
                <w:szCs w:val="20"/>
                <w:color w:val="auto"/>
              </w:rPr>
            </w:pPr>
            <w:r>
              <w:rPr>
                <w:rFonts w:ascii="Courier New" w:cs="Courier New" w:eastAsia="Courier New" w:hAnsi="Courier New"/>
                <w:sz w:val="16"/>
                <w:szCs w:val="16"/>
                <w:color w:val="auto"/>
              </w:rPr>
              <w:t>Cash and short-term investments</w:t>
            </w:r>
          </w:p>
        </w:tc>
        <w:tc>
          <w:tcPr>
            <w:tcW w:w="372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67,114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18,311</w:t>
            </w:r>
          </w:p>
        </w:tc>
      </w:tr>
      <w:tr>
        <w:trPr>
          <w:trHeight w:val="188"/>
        </w:trPr>
        <w:tc>
          <w:tcPr>
            <w:tcW w:w="3120" w:type="dxa"/>
            <w:vAlign w:val="bottom"/>
          </w:tcPr>
          <w:p>
            <w:pPr>
              <w:spacing w:after="0"/>
              <w:rPr>
                <w:sz w:val="20"/>
                <w:szCs w:val="20"/>
                <w:color w:val="auto"/>
              </w:rPr>
            </w:pPr>
            <w:r>
              <w:rPr>
                <w:rFonts w:ascii="Courier New" w:cs="Courier New" w:eastAsia="Courier New" w:hAnsi="Courier New"/>
                <w:sz w:val="16"/>
                <w:szCs w:val="16"/>
                <w:color w:val="auto"/>
              </w:rPr>
              <w:t>Short-term debt</w:t>
            </w:r>
          </w:p>
        </w:tc>
        <w:tc>
          <w:tcPr>
            <w:tcW w:w="372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(7,126)</w:t>
            </w:r>
          </w:p>
        </w:tc>
      </w:tr>
      <w:tr>
        <w:trPr>
          <w:trHeight w:val="188"/>
        </w:trPr>
        <w:tc>
          <w:tcPr>
            <w:tcW w:w="3120" w:type="dxa"/>
            <w:vAlign w:val="bottom"/>
          </w:tcPr>
          <w:p>
            <w:pPr>
              <w:spacing w:after="0"/>
              <w:rPr>
                <w:sz w:val="20"/>
                <w:szCs w:val="20"/>
                <w:color w:val="auto"/>
              </w:rPr>
            </w:pPr>
            <w:r>
              <w:rPr>
                <w:rFonts w:ascii="Courier New" w:cs="Courier New" w:eastAsia="Courier New" w:hAnsi="Courier New"/>
                <w:sz w:val="16"/>
                <w:szCs w:val="16"/>
                <w:color w:val="auto"/>
              </w:rPr>
              <w:t>Net cash</w:t>
            </w:r>
          </w:p>
        </w:tc>
        <w:tc>
          <w:tcPr>
            <w:tcW w:w="372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67,114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11,185</w:t>
            </w:r>
          </w:p>
        </w:tc>
      </w:tr>
      <w:tr>
        <w:trPr>
          <w:trHeight w:val="376"/>
        </w:trPr>
        <w:tc>
          <w:tcPr>
            <w:tcW w:w="3120" w:type="dxa"/>
            <w:vAlign w:val="bottom"/>
          </w:tcPr>
          <w:p>
            <w:pPr>
              <w:spacing w:after="0"/>
              <w:rPr>
                <w:sz w:val="20"/>
                <w:szCs w:val="20"/>
                <w:color w:val="auto"/>
              </w:rPr>
            </w:pPr>
            <w:r>
              <w:rPr>
                <w:rFonts w:ascii="Courier New" w:cs="Courier New" w:eastAsia="Courier New" w:hAnsi="Courier New"/>
                <w:sz w:val="16"/>
                <w:szCs w:val="16"/>
                <w:color w:val="auto"/>
              </w:rPr>
              <w:t>Accounts receivable</w:t>
            </w:r>
          </w:p>
        </w:tc>
        <w:tc>
          <w:tcPr>
            <w:tcW w:w="372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73,888</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74,645</w:t>
            </w:r>
          </w:p>
        </w:tc>
      </w:tr>
      <w:tr>
        <w:trPr>
          <w:trHeight w:val="188"/>
        </w:trPr>
        <w:tc>
          <w:tcPr>
            <w:tcW w:w="3120" w:type="dxa"/>
            <w:vAlign w:val="bottom"/>
          </w:tcPr>
          <w:p>
            <w:pPr>
              <w:spacing w:after="0"/>
              <w:rPr>
                <w:sz w:val="20"/>
                <w:szCs w:val="20"/>
                <w:color w:val="auto"/>
              </w:rPr>
            </w:pPr>
            <w:r>
              <w:rPr>
                <w:rFonts w:ascii="Courier New" w:cs="Courier New" w:eastAsia="Courier New" w:hAnsi="Courier New"/>
                <w:sz w:val="16"/>
                <w:szCs w:val="16"/>
                <w:color w:val="auto"/>
              </w:rPr>
              <w:t>Unbilled revenue</w:t>
            </w:r>
          </w:p>
        </w:tc>
        <w:tc>
          <w:tcPr>
            <w:tcW w:w="372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56,340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44,783</w:t>
            </w:r>
          </w:p>
        </w:tc>
      </w:tr>
      <w:tr>
        <w:trPr>
          <w:trHeight w:val="188"/>
        </w:trPr>
        <w:tc>
          <w:tcPr>
            <w:tcW w:w="3120" w:type="dxa"/>
            <w:vAlign w:val="bottom"/>
          </w:tcPr>
          <w:p>
            <w:pPr>
              <w:spacing w:after="0"/>
              <w:rPr>
                <w:sz w:val="20"/>
                <w:szCs w:val="20"/>
                <w:color w:val="auto"/>
              </w:rPr>
            </w:pPr>
            <w:r>
              <w:rPr>
                <w:rFonts w:ascii="Courier New" w:cs="Courier New" w:eastAsia="Courier New" w:hAnsi="Courier New"/>
                <w:sz w:val="16"/>
                <w:szCs w:val="16"/>
                <w:color w:val="auto"/>
              </w:rPr>
              <w:t>Payments on account</w:t>
            </w:r>
          </w:p>
        </w:tc>
        <w:tc>
          <w:tcPr>
            <w:tcW w:w="372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(59,979)</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(45,763)</w:t>
            </w:r>
          </w:p>
        </w:tc>
      </w:tr>
      <w:tr>
        <w:trPr>
          <w:trHeight w:val="188"/>
        </w:trPr>
        <w:tc>
          <w:tcPr>
            <w:tcW w:w="31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72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70,249</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73,665</w:t>
            </w:r>
          </w:p>
        </w:tc>
      </w:tr>
      <w:tr>
        <w:trPr>
          <w:trHeight w:val="376"/>
        </w:trPr>
        <w:tc>
          <w:tcPr>
            <w:tcW w:w="312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372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104,518</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53,827</w:t>
            </w:r>
          </w:p>
        </w:tc>
      </w:tr>
      <w:tr>
        <w:trPr>
          <w:trHeight w:val="376"/>
        </w:trPr>
        <w:tc>
          <w:tcPr>
            <w:tcW w:w="31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372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320,116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235,014</w:t>
            </w:r>
          </w:p>
        </w:tc>
      </w:tr>
      <w:tr>
        <w:trPr>
          <w:trHeight w:val="376"/>
        </w:trPr>
        <w:tc>
          <w:tcPr>
            <w:tcW w:w="31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372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207,036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136,910</w:t>
            </w:r>
          </w:p>
        </w:tc>
      </w:tr>
      <w:tr>
        <w:trPr>
          <w:trHeight w:val="5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Source:</w:t>
            </w: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ICON plc</w:t>
            </w:r>
          </w:p>
        </w:tc>
        <w:tc>
          <w:tcPr>
            <w:tcW w:w="980" w:type="dxa"/>
            <w:vAlign w:val="bottom"/>
          </w:tcPr>
          <w:p>
            <w:pPr>
              <w:spacing w:after="0"/>
              <w:rPr>
                <w:sz w:val="24"/>
                <w:szCs w:val="24"/>
                <w:color w:val="auto"/>
              </w:rPr>
            </w:pPr>
          </w:p>
        </w:tc>
      </w:tr>
      <w:tr>
        <w:trPr>
          <w:trHeight w:val="376"/>
        </w:trPr>
        <w:tc>
          <w:tcPr>
            <w:tcW w:w="3120" w:type="dxa"/>
            <w:vAlign w:val="bottom"/>
          </w:tcPr>
          <w:p>
            <w:pPr>
              <w:spacing w:after="0"/>
              <w:rPr>
                <w:sz w:val="20"/>
                <w:szCs w:val="20"/>
                <w:color w:val="auto"/>
              </w:rPr>
            </w:pPr>
            <w:r>
              <w:rPr>
                <w:rFonts w:ascii="Courier New" w:cs="Courier New" w:eastAsia="Courier New" w:hAnsi="Courier New"/>
                <w:sz w:val="16"/>
                <w:szCs w:val="16"/>
                <w:color w:val="auto"/>
              </w:rPr>
              <w:t>Contact:</w:t>
            </w: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Investor Relations 1-888-381-7923 or</w:t>
            </w:r>
          </w:p>
        </w:tc>
        <w:tc>
          <w:tcPr>
            <w:tcW w:w="980" w:type="dxa"/>
            <w:vAlign w:val="bottom"/>
          </w:tcPr>
          <w:p>
            <w:pPr>
              <w:spacing w:after="0"/>
              <w:rPr>
                <w:sz w:val="24"/>
                <w:szCs w:val="24"/>
                <w:color w:val="auto"/>
              </w:rPr>
            </w:pPr>
          </w:p>
        </w:tc>
      </w:tr>
      <w:tr>
        <w:trPr>
          <w:trHeight w:val="188"/>
        </w:trPr>
        <w:tc>
          <w:tcPr>
            <w:tcW w:w="3120" w:type="dxa"/>
            <w:vAlign w:val="bottom"/>
          </w:tcPr>
          <w:p>
            <w:pPr>
              <w:spacing w:after="0"/>
              <w:rPr>
                <w:sz w:val="16"/>
                <w:szCs w:val="16"/>
                <w:color w:val="auto"/>
              </w:rPr>
            </w:pP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Sean Leech CFO + 353 1 291 2000</w:t>
            </w:r>
          </w:p>
        </w:tc>
        <w:tc>
          <w:tcPr>
            <w:tcW w:w="980" w:type="dxa"/>
            <w:vAlign w:val="bottom"/>
          </w:tcPr>
          <w:p>
            <w:pPr>
              <w:spacing w:after="0"/>
              <w:rPr>
                <w:sz w:val="16"/>
                <w:szCs w:val="16"/>
                <w:color w:val="auto"/>
              </w:rPr>
            </w:pPr>
          </w:p>
        </w:tc>
      </w:tr>
      <w:tr>
        <w:trPr>
          <w:trHeight w:val="188"/>
        </w:trPr>
        <w:tc>
          <w:tcPr>
            <w:tcW w:w="3120" w:type="dxa"/>
            <w:vAlign w:val="bottom"/>
          </w:tcPr>
          <w:p>
            <w:pPr>
              <w:spacing w:after="0"/>
              <w:rPr>
                <w:sz w:val="16"/>
                <w:szCs w:val="16"/>
                <w:color w:val="auto"/>
              </w:rPr>
            </w:pP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both at ICON.</w:t>
            </w:r>
          </w:p>
        </w:tc>
        <w:tc>
          <w:tcPr>
            <w:tcW w:w="980" w:type="dxa"/>
            <w:vAlign w:val="bottom"/>
          </w:tcPr>
          <w:p>
            <w:pPr>
              <w:spacing w:after="0"/>
              <w:rPr>
                <w:sz w:val="16"/>
                <w:szCs w:val="16"/>
                <w:color w:val="auto"/>
              </w:rPr>
            </w:pPr>
          </w:p>
        </w:tc>
      </w:tr>
    </w:tbl>
    <w:p>
      <w:pPr>
        <w:spacing w:after="0" w:line="19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http://www.iconclinical.com</w:t>
      </w:r>
    </w:p>
    <w:sectPr>
      <w:pgSz w:w="11900" w:h="16838" w:orient="portrait"/>
      <w:cols w:equalWidth="0" w:num="1">
        <w:col w:w="10219"/>
      </w:cols>
      <w:pgMar w:left="240" w:top="1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2019-12-14T20:58:55Z</dcterms:created>
  <dcterms:modified xsi:type="dcterms:W3CDTF">2019-12-14T20:58:55Z</dcterms:modified>
</cp:coreProperties>
</file>