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FORM 6-K</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Rule 13a - 16 under</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Exchange Act of 1934</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 the month of January 2007</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name)</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0-29714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South County Business Park, Leopardstown, Dublin 18, Ireland.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39" w:lineRule="exact"/>
        <w:rPr>
          <w:sz w:val="24"/>
          <w:szCs w:val="24"/>
          <w:color w:val="auto"/>
        </w:rPr>
      </w:pPr>
    </w:p>
    <w:p>
      <w:pPr>
        <w:ind w:left="3520"/>
        <w:spacing w:after="0"/>
        <w:tabs>
          <w:tab w:leader="none" w:pos="4160" w:val="left"/>
          <w:tab w:leader="none" w:pos="664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b w:val="1"/>
          <w:bCs w:val="1"/>
          <w:color w:val="auto"/>
        </w:rPr>
        <w:t>X</w:t>
      </w:r>
      <w:r>
        <w:rPr>
          <w:sz w:val="20"/>
          <w:szCs w:val="20"/>
          <w:color w:val="auto"/>
        </w:rPr>
        <w:tab/>
      </w:r>
      <w:r>
        <w:rPr>
          <w:rFonts w:ascii="Arial" w:cs="Arial" w:eastAsia="Arial" w:hAnsi="Arial"/>
          <w:sz w:val="15"/>
          <w:szCs w:val="15"/>
          <w:color w:val="auto"/>
        </w:rPr>
        <w:t>No</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39" w:lineRule="exact"/>
        <w:rPr>
          <w:sz w:val="24"/>
          <w:szCs w:val="24"/>
          <w:color w:val="auto"/>
        </w:rPr>
      </w:pPr>
    </w:p>
    <w:p>
      <w:pPr>
        <w:ind w:left="3520"/>
        <w:spacing w:after="0"/>
        <w:tabs>
          <w:tab w:leader="none" w:pos="6360" w:val="left"/>
          <w:tab w:leader="none" w:pos="67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b w:val="1"/>
          <w:bCs w:val="1"/>
          <w:color w:val="auto"/>
        </w:rPr>
        <w:t>X</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39" w:lineRule="exact"/>
        <w:rPr>
          <w:sz w:val="24"/>
          <w:szCs w:val="24"/>
          <w:color w:val="auto"/>
        </w:rPr>
      </w:pPr>
    </w:p>
    <w:p>
      <w:pPr>
        <w:ind w:left="3520"/>
        <w:spacing w:after="0"/>
        <w:tabs>
          <w:tab w:leader="none" w:pos="6360" w:val="left"/>
          <w:tab w:leader="none" w:pos="67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b w:val="1"/>
          <w:bCs w:val="1"/>
          <w:color w:val="auto"/>
        </w:rPr>
        <w:t>X</w:t>
      </w:r>
    </w:p>
    <w:p>
      <w:pPr>
        <w:spacing w:after="0" w:line="306"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76" w:lineRule="exact"/>
        <w:rPr>
          <w:sz w:val="24"/>
          <w:szCs w:val="24"/>
          <w:color w:val="auto"/>
        </w:rPr>
      </w:pPr>
    </w:p>
    <w:p>
      <w:pPr>
        <w:ind w:left="3520"/>
        <w:spacing w:after="0"/>
        <w:tabs>
          <w:tab w:leader="none" w:pos="6360" w:val="left"/>
          <w:tab w:leader="none" w:pos="67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6"/>
          <w:szCs w:val="16"/>
          <w:b w:val="1"/>
          <w:bCs w:val="1"/>
          <w:color w:val="auto"/>
        </w:rPr>
        <w:t>X</w:t>
      </w: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6340" w:type="dxa"/>
            <w:vAlign w:val="bottom"/>
            <w:gridSpan w:val="2"/>
          </w:tcPr>
          <w:p>
            <w:pPr>
              <w:spacing w:after="0"/>
              <w:rPr>
                <w:sz w:val="20"/>
                <w:szCs w:val="20"/>
                <w:color w:val="auto"/>
              </w:rPr>
            </w:pPr>
            <w:r>
              <w:rPr>
                <w:rFonts w:ascii="Arial" w:cs="Arial" w:eastAsia="Arial" w:hAnsi="Arial"/>
                <w:sz w:val="16"/>
                <w:szCs w:val="16"/>
                <w:b w:val="1"/>
                <w:bCs w:val="1"/>
                <w:color w:val="auto"/>
              </w:rPr>
              <w:t>EXHIBIT INDEX</w:t>
            </w:r>
          </w:p>
        </w:tc>
      </w:tr>
      <w:tr>
        <w:trPr>
          <w:trHeight w:val="784"/>
        </w:trPr>
        <w:tc>
          <w:tcPr>
            <w:tcW w:w="1120" w:type="dxa"/>
            <w:vAlign w:val="bottom"/>
          </w:tcPr>
          <w:p>
            <w:pPr>
              <w:ind w:left="40"/>
              <w:spacing w:after="0"/>
              <w:rPr>
                <w:sz w:val="20"/>
                <w:szCs w:val="20"/>
                <w:color w:val="auto"/>
              </w:rPr>
            </w:pPr>
            <w:r>
              <w:rPr>
                <w:rFonts w:ascii="Arial" w:cs="Arial" w:eastAsia="Arial" w:hAnsi="Arial"/>
                <w:sz w:val="16"/>
                <w:szCs w:val="16"/>
                <w:color w:val="auto"/>
              </w:rPr>
              <w:t>Exhibit</w:t>
            </w:r>
          </w:p>
        </w:tc>
        <w:tc>
          <w:tcPr>
            <w:tcW w:w="39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70"/>
        </w:trPr>
        <w:tc>
          <w:tcPr>
            <w:tcW w:w="1120" w:type="dxa"/>
            <w:vAlign w:val="bottom"/>
          </w:tcPr>
          <w:p>
            <w:pPr>
              <w:ind w:left="40"/>
              <w:spacing w:after="0"/>
              <w:rPr>
                <w:sz w:val="20"/>
                <w:szCs w:val="20"/>
                <w:color w:val="auto"/>
              </w:rPr>
            </w:pPr>
            <w:r>
              <w:rPr>
                <w:rFonts w:ascii="Arial" w:cs="Arial" w:eastAsia="Arial" w:hAnsi="Arial"/>
                <w:sz w:val="16"/>
                <w:szCs w:val="16"/>
                <w:color w:val="auto"/>
              </w:rPr>
              <w:t>Number</w:t>
            </w:r>
          </w:p>
        </w:tc>
        <w:tc>
          <w:tcPr>
            <w:tcW w:w="10300" w:type="dxa"/>
            <w:vAlign w:val="bottom"/>
            <w:gridSpan w:val="3"/>
          </w:tcPr>
          <w:p>
            <w:pPr>
              <w:ind w:left="560"/>
              <w:spacing w:after="0"/>
              <w:rPr>
                <w:sz w:val="20"/>
                <w:szCs w:val="20"/>
                <w:color w:val="auto"/>
              </w:rPr>
            </w:pPr>
            <w:r>
              <w:rPr>
                <w:rFonts w:ascii="Arial" w:cs="Arial" w:eastAsia="Arial" w:hAnsi="Arial"/>
                <w:sz w:val="16"/>
                <w:szCs w:val="16"/>
                <w:color w:val="auto"/>
              </w:rPr>
              <w:t>Description of Exhibit</w:t>
            </w:r>
          </w:p>
        </w:tc>
      </w:tr>
      <w:tr>
        <w:trPr>
          <w:trHeight w:val="500"/>
        </w:trPr>
        <w:tc>
          <w:tcPr>
            <w:tcW w:w="1120" w:type="dxa"/>
            <w:vAlign w:val="bottom"/>
          </w:tcPr>
          <w:p>
            <w:pPr>
              <w:ind w:left="40"/>
              <w:spacing w:after="0"/>
              <w:rPr>
                <w:sz w:val="20"/>
                <w:szCs w:val="20"/>
                <w:color w:val="auto"/>
              </w:rPr>
            </w:pPr>
            <w:r>
              <w:rPr>
                <w:rFonts w:ascii="Arial" w:cs="Arial" w:eastAsia="Arial" w:hAnsi="Arial"/>
                <w:sz w:val="16"/>
                <w:szCs w:val="16"/>
                <w:color w:val="auto"/>
              </w:rPr>
              <w:t>99.1</w:t>
            </w:r>
          </w:p>
        </w:tc>
        <w:tc>
          <w:tcPr>
            <w:tcW w:w="10300" w:type="dxa"/>
            <w:vAlign w:val="bottom"/>
            <w:gridSpan w:val="3"/>
          </w:tcPr>
          <w:p>
            <w:pPr>
              <w:ind w:left="560"/>
              <w:spacing w:after="0"/>
              <w:rPr>
                <w:sz w:val="20"/>
                <w:szCs w:val="20"/>
                <w:color w:val="auto"/>
              </w:rPr>
            </w:pPr>
            <w:r>
              <w:rPr>
                <w:rFonts w:ascii="Arial" w:cs="Arial" w:eastAsia="Arial" w:hAnsi="Arial"/>
                <w:sz w:val="16"/>
                <w:szCs w:val="16"/>
                <w:color w:val="auto"/>
              </w:rPr>
              <w:t>ICON Raises 2006 Guidance and Issues Financial Guidance for 2007</w:t>
            </w:r>
          </w:p>
        </w:tc>
      </w:tr>
      <w:tr>
        <w:trPr>
          <w:trHeight w:val="935"/>
        </w:trPr>
        <w:tc>
          <w:tcPr>
            <w:tcW w:w="11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6580" w:type="dxa"/>
            <w:vAlign w:val="bottom"/>
            <w:gridSpan w:val="2"/>
          </w:tcPr>
          <w:p>
            <w:pPr>
              <w:ind w:left="3080"/>
              <w:spacing w:after="0"/>
              <w:rPr>
                <w:sz w:val="20"/>
                <w:szCs w:val="20"/>
                <w:color w:val="auto"/>
              </w:rPr>
            </w:pPr>
            <w:r>
              <w:rPr>
                <w:rFonts w:ascii="Arial" w:cs="Arial" w:eastAsia="Arial" w:hAnsi="Arial"/>
                <w:sz w:val="16"/>
                <w:szCs w:val="16"/>
                <w:b w:val="1"/>
                <w:bCs w:val="1"/>
                <w:color w:val="auto"/>
              </w:rPr>
              <w:t>ICON plc</w:t>
            </w:r>
          </w:p>
        </w:tc>
      </w:tr>
      <w:tr>
        <w:trPr>
          <w:trHeight w:val="735"/>
        </w:trPr>
        <w:tc>
          <w:tcPr>
            <w:tcW w:w="2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January 10, 2007</w:t>
            </w:r>
          </w:p>
        </w:tc>
        <w:tc>
          <w:tcPr>
            <w:tcW w:w="3740" w:type="dxa"/>
            <w:vAlign w:val="bottom"/>
          </w:tcPr>
          <w:p>
            <w:pPr>
              <w:spacing w:after="0"/>
              <w:rPr>
                <w:sz w:val="24"/>
                <w:szCs w:val="24"/>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Gray</w:t>
            </w:r>
          </w:p>
        </w:tc>
      </w:tr>
      <w:tr>
        <w:trPr>
          <w:trHeight w:val="244"/>
        </w:trPr>
        <w:tc>
          <w:tcPr>
            <w:tcW w:w="2400" w:type="dxa"/>
            <w:vAlign w:val="bottom"/>
          </w:tcPr>
          <w:p>
            <w:pPr>
              <w:spacing w:after="0"/>
              <w:rPr>
                <w:sz w:val="20"/>
                <w:szCs w:val="20"/>
                <w:color w:val="auto"/>
              </w:rPr>
            </w:pPr>
            <w:r>
              <w:rPr>
                <w:rFonts w:ascii="Arial" w:cs="Arial" w:eastAsia="Arial" w:hAnsi="Arial"/>
                <w:sz w:val="16"/>
                <w:szCs w:val="16"/>
                <w:color w:val="auto"/>
              </w:rPr>
              <w:t>Date</w:t>
            </w:r>
          </w:p>
        </w:tc>
        <w:tc>
          <w:tcPr>
            <w:tcW w:w="37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Peter Gray</w:t>
            </w:r>
          </w:p>
        </w:tc>
      </w:tr>
      <w:tr>
        <w:trPr>
          <w:trHeight w:val="230"/>
        </w:trPr>
        <w:tc>
          <w:tcPr>
            <w:tcW w:w="24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369"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ICON raises 2006 guidance and issues financial guidance for 2007</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29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2006 Revenue guidance raised to $448 - $452 million.</w:t>
      </w:r>
    </w:p>
    <w:p>
      <w:pPr>
        <w:spacing w:after="0" w:line="288"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2006 EPS guidance raised to $1.28 - $1.30.</w:t>
      </w:r>
    </w:p>
    <w:p>
      <w:pPr>
        <w:spacing w:after="0" w:line="288"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 forecast to grow 20% in 2007, compared to 2006.</w:t>
      </w:r>
    </w:p>
    <w:p>
      <w:pPr>
        <w:spacing w:after="0" w:line="261"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2007 EPS forecast to grow 29%, compared to 2006.</w:t>
      </w:r>
    </w:p>
    <w:p>
      <w:pPr>
        <w:spacing w:after="0" w:line="200" w:lineRule="exact"/>
        <w:rPr>
          <w:sz w:val="20"/>
          <w:szCs w:val="20"/>
          <w:color w:val="auto"/>
        </w:rPr>
      </w:pPr>
    </w:p>
    <w:p>
      <w:pPr>
        <w:spacing w:after="0" w:line="359"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Dublin, Ireland, December 15, 2006 - ICON (NASDAQ: ICLR), a global provider of outsourced development services to the pharmaceutical, biotechnology and medical device industries, today raised its existing 2006 guidance and announced financial guidance for 2007.</w:t>
      </w:r>
    </w:p>
    <w:p>
      <w:pPr>
        <w:spacing w:after="0" w:line="226"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As a result of our strong backlog and continuing new business awards we are raising our net revenue forecast for 2006 to a range of $448 to $452 million. Net income per diluted share is expected to be $1.28 to $1.30 including non cash stock compensation expense in accordance with SFAS 123R.</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2007 net revenue is expected to be in the range of $530 - $550 million, an increase of 20% on the forecast 2006 revenue.</w:t>
      </w:r>
    </w:p>
    <w:p>
      <w:pPr>
        <w:spacing w:after="0" w:line="28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income per diluted share including non cash stock compensation expense in accordance with SFAS 123R is forecast to be in the range of $1.63 - $1.71. This represents an increase of 29% on 2006.</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hold a conference call today, December 15, 2006 at 09:00 EST [14:00 Ireland &amp; UK]. A question and answer session will follow.</w:t>
      </w:r>
    </w:p>
    <w:p>
      <w:pPr>
        <w:spacing w:after="0" w:line="289"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financial information presented herein has been prepared in accordance with U.S. GAAP.</w:t>
      </w:r>
    </w:p>
    <w:p>
      <w:pPr>
        <w:spacing w:after="0" w:line="289" w:lineRule="exact"/>
        <w:rPr>
          <w:sz w:val="20"/>
          <w:szCs w:val="20"/>
          <w:color w:val="auto"/>
        </w:rPr>
      </w:pPr>
    </w:p>
    <w:p>
      <w:pPr>
        <w:ind w:right="260"/>
        <w:spacing w:after="0" w:line="297" w:lineRule="auto"/>
        <w:rPr>
          <w:sz w:val="20"/>
          <w:szCs w:val="20"/>
          <w:color w:val="auto"/>
        </w:rPr>
      </w:pPr>
      <w:r>
        <w:rPr>
          <w:rFonts w:ascii="Arial" w:cs="Arial" w:eastAsia="Arial" w:hAnsi="Arial"/>
          <w:sz w:val="15"/>
          <w:szCs w:val="15"/>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over 4,100 employees, operating from 48 locations in 30 countries. Further information is available at </w:t>
      </w:r>
      <w:r>
        <w:rPr>
          <w:rFonts w:ascii="Arial" w:cs="Arial" w:eastAsia="Arial" w:hAnsi="Arial"/>
          <w:sz w:val="15"/>
          <w:szCs w:val="15"/>
          <w:u w:val="single" w:color="auto"/>
          <w:color w:val="auto"/>
        </w:rPr>
        <w:t>www.iconclinical.com</w:t>
      </w:r>
      <w:r>
        <w:rPr>
          <w:rFonts w:ascii="Arial" w:cs="Arial" w:eastAsia="Arial" w:hAnsi="Arial"/>
          <w:sz w:val="15"/>
          <w:szCs w:val="15"/>
          <w:color w:val="auto"/>
        </w:rPr>
        <w: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Source: ICON plc</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Contact : Investor Relations 1-888-381-7923 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Ciaran Murray CFO + 353 -1-291-2000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Both at ICON.</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2019-12-14T20:57:33Z</dcterms:created>
  <dcterms:modified xsi:type="dcterms:W3CDTF">2019-12-14T20:57:33Z</dcterms:modified>
</cp:coreProperties>
</file>