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t>FORM 6-K</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246"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3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27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For</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the month of July 2024</w:t>
      </w:r>
    </w:p>
    <w:p>
      <w:pPr>
        <w:spacing w:after="0" w:line="23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ICON plc</w:t>
      </w:r>
    </w:p>
    <w:p>
      <w:pPr>
        <w:spacing w:after="0" w:line="3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200" w:lineRule="exact"/>
        <w:rPr>
          <w:sz w:val="24"/>
          <w:szCs w:val="24"/>
          <w:color w:val="auto"/>
        </w:rPr>
      </w:pPr>
    </w:p>
    <w:p>
      <w:pPr>
        <w:spacing w:after="0" w:line="27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333-08704</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89"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246" w:right="1440"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This report on Form 6-K is hereby incorporated by reference in the registration statement on Form S-8 (Registration No. 333-152802) of ICON plc, registration statement on Form S-8 (Registration No. 333-204153) of ICON plc, registration statement on Form S-8 (Registration No. 333-231527) of ICON plc, registration statement on Form S-8 (Registration No. 333-254891) of ICON plc, registration statement on Form S-8 (Registration No. 333-257578) of ICON plc and registration statement on Form F-3 (Registration No. 333-278943) of ICON plc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48"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As used herein, “ICON”, the “Company”, the "Group", and “we” refer to ICON plc and its consolidated subsidiaries, unless the context requires otherwise.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ICON is a contract research organization (“CRO”), providing outsourced services on a global basis to pharmaceutical, biotechnology, medical device and government and public health organizations.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1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 service” solution. At June 30, 2024 we had approximately 41,100 employees in 97 locations in 55 countries. During the six months ended June 30, 2024, we derived 38.0%, 50.6% and 11.4% of our revenue in the United States, Europe and Rest of World respectively (during the six months ended June 30, 2023: 42.4%, 47.3% and 10.3% respectively).</w:t>
      </w:r>
    </w:p>
    <w:p>
      <w:pPr>
        <w:spacing w:after="0" w:line="19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D18 X5R3, Republic of Ireland. The contact telephone number of this office is +353-1-291-2000.</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Board of Directors composition</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July 23, 2024, Ms. Joan Garahy retired from the Board of Directors and Ms. Anne Whitaker was appointed to the Board of Directors.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Leadership transition</w:t>
      </w:r>
    </w:p>
    <w:p>
      <w:pPr>
        <w:spacing w:after="0" w:line="21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April 3, 2024, the Company announced that Chief Financial Officer (“CFO”), Mr. Brendan Brennan, will leave his role at ICON in the fourth quarter of 2024 for a new opportunity outside of the CRO industry. The Company commenced a search to identify the next CFO and Mr. Brendan Brennan will remain with the Company in his current role as CFO to ensure a smooth transition to a newly appointed CFO.</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New Notes</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 xml:space="preserve">On May 8, 2024, ICON Investments Six Designated Activity Company (the "Issuer"), a wholly-owned subsidiary of ICON plc, issued $2 billion of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 The proceeds from the issuance were used to repay a portion of the senior secured term loan outstanding under the Senior Secured Credit Facilities and to pay fees, costs and expenses related to the offering (See note 10 </w:t>
      </w:r>
      <w:r>
        <w:rPr>
          <w:rFonts w:ascii="Arial" w:cs="Arial" w:eastAsia="Arial" w:hAnsi="Arial"/>
          <w:sz w:val="16"/>
          <w:szCs w:val="16"/>
          <w:i w:val="1"/>
          <w:iCs w:val="1"/>
          <w:color w:val="auto"/>
        </w:rPr>
        <w:t>Bank credit lines, loan facilities and notes</w:t>
      </w:r>
      <w:r>
        <w:rPr>
          <w:rFonts w:ascii="Arial" w:cs="Arial" w:eastAsia="Arial" w:hAnsi="Arial"/>
          <w:sz w:val="16"/>
          <w:szCs w:val="16"/>
          <w:color w:val="auto"/>
        </w:rPr>
        <w:t xml:space="preserve"> for further details). On July 10, 2024, the New Notes were admitted to the Official List (the “Official List”) of The International Stock Exchange (the “Exchange”).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Repricing - senior secured term loan facility and senior secured revolving credit facility</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July 1, 2021, and in connection with the PRA merger, ICON plc and certain subsidiaries entered into a credit agreement (the “Credit Agreement”) which provided for a senior secured term loan facility of $5,515 million and a senior secured revolving credit facility in an initial aggregate amount of $300 million (subsequently increased on May 2, 2023 to $500 million).</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On March 14, 2024, the parties to the Credit Agreement entered into the Third Amendment to the Credit Agreement (the “Third Amendment”) in connection with the repricing of the senior secured term loan facility and the senior secured revolving credit facility.</w:t>
      </w:r>
    </w:p>
    <w:p>
      <w:pPr>
        <w:spacing w:after="0" w:line="17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With respect to the senior secured term loan facility, the repricing culminated in a margin reduction of 25 basis points, from 2.25% (based on the then-current first lien net leverage ratio) to 2.0%; and the elimination of the credit adjustment spread. The combination of the above resulted in an overall reduction of 51 basis points on the senior secured term loan facility (assuming quarterly refixing).</w:t>
      </w:r>
    </w:p>
    <w:p>
      <w:pPr>
        <w:spacing w:after="0" w:line="1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With respect to the senior secured revolving credit facility, the repricing culminated in a margin reduction of 0.40%, from 1.25% (based on the then-current S&amp;P corporate family rating) to 0.85%, which is subject to change pursuant to a pricing grid based on the current corporate family rating assigned by S&amp;P; and the elimination of the credit adjustment spread. There were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 w:name="page4"/>
    <w:bookmarkEnd w:id="3"/>
    <w:p>
      <w:pPr>
        <w:jc w:val="both"/>
        <w:ind w:right="20"/>
        <w:spacing w:after="0" w:line="268" w:lineRule="auto"/>
        <w:rPr>
          <w:sz w:val="20"/>
          <w:szCs w:val="20"/>
          <w:color w:val="auto"/>
        </w:rPr>
      </w:pPr>
      <w:r>
        <w:rPr>
          <w:rFonts w:ascii="Arial" w:cs="Arial" w:eastAsia="Arial" w:hAnsi="Arial"/>
          <w:sz w:val="16"/>
          <w:szCs w:val="16"/>
          <w:color w:val="auto"/>
        </w:rPr>
        <w:t>also concurrent fee adjustments to the senior secured revolving credit facility; the commitment fee on drawings was reduced from 0.4375% to 0.2975%, (based on our current corporate family rating from S&amp;P) while the utilization fee increased by 15 basis points, dependent on amount utilized.</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 repayment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quarter ended June 30, 2024, the Company made principal repayments, comprising mandatory and voluntary repayments of $2,014.9</w:t>
      </w:r>
    </w:p>
    <w:p>
      <w:pPr>
        <w:spacing w:after="0" w:line="221" w:lineRule="auto"/>
        <w:rPr>
          <w:sz w:val="20"/>
          <w:szCs w:val="20"/>
          <w:color w:val="auto"/>
        </w:rPr>
      </w:pPr>
      <w:r>
        <w:rPr>
          <w:rFonts w:ascii="Arial" w:cs="Arial" w:eastAsia="Arial" w:hAnsi="Arial"/>
          <w:sz w:val="16"/>
          <w:szCs w:val="16"/>
          <w:color w:val="auto"/>
        </w:rPr>
        <w:t>million (six months ended June 30, 2024: $2,289.9 million) of the senior secured term loan facility. The voluntary repayment resulted in an accelerated</w:t>
      </w:r>
    </w:p>
    <w:p>
      <w:pPr>
        <w:spacing w:after="0"/>
        <w:rPr>
          <w:sz w:val="20"/>
          <w:szCs w:val="20"/>
          <w:color w:val="auto"/>
        </w:rPr>
      </w:pPr>
      <w:r>
        <w:rPr>
          <w:rFonts w:ascii="Arial" w:cs="Arial" w:eastAsia="Arial" w:hAnsi="Arial"/>
          <w:sz w:val="16"/>
          <w:szCs w:val="16"/>
          <w:color w:val="auto"/>
        </w:rPr>
        <w:t>charge associated with previously capitalized fees of $14.9 million (six months ended June 30, 2024: $16.9 million) .</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 xml:space="preserve">In addition, during the quarter ended June 30, 2024, the Company drew down $143.0 million (six months ended June 30, 2024: $193.0 million) of the senior secured revolving loan facility and repaid $193.0 million (six months ended June 30, 2024: $248.0 million). Refer to </w:t>
      </w:r>
      <w:r>
        <w:rPr>
          <w:rFonts w:ascii="Arial" w:cs="Arial" w:eastAsia="Arial" w:hAnsi="Arial"/>
          <w:sz w:val="16"/>
          <w:szCs w:val="16"/>
          <w:i w:val="1"/>
          <w:iCs w:val="1"/>
          <w:color w:val="auto"/>
        </w:rPr>
        <w:t>note 10. Bank credit lines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loan facilities </w:t>
      </w:r>
      <w:r>
        <w:rPr>
          <w:rFonts w:ascii="Arial" w:cs="Arial" w:eastAsia="Arial" w:hAnsi="Arial"/>
          <w:sz w:val="16"/>
          <w:szCs w:val="16"/>
          <w:color w:val="auto"/>
        </w:rPr>
        <w:t>for further details on the Company's Senior Secured Credit Facilities.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Buyback program</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February 20, 2024, the Company's Board of Directors authorized a new buyback program of up to $500 million of the outstanding ordinary shares of the Company. All ordinary shares that are redeemed under the buyback program will be canceled in accordance with the constitutional documents of the Company and the nominal value of these shares transferred to an undenominated capital fund as required under Irish Company law. Repurchases under the share buyback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 During the six months ended June 30, 2024 no shares were redeemed by the Company under this buyback program.</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Ukraine situation</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February 24, 2022, Russia invaded Ukraine, creating significant instability and unrest in the region. Since that time, the Company's key focus has been on the safety of our employees and their families, patients, investigators and on the mitigation of adverse impacts on ongoing clinical trials. The Company has worked to ensure the safety of employees and their families based in Ukraine through the implementation of a number of employee assistance programs. These programs aim to provide affected employees and their families with transportation, accommodation in neighboring countries, financial assistance, communications and other support services as needed.</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Company's operations in these affected regions have been significantly curtailed as a result of these events. The ongoing conflict in Ukraine continues to result in an increasingly complex economic sanctions and export controls environment applicable to our business operations in the region (including Russia and Belarus) as a result of additional trade compliance measures enacted by the United States, United Kingdom and European Union member states. These economic sanctions and export controls restrict our ability to do business with sanctioned entities, require additional compliance resources, and could have a material adverse effect on the results of our operations. The financial impact of the conflict was not material to the Company during the six months ended June 30, 2024.</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Israel and the conflict area in the Middle East</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242829"/>
        </w:rPr>
        <w:t xml:space="preserve">We are all saddened by developments in </w:t>
      </w:r>
      <w:r>
        <w:rPr>
          <w:rFonts w:ascii="Arial" w:cs="Arial" w:eastAsia="Arial" w:hAnsi="Arial"/>
          <w:sz w:val="16"/>
          <w:szCs w:val="16"/>
          <w:color w:val="000000"/>
        </w:rPr>
        <w:t>Israel and the conflict area in</w:t>
      </w:r>
      <w:r>
        <w:rPr>
          <w:rFonts w:ascii="Arial" w:cs="Arial" w:eastAsia="Arial" w:hAnsi="Arial"/>
          <w:sz w:val="16"/>
          <w:szCs w:val="16"/>
          <w:color w:val="242829"/>
        </w:rPr>
        <w:t xml:space="preserve"> the Middle East. </w:t>
      </w:r>
      <w:r>
        <w:rPr>
          <w:rFonts w:ascii="Arial" w:cs="Arial" w:eastAsia="Arial" w:hAnsi="Arial"/>
          <w:sz w:val="16"/>
          <w:szCs w:val="16"/>
          <w:color w:val="000000"/>
        </w:rPr>
        <w:t>The Company's key focus continues to be on the safety of</w:t>
      </w:r>
      <w:r>
        <w:rPr>
          <w:rFonts w:ascii="Arial" w:cs="Arial" w:eastAsia="Arial" w:hAnsi="Arial"/>
          <w:sz w:val="16"/>
          <w:szCs w:val="16"/>
          <w:color w:val="242829"/>
        </w:rPr>
        <w:t xml:space="preserve"> </w:t>
      </w:r>
      <w:r>
        <w:rPr>
          <w:rFonts w:ascii="Arial" w:cs="Arial" w:eastAsia="Arial" w:hAnsi="Arial"/>
          <w:sz w:val="16"/>
          <w:szCs w:val="16"/>
          <w:color w:val="000000"/>
        </w:rPr>
        <w:t>our employees and their families, patients, investigators and on the mitigation of adverse impacts on ongoing clinical trials. The Company has worked to ensure the safety of employees and their families through the implementation of a number of employee assistance programs. The team have been advised to work remotely as they continue to support our customers’ studies. The financial impact of the conflict was not material to the Company during the six months ended June 30, 2024.</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exchange translation</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prepares its financial statements in United States dollar while the local results of a certain number of our subsidiaries are prepared in currencies other than United States dollars, including, amongst others, the pound sterling and the euro. In addition, the Company's contracts with clients are sometimes denominated in currencies other than the United States dollar. Finally, the Company is exposed to a wider variety of currencies in the expenses line due to most expenses being incurred in the local currencies of where our global operations are based. Accordingly, changes in exchange rates between the United States dollar and those other currencies can impact the Company’s financial results.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 w:name="page5"/>
    <w:bookmarkEnd w:id="4"/>
    <w:p>
      <w:pPr>
        <w:ind w:left="5360"/>
        <w:spacing w:after="0"/>
        <w:rPr>
          <w:sz w:val="20"/>
          <w:szCs w:val="20"/>
          <w:color w:val="auto"/>
        </w:rPr>
      </w:pPr>
      <w:r>
        <w:rPr>
          <w:rFonts w:ascii="Arial" w:cs="Arial" w:eastAsia="Arial" w:hAnsi="Arial"/>
          <w:sz w:val="16"/>
          <w:szCs w:val="16"/>
          <w:b w:val="1"/>
          <w:bCs w:val="1"/>
          <w:color w:val="auto"/>
        </w:rPr>
        <w:t>ICON plc</w:t>
      </w:r>
    </w:p>
    <w:p>
      <w:pPr>
        <w:spacing w:after="0" w:line="35"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AT JUNE 30, 2024 AND DECEMBER 31,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(Unaudited)</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(Audited)</w:t>
            </w:r>
          </w:p>
        </w:tc>
      </w:tr>
      <w:tr>
        <w:trPr>
          <w:trHeight w:val="156"/>
        </w:trPr>
        <w:tc>
          <w:tcPr>
            <w:tcW w:w="7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7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120" w:type="dxa"/>
            <w:vAlign w:val="bottom"/>
            <w:shd w:val="clear" w:color="auto" w:fill="CCEEFF"/>
          </w:tcPr>
          <w:p>
            <w:pPr>
              <w:spacing w:after="0"/>
              <w:rPr>
                <w:sz w:val="18"/>
                <w:szCs w:val="18"/>
                <w:color w:val="auto"/>
              </w:rPr>
            </w:pPr>
          </w:p>
        </w:tc>
        <w:tc>
          <w:tcPr>
            <w:tcW w:w="2820" w:type="dxa"/>
            <w:vAlign w:val="bottom"/>
            <w:gridSpan w:val="3"/>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506,553</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378,102</w:t>
            </w:r>
          </w:p>
        </w:tc>
      </w:tr>
      <w:tr>
        <w:trPr>
          <w:trHeight w:val="215"/>
        </w:trPr>
        <w:tc>
          <w:tcPr>
            <w:tcW w:w="7240" w:type="dxa"/>
            <w:vAlign w:val="bottom"/>
          </w:tcPr>
          <w:p>
            <w:pPr>
              <w:ind w:left="340"/>
              <w:spacing w:after="0"/>
              <w:rPr>
                <w:sz w:val="20"/>
                <w:szCs w:val="20"/>
                <w:color w:val="auto"/>
              </w:rPr>
            </w:pPr>
            <w:r>
              <w:rPr>
                <w:rFonts w:ascii="Arial" w:cs="Arial" w:eastAsia="Arial" w:hAnsi="Arial"/>
                <w:sz w:val="16"/>
                <w:szCs w:val="16"/>
                <w:color w:val="auto"/>
              </w:rPr>
              <w:t>Available for sale investments</w:t>
            </w:r>
          </w:p>
        </w:tc>
        <w:tc>
          <w:tcPr>
            <w:tcW w:w="112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1,954</w:t>
            </w:r>
          </w:p>
        </w:tc>
      </w:tr>
      <w:tr>
        <w:trPr>
          <w:trHeight w:val="217"/>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 of allowance for credit losses</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1,569,642</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1,790,322</w:t>
            </w:r>
          </w:p>
        </w:tc>
      </w:tr>
      <w:tr>
        <w:trPr>
          <w:trHeight w:val="215"/>
        </w:trPr>
        <w:tc>
          <w:tcPr>
            <w:tcW w:w="7240" w:type="dxa"/>
            <w:vAlign w:val="bottom"/>
          </w:tcPr>
          <w:p>
            <w:pPr>
              <w:ind w:left="340"/>
              <w:spacing w:after="0"/>
              <w:rPr>
                <w:sz w:val="20"/>
                <w:szCs w:val="20"/>
                <w:color w:val="auto"/>
              </w:rPr>
            </w:pPr>
            <w:r>
              <w:rPr>
                <w:rFonts w:ascii="Arial" w:cs="Arial" w:eastAsia="Arial" w:hAnsi="Arial"/>
                <w:sz w:val="16"/>
                <w:szCs w:val="16"/>
                <w:color w:val="auto"/>
              </w:rPr>
              <w:t>Unbilled revenue</w:t>
            </w:r>
          </w:p>
        </w:tc>
        <w:tc>
          <w:tcPr>
            <w:tcW w:w="112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1,230,948</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951,936</w:t>
            </w:r>
          </w:p>
        </w:tc>
      </w:tr>
      <w:tr>
        <w:trPr>
          <w:trHeight w:val="217"/>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78,113</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65,797</w:t>
            </w:r>
          </w:p>
        </w:tc>
      </w:tr>
      <w:tr>
        <w:trPr>
          <w:trHeight w:val="215"/>
        </w:trPr>
        <w:tc>
          <w:tcPr>
            <w:tcW w:w="7240" w:type="dxa"/>
            <w:vAlign w:val="bottom"/>
          </w:tcPr>
          <w:p>
            <w:pPr>
              <w:ind w:left="340"/>
              <w:spacing w:after="0"/>
              <w:rPr>
                <w:sz w:val="20"/>
                <w:szCs w:val="20"/>
                <w:color w:val="auto"/>
              </w:rPr>
            </w:pPr>
            <w:r>
              <w:rPr>
                <w:rFonts w:ascii="Arial" w:cs="Arial" w:eastAsia="Arial" w:hAnsi="Arial"/>
                <w:sz w:val="16"/>
                <w:szCs w:val="16"/>
                <w:color w:val="auto"/>
              </w:rPr>
              <w:t>Prepayments and other current assets</w:t>
            </w:r>
          </w:p>
        </w:tc>
        <w:tc>
          <w:tcPr>
            <w:tcW w:w="112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139,244</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132,105</w:t>
            </w:r>
          </w:p>
        </w:tc>
      </w:tr>
      <w:tr>
        <w:trPr>
          <w:trHeight w:val="216"/>
        </w:trPr>
        <w:tc>
          <w:tcPr>
            <w:tcW w:w="7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Income taxes receivable</w:t>
            </w:r>
          </w:p>
        </w:tc>
        <w:tc>
          <w:tcPr>
            <w:tcW w:w="1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79,216</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91,254</w:t>
            </w:r>
          </w:p>
        </w:tc>
      </w:tr>
      <w:tr>
        <w:trPr>
          <w:trHeight w:val="209"/>
        </w:trPr>
        <w:tc>
          <w:tcPr>
            <w:tcW w:w="724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3,603,716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3,411,470</w:t>
            </w:r>
          </w:p>
        </w:tc>
      </w:tr>
      <w:tr>
        <w:trPr>
          <w:trHeight w:val="163"/>
        </w:trPr>
        <w:tc>
          <w:tcPr>
            <w:tcW w:w="7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plant and equipment</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353,844</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361,184</w:t>
            </w:r>
          </w:p>
        </w:tc>
      </w:tr>
      <w:tr>
        <w:trPr>
          <w:trHeight w:val="215"/>
        </w:trPr>
        <w:tc>
          <w:tcPr>
            <w:tcW w:w="7240" w:type="dxa"/>
            <w:vAlign w:val="bottom"/>
          </w:tcPr>
          <w:p>
            <w:pPr>
              <w:ind w:left="340"/>
              <w:spacing w:after="0"/>
              <w:rPr>
                <w:sz w:val="20"/>
                <w:szCs w:val="20"/>
                <w:color w:val="auto"/>
              </w:rPr>
            </w:pPr>
            <w:r>
              <w:rPr>
                <w:rFonts w:ascii="Arial" w:cs="Arial" w:eastAsia="Arial" w:hAnsi="Arial"/>
                <w:sz w:val="16"/>
                <w:szCs w:val="16"/>
                <w:color w:val="auto"/>
              </w:rPr>
              <w:t>Goodwill</w:t>
            </w:r>
          </w:p>
        </w:tc>
        <w:tc>
          <w:tcPr>
            <w:tcW w:w="112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9,016,549</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9,022,075</w:t>
            </w:r>
          </w:p>
        </w:tc>
      </w:tr>
      <w:tr>
        <w:trPr>
          <w:trHeight w:val="217"/>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Intangible assets</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3,632,354</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3,855,865</w:t>
            </w:r>
          </w:p>
        </w:tc>
      </w:tr>
      <w:tr>
        <w:trPr>
          <w:trHeight w:val="215"/>
        </w:trPr>
        <w:tc>
          <w:tcPr>
            <w:tcW w:w="7240" w:type="dxa"/>
            <w:vAlign w:val="bottom"/>
          </w:tcPr>
          <w:p>
            <w:pPr>
              <w:ind w:left="340"/>
              <w:spacing w:after="0"/>
              <w:rPr>
                <w:sz w:val="20"/>
                <w:szCs w:val="20"/>
                <w:color w:val="auto"/>
              </w:rPr>
            </w:pPr>
            <w:r>
              <w:rPr>
                <w:rFonts w:ascii="Arial" w:cs="Arial" w:eastAsia="Arial" w:hAnsi="Arial"/>
                <w:sz w:val="16"/>
                <w:szCs w:val="16"/>
                <w:color w:val="auto"/>
              </w:rPr>
              <w:t>Operating right-of-use assets</w:t>
            </w:r>
          </w:p>
        </w:tc>
        <w:tc>
          <w:tcPr>
            <w:tcW w:w="112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149,782</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140,333</w:t>
            </w:r>
          </w:p>
        </w:tc>
      </w:tr>
      <w:tr>
        <w:trPr>
          <w:trHeight w:val="217"/>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receivables</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87,609</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78,470</w:t>
            </w:r>
          </w:p>
        </w:tc>
      </w:tr>
      <w:tr>
        <w:trPr>
          <w:trHeight w:val="215"/>
        </w:trPr>
        <w:tc>
          <w:tcPr>
            <w:tcW w:w="7240" w:type="dxa"/>
            <w:vAlign w:val="bottom"/>
          </w:tcPr>
          <w:p>
            <w:pPr>
              <w:ind w:left="340"/>
              <w:spacing w:after="0"/>
              <w:rPr>
                <w:sz w:val="20"/>
                <w:szCs w:val="20"/>
                <w:color w:val="auto"/>
              </w:rPr>
            </w:pPr>
            <w:r>
              <w:rPr>
                <w:rFonts w:ascii="Arial" w:cs="Arial" w:eastAsia="Arial" w:hAnsi="Arial"/>
                <w:sz w:val="16"/>
                <w:szCs w:val="16"/>
                <w:color w:val="auto"/>
              </w:rPr>
              <w:t>Deferred tax asset</w:t>
            </w:r>
          </w:p>
        </w:tc>
        <w:tc>
          <w:tcPr>
            <w:tcW w:w="112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74,787</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73,662</w:t>
            </w:r>
          </w:p>
        </w:tc>
      </w:tr>
      <w:tr>
        <w:trPr>
          <w:trHeight w:val="216"/>
        </w:trPr>
        <w:tc>
          <w:tcPr>
            <w:tcW w:w="7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Investments in equity- long term</w:t>
            </w:r>
          </w:p>
        </w:tc>
        <w:tc>
          <w:tcPr>
            <w:tcW w:w="1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50,220</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46,804</w:t>
            </w:r>
          </w:p>
        </w:tc>
      </w:tr>
      <w:tr>
        <w:trPr>
          <w:trHeight w:val="209"/>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16,968,861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16,989,863</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4"/>
        </w:trPr>
        <w:tc>
          <w:tcPr>
            <w:tcW w:w="7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24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83,037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131,584</w:t>
            </w:r>
          </w:p>
        </w:tc>
      </w:tr>
      <w:tr>
        <w:trPr>
          <w:trHeight w:val="217"/>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Unearned revenue</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1,602,526</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1,654,507</w:t>
            </w:r>
          </w:p>
        </w:tc>
      </w:tr>
      <w:tr>
        <w:trPr>
          <w:trHeight w:val="215"/>
        </w:trPr>
        <w:tc>
          <w:tcPr>
            <w:tcW w:w="7240" w:type="dxa"/>
            <w:vAlign w:val="bottom"/>
          </w:tcPr>
          <w:p>
            <w:pPr>
              <w:ind w:left="340"/>
              <w:spacing w:after="0"/>
              <w:rPr>
                <w:sz w:val="20"/>
                <w:szCs w:val="20"/>
                <w:color w:val="auto"/>
              </w:rPr>
            </w:pPr>
            <w:r>
              <w:rPr>
                <w:rFonts w:ascii="Arial" w:cs="Arial" w:eastAsia="Arial" w:hAnsi="Arial"/>
                <w:sz w:val="16"/>
                <w:szCs w:val="16"/>
                <w:color w:val="auto"/>
              </w:rPr>
              <w:t>Other liabilities</w:t>
            </w:r>
          </w:p>
        </w:tc>
        <w:tc>
          <w:tcPr>
            <w:tcW w:w="112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999,071</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915,399</w:t>
            </w:r>
          </w:p>
        </w:tc>
      </w:tr>
      <w:tr>
        <w:trPr>
          <w:trHeight w:val="217"/>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payable</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27,935</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13,968</w:t>
            </w:r>
          </w:p>
        </w:tc>
      </w:tr>
      <w:tr>
        <w:trPr>
          <w:trHeight w:val="215"/>
        </w:trPr>
        <w:tc>
          <w:tcPr>
            <w:tcW w:w="72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Current bank credit lines, loan facilities and notes</w:t>
            </w:r>
          </w:p>
        </w:tc>
        <w:tc>
          <w:tcPr>
            <w:tcW w:w="1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29,762</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110,150</w:t>
            </w:r>
          </w:p>
        </w:tc>
      </w:tr>
      <w:tr>
        <w:trPr>
          <w:trHeight w:val="210"/>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2,742,331</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2,825,608</w:t>
            </w:r>
          </w:p>
        </w:tc>
      </w:tr>
      <w:tr>
        <w:trPr>
          <w:trHeight w:val="216"/>
        </w:trPr>
        <w:tc>
          <w:tcPr>
            <w:tcW w:w="7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240" w:type="dxa"/>
            <w:vAlign w:val="bottom"/>
          </w:tcPr>
          <w:p>
            <w:pPr>
              <w:ind w:left="340"/>
              <w:spacing w:after="0"/>
              <w:rPr>
                <w:sz w:val="20"/>
                <w:szCs w:val="20"/>
                <w:color w:val="auto"/>
              </w:rPr>
            </w:pPr>
            <w:r>
              <w:rPr>
                <w:rFonts w:ascii="Arial" w:cs="Arial" w:eastAsia="Arial" w:hAnsi="Arial"/>
                <w:sz w:val="16"/>
                <w:szCs w:val="16"/>
                <w:color w:val="auto"/>
              </w:rPr>
              <w:t>Non-current bank credit lines, loan facilities and notes</w:t>
            </w:r>
          </w:p>
        </w:tc>
        <w:tc>
          <w:tcPr>
            <w:tcW w:w="112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3,408,157</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3,665,439</w:t>
            </w:r>
          </w:p>
        </w:tc>
      </w:tr>
      <w:tr>
        <w:trPr>
          <w:trHeight w:val="217"/>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 liabilities</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145,464</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126,321</w:t>
            </w:r>
          </w:p>
        </w:tc>
      </w:tr>
      <w:tr>
        <w:trPr>
          <w:trHeight w:val="215"/>
        </w:trPr>
        <w:tc>
          <w:tcPr>
            <w:tcW w:w="7240" w:type="dxa"/>
            <w:vAlign w:val="bottom"/>
          </w:tcPr>
          <w:p>
            <w:pPr>
              <w:ind w:left="340"/>
              <w:spacing w:after="0"/>
              <w:rPr>
                <w:sz w:val="20"/>
                <w:szCs w:val="20"/>
                <w:color w:val="auto"/>
              </w:rPr>
            </w:pPr>
            <w:r>
              <w:rPr>
                <w:rFonts w:ascii="Arial" w:cs="Arial" w:eastAsia="Arial" w:hAnsi="Arial"/>
                <w:sz w:val="16"/>
                <w:szCs w:val="16"/>
                <w:color w:val="auto"/>
              </w:rPr>
              <w:t>Non-current other liabilities</w:t>
            </w:r>
          </w:p>
        </w:tc>
        <w:tc>
          <w:tcPr>
            <w:tcW w:w="112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48,372</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45,998</w:t>
            </w:r>
          </w:p>
        </w:tc>
      </w:tr>
      <w:tr>
        <w:trPr>
          <w:trHeight w:val="217"/>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Non-current income taxes payable</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195,778</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186,654</w:t>
            </w:r>
          </w:p>
        </w:tc>
      </w:tr>
      <w:tr>
        <w:trPr>
          <w:trHeight w:val="215"/>
        </w:trPr>
        <w:tc>
          <w:tcPr>
            <w:tcW w:w="7240" w:type="dxa"/>
            <w:vAlign w:val="bottom"/>
          </w:tcPr>
          <w:p>
            <w:pPr>
              <w:ind w:left="340"/>
              <w:spacing w:after="0"/>
              <w:rPr>
                <w:sz w:val="20"/>
                <w:szCs w:val="20"/>
                <w:color w:val="auto"/>
              </w:rPr>
            </w:pPr>
            <w:r>
              <w:rPr>
                <w:rFonts w:ascii="Arial" w:cs="Arial" w:eastAsia="Arial" w:hAnsi="Arial"/>
                <w:sz w:val="16"/>
                <w:szCs w:val="16"/>
                <w:color w:val="auto"/>
              </w:rPr>
              <w:t>Deferred tax liability</w:t>
            </w:r>
          </w:p>
        </w:tc>
        <w:tc>
          <w:tcPr>
            <w:tcW w:w="112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843,633</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899,100</w:t>
            </w:r>
          </w:p>
        </w:tc>
      </w:tr>
      <w:tr>
        <w:trPr>
          <w:trHeight w:val="216"/>
        </w:trPr>
        <w:tc>
          <w:tcPr>
            <w:tcW w:w="7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Commitments and contingencies</w:t>
            </w:r>
          </w:p>
        </w:tc>
        <w:tc>
          <w:tcPr>
            <w:tcW w:w="1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2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 Liabilities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7,383,735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7,749,120</w:t>
            </w:r>
          </w:p>
        </w:tc>
      </w:tr>
      <w:tr>
        <w:trPr>
          <w:trHeight w:val="197"/>
        </w:trPr>
        <w:tc>
          <w:tcPr>
            <w:tcW w:w="7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7240" w:type="dxa"/>
            <w:vAlign w:val="bottom"/>
          </w:tcPr>
          <w:p>
            <w:pPr>
              <w:ind w:left="340"/>
              <w:spacing w:after="0"/>
              <w:rPr>
                <w:sz w:val="20"/>
                <w:szCs w:val="20"/>
                <w:color w:val="auto"/>
              </w:rPr>
            </w:pPr>
            <w:r>
              <w:rPr>
                <w:rFonts w:ascii="Arial" w:cs="Arial" w:eastAsia="Arial" w:hAnsi="Arial"/>
                <w:sz w:val="16"/>
                <w:szCs w:val="16"/>
                <w:color w:val="auto"/>
              </w:rPr>
              <w:t>82,816,600 shares issued and outstanding at June 30, 2024 and</w:t>
            </w: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7"/>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82,495,086 shares issued and outstanding at December 31, 2023</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6,720</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w:t>
            </w:r>
          </w:p>
        </w:tc>
      </w:tr>
      <w:tr>
        <w:trPr>
          <w:trHeight w:val="215"/>
        </w:trPr>
        <w:tc>
          <w:tcPr>
            <w:tcW w:w="724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112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6,988,736</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6,942,669</w:t>
            </w:r>
          </w:p>
        </w:tc>
      </w:tr>
      <w:tr>
        <w:trPr>
          <w:trHeight w:val="217"/>
        </w:trPr>
        <w:tc>
          <w:tcPr>
            <w:tcW w:w="7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undenominated capital</w:t>
            </w:r>
          </w:p>
        </w:tc>
        <w:tc>
          <w:tcPr>
            <w:tcW w:w="1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1,162</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r>
      <w:tr>
        <w:trPr>
          <w:trHeight w:val="215"/>
        </w:trPr>
        <w:tc>
          <w:tcPr>
            <w:tcW w:w="7240" w:type="dxa"/>
            <w:vAlign w:val="bottom"/>
          </w:tcPr>
          <w:p>
            <w:pPr>
              <w:ind w:left="340"/>
              <w:spacing w:after="0"/>
              <w:rPr>
                <w:sz w:val="20"/>
                <w:szCs w:val="20"/>
                <w:color w:val="auto"/>
              </w:rPr>
            </w:pPr>
            <w:r>
              <w:rPr>
                <w:rFonts w:ascii="Arial" w:cs="Arial" w:eastAsia="Arial" w:hAnsi="Arial"/>
                <w:sz w:val="16"/>
                <w:szCs w:val="16"/>
                <w:color w:val="auto"/>
              </w:rPr>
              <w:t>Accumulated other comprehensive loss</w:t>
            </w:r>
          </w:p>
        </w:tc>
        <w:tc>
          <w:tcPr>
            <w:tcW w:w="1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(179,559)</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(143,506)</w:t>
            </w:r>
          </w:p>
        </w:tc>
      </w:tr>
      <w:tr>
        <w:trPr>
          <w:trHeight w:val="216"/>
        </w:trPr>
        <w:tc>
          <w:tcPr>
            <w:tcW w:w="72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1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2,768,067</w:t>
            </w: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2,433,719</w:t>
            </w:r>
          </w:p>
        </w:tc>
      </w:tr>
      <w:tr>
        <w:trPr>
          <w:trHeight w:val="210"/>
        </w:trPr>
        <w:tc>
          <w:tcPr>
            <w:tcW w:w="724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Total Shareholders' Equity</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9,585,126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9,240,743</w:t>
            </w:r>
          </w:p>
        </w:tc>
      </w:tr>
      <w:tr>
        <w:trPr>
          <w:trHeight w:val="235"/>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16,968,861</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16,989,863</w:t>
            </w:r>
          </w:p>
        </w:tc>
      </w:tr>
      <w:tr>
        <w:trPr>
          <w:trHeight w:val="20"/>
        </w:trPr>
        <w:tc>
          <w:tcPr>
            <w:tcW w:w="7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180"/>
          </w:cols>
          <w:pgMar w:left="360" w:top="94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82550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9" w:right="35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AND SIX MONTHS ENDED JUNE 30, 2024 AND JUNE 30, 2023</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680" w:type="dxa"/>
            <w:vAlign w:val="bottom"/>
            <w:tcBorders>
              <w:bottom w:val="single" w:sz="8" w:color="auto"/>
            </w:tcBorders>
            <w:gridSpan w:val="3"/>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155"/>
        </w:trPr>
        <w:tc>
          <w:tcPr>
            <w:tcW w:w="5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42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r>
      <w:tr>
        <w:trPr>
          <w:trHeight w:val="216"/>
        </w:trPr>
        <w:tc>
          <w:tcPr>
            <w:tcW w:w="5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5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20" w:type="dxa"/>
            <w:vAlign w:val="bottom"/>
            <w:gridSpan w:val="6"/>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 except share and per share data)</w:t>
            </w:r>
          </w:p>
        </w:tc>
        <w:tc>
          <w:tcPr>
            <w:tcW w:w="1080" w:type="dxa"/>
            <w:vAlign w:val="bottom"/>
            <w:shd w:val="clear" w:color="auto" w:fill="CCEEFF"/>
          </w:tcPr>
          <w:p>
            <w:pPr>
              <w:spacing w:after="0"/>
              <w:rPr>
                <w:sz w:val="18"/>
                <w:szCs w:val="18"/>
                <w:color w:val="auto"/>
              </w:rPr>
            </w:pPr>
          </w:p>
        </w:tc>
      </w:tr>
      <w:tr>
        <w:trPr>
          <w:trHeight w:val="270"/>
        </w:trPr>
        <w:tc>
          <w:tcPr>
            <w:tcW w:w="5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2,120,159</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2,020,251</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4,210,545</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3,998,829</w:t>
            </w:r>
          </w:p>
        </w:tc>
      </w:tr>
      <w:tr>
        <w:trPr>
          <w:trHeight w:val="270"/>
        </w:trPr>
        <w:tc>
          <w:tcPr>
            <w:tcW w:w="5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5020" w:type="dxa"/>
            <w:vAlign w:val="bottom"/>
          </w:tcPr>
          <w:p>
            <w:pPr>
              <w:ind w:left="340"/>
              <w:spacing w:after="0"/>
              <w:rPr>
                <w:sz w:val="20"/>
                <w:szCs w:val="20"/>
                <w:color w:val="auto"/>
              </w:rPr>
            </w:pPr>
            <w:r>
              <w:rPr>
                <w:rFonts w:ascii="Arial" w:cs="Arial" w:eastAsia="Arial" w:hAnsi="Arial"/>
                <w:sz w:val="16"/>
                <w:szCs w:val="16"/>
                <w:color w:val="auto"/>
              </w:rPr>
              <w:t>Direct costs (excluding depreciation and amortization)</w:t>
            </w:r>
          </w:p>
        </w:tc>
        <w:tc>
          <w:tcPr>
            <w:tcW w:w="3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1,493,600</w:t>
            </w:r>
          </w:p>
        </w:tc>
        <w:tc>
          <w:tcPr>
            <w:tcW w:w="38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1,429,540</w:t>
            </w:r>
          </w:p>
        </w:tc>
        <w:tc>
          <w:tcPr>
            <w:tcW w:w="38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2,964,967</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2,825,086</w:t>
            </w:r>
          </w:p>
        </w:tc>
      </w:tr>
      <w:tr>
        <w:trPr>
          <w:trHeight w:val="217"/>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194,458</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187,806</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371,808</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387,812</w:t>
            </w:r>
          </w:p>
        </w:tc>
      </w:tr>
      <w:tr>
        <w:trPr>
          <w:trHeight w:val="215"/>
        </w:trPr>
        <w:tc>
          <w:tcPr>
            <w:tcW w:w="50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149,635</w:t>
            </w:r>
          </w:p>
        </w:tc>
        <w:tc>
          <w:tcPr>
            <w:tcW w:w="38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145,059</w:t>
            </w:r>
          </w:p>
        </w:tc>
        <w:tc>
          <w:tcPr>
            <w:tcW w:w="38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298,816</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290,185</w:t>
            </w:r>
          </w:p>
        </w:tc>
      </w:tr>
      <w:tr>
        <w:trPr>
          <w:trHeight w:val="217"/>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and integration related</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6,820</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12,701</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13,811</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24,083</w:t>
            </w:r>
          </w:p>
        </w:tc>
      </w:tr>
      <w:tr>
        <w:trPr>
          <w:trHeight w:val="215"/>
        </w:trPr>
        <w:tc>
          <w:tcPr>
            <w:tcW w:w="50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Restructuring</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45,789</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35,661</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45,789</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45,390</w:t>
            </w:r>
          </w:p>
        </w:tc>
      </w:tr>
      <w:tr>
        <w:trPr>
          <w:trHeight w:val="210"/>
        </w:trPr>
        <w:tc>
          <w:tcPr>
            <w:tcW w:w="50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Total costs and expenses</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1,890,302</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1,810,767</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3,695,191</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3,572,556</w:t>
            </w:r>
          </w:p>
        </w:tc>
      </w:tr>
      <w:tr>
        <w:trPr>
          <w:trHeight w:val="251"/>
        </w:trPr>
        <w:tc>
          <w:tcPr>
            <w:tcW w:w="5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229,857</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209,484</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515,354</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426,273</w:t>
            </w:r>
          </w:p>
        </w:tc>
      </w:tr>
      <w:tr>
        <w:trPr>
          <w:trHeight w:val="215"/>
        </w:trPr>
        <w:tc>
          <w:tcPr>
            <w:tcW w:w="502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1,237</w:t>
            </w:r>
          </w:p>
        </w:tc>
        <w:tc>
          <w:tcPr>
            <w:tcW w:w="38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949</w:t>
            </w:r>
          </w:p>
        </w:tc>
        <w:tc>
          <w:tcPr>
            <w:tcW w:w="38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3,167</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2,021</w:t>
            </w:r>
          </w:p>
        </w:tc>
      </w:tr>
      <w:tr>
        <w:trPr>
          <w:trHeight w:val="216"/>
        </w:trPr>
        <w:tc>
          <w:tcPr>
            <w:tcW w:w="50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(60,840)</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(85,206)</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(132,505)</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(171,757)</w:t>
            </w:r>
          </w:p>
        </w:tc>
      </w:tr>
      <w:tr>
        <w:trPr>
          <w:trHeight w:val="251"/>
        </w:trPr>
        <w:tc>
          <w:tcPr>
            <w:tcW w:w="5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170,254</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125,227</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386,016</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256,537</w:t>
            </w:r>
          </w:p>
        </w:tc>
      </w:tr>
      <w:tr>
        <w:trPr>
          <w:trHeight w:val="215"/>
        </w:trPr>
        <w:tc>
          <w:tcPr>
            <w:tcW w:w="50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(23,344)</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(9,629)</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(51,668)</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(23,902)</w:t>
            </w:r>
          </w:p>
        </w:tc>
      </w:tr>
      <w:tr>
        <w:trPr>
          <w:trHeight w:val="251"/>
        </w:trPr>
        <w:tc>
          <w:tcPr>
            <w:tcW w:w="50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Income before share of losses from equity method investments</w:t>
            </w:r>
          </w:p>
        </w:tc>
        <w:tc>
          <w:tcPr>
            <w:tcW w:w="3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146,910</w:t>
            </w:r>
          </w:p>
        </w:tc>
        <w:tc>
          <w:tcPr>
            <w:tcW w:w="38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115,598</w:t>
            </w:r>
          </w:p>
        </w:tc>
        <w:tc>
          <w:tcPr>
            <w:tcW w:w="38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334,348</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232,635</w:t>
            </w:r>
          </w:p>
        </w:tc>
      </w:tr>
      <w:tr>
        <w:trPr>
          <w:trHeight w:val="216"/>
        </w:trPr>
        <w:tc>
          <w:tcPr>
            <w:tcW w:w="50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Share of losses from equity method investments</w:t>
            </w: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146,910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115,598</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334,348</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232,252</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8"/>
        </w:trPr>
        <w:tc>
          <w:tcPr>
            <w:tcW w:w="50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Net income per Ordinary Share (note 13):</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1"/>
        </w:trPr>
        <w:tc>
          <w:tcPr>
            <w:tcW w:w="50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15"/>
        </w:trPr>
        <w:tc>
          <w:tcPr>
            <w:tcW w:w="5020" w:type="dxa"/>
            <w:vAlign w:val="bottom"/>
          </w:tcPr>
          <w:p>
            <w:pPr>
              <w:ind w:left="340"/>
              <w:spacing w:after="0"/>
              <w:rPr>
                <w:sz w:val="20"/>
                <w:szCs w:val="20"/>
                <w:color w:val="auto"/>
              </w:rPr>
            </w:pPr>
            <w:r>
              <w:rPr>
                <w:rFonts w:ascii="Arial" w:cs="Arial" w:eastAsia="Arial" w:hAnsi="Arial"/>
                <w:sz w:val="16"/>
                <w:szCs w:val="16"/>
                <w:color w:val="auto"/>
              </w:rPr>
              <w:t>Basic</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41"/>
        </w:trPr>
        <w:tc>
          <w:tcPr>
            <w:tcW w:w="50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4.02</w:t>
            </w:r>
          </w:p>
        </w:tc>
        <w:tc>
          <w:tcPr>
            <w:tcW w:w="4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0"/>
        </w:trPr>
        <w:tc>
          <w:tcPr>
            <w:tcW w:w="5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8"/>
        </w:trPr>
        <w:tc>
          <w:tcPr>
            <w:tcW w:w="5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number of Ordinary Shares outstanding (note 13):</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5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6"/>
        </w:trPr>
        <w:tc>
          <w:tcPr>
            <w:tcW w:w="5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82,738,765</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81,999,746</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82,658,984</w:t>
            </w: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81,892,662</w:t>
            </w:r>
          </w:p>
        </w:tc>
      </w:tr>
      <w:tr>
        <w:trPr>
          <w:trHeight w:val="215"/>
        </w:trPr>
        <w:tc>
          <w:tcPr>
            <w:tcW w:w="50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83,360,841</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82,627,933</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83,260,144</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82,617,391</w:t>
            </w:r>
          </w:p>
        </w:tc>
      </w:tr>
      <w:tr>
        <w:trPr>
          <w:trHeight w:val="21"/>
        </w:trPr>
        <w:tc>
          <w:tcPr>
            <w:tcW w:w="5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692" w:right="39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left="340" w:right="2580"/>
        <w:spacing w:after="0" w:line="270" w:lineRule="auto"/>
        <w:rPr>
          <w:sz w:val="20"/>
          <w:szCs w:val="20"/>
          <w:color w:val="auto"/>
        </w:rPr>
      </w:pPr>
      <w:r>
        <w:rPr>
          <w:rFonts w:ascii="Arial" w:cs="Arial" w:eastAsia="Arial" w:hAnsi="Arial"/>
          <w:sz w:val="16"/>
          <w:szCs w:val="16"/>
          <w:b w:val="1"/>
          <w:bCs w:val="1"/>
          <w:color w:val="auto"/>
        </w:rPr>
        <w:t>CONDENSED CONSOLIDATED STATEMENTS OF COMPREHENSIVE INCOME FOR THE THREE AND SIX MONTHS ENDED JUNE 30, 2024 AND JUNE 30, 2023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740" w:type="dxa"/>
            <w:vAlign w:val="bottom"/>
            <w:tcBorders>
              <w:bottom w:val="single" w:sz="8" w:color="auto"/>
            </w:tcBorders>
            <w:shd w:val="clear" w:color="auto" w:fill="CCEEFF"/>
          </w:tcPr>
          <w:p>
            <w:pPr>
              <w:spacing w:after="0"/>
              <w:rPr>
                <w:sz w:val="18"/>
                <w:szCs w:val="18"/>
                <w:color w:val="auto"/>
              </w:rPr>
            </w:pPr>
          </w:p>
        </w:tc>
      </w:tr>
      <w:tr>
        <w:trPr>
          <w:trHeight w:val="155"/>
        </w:trPr>
        <w:tc>
          <w:tcPr>
            <w:tcW w:w="4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7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r>
      <w:tr>
        <w:trPr>
          <w:trHeight w:val="216"/>
        </w:trPr>
        <w:tc>
          <w:tcPr>
            <w:tcW w:w="40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40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146,910</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115,598</w:t>
            </w:r>
          </w:p>
        </w:tc>
        <w:tc>
          <w:tcPr>
            <w:tcW w:w="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334,348</w:t>
            </w:r>
          </w:p>
        </w:tc>
        <w:tc>
          <w:tcPr>
            <w:tcW w:w="7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232,252</w:t>
            </w: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Other comprehensive income, net of tax:</w:t>
            </w:r>
          </w:p>
        </w:tc>
        <w:tc>
          <w:tcPr>
            <w:tcW w:w="1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Currency translation adjustment</w:t>
            </w:r>
          </w:p>
        </w:tc>
        <w:tc>
          <w:tcPr>
            <w:tcW w:w="1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(8,985)</w:t>
            </w:r>
          </w:p>
        </w:tc>
        <w:tc>
          <w:tcPr>
            <w:tcW w:w="8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(10,638)</w:t>
            </w: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(41,025)</w:t>
            </w:r>
          </w:p>
        </w:tc>
        <w:tc>
          <w:tcPr>
            <w:tcW w:w="7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4,862</w:t>
            </w:r>
          </w:p>
        </w:tc>
      </w:tr>
      <w:tr>
        <w:trPr>
          <w:trHeight w:val="216"/>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(Loss) / gain on cash flow hedge</w:t>
            </w:r>
          </w:p>
        </w:tc>
        <w:tc>
          <w:tcPr>
            <w:tcW w:w="1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(4,112)</w:t>
            </w:r>
          </w:p>
        </w:tc>
        <w:tc>
          <w:tcPr>
            <w:tcW w:w="8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14,006</w:t>
            </w:r>
          </w:p>
        </w:tc>
        <w:tc>
          <w:tcPr>
            <w:tcW w:w="7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4,972</w:t>
            </w:r>
          </w:p>
        </w:tc>
        <w:tc>
          <w:tcPr>
            <w:tcW w:w="7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10,148</w:t>
            </w:r>
          </w:p>
        </w:tc>
      </w:tr>
      <w:tr>
        <w:trPr>
          <w:trHeight w:val="210"/>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133,813</w:t>
            </w:r>
          </w:p>
        </w:tc>
        <w:tc>
          <w:tcPr>
            <w:tcW w:w="8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118,966</w:t>
            </w:r>
          </w:p>
        </w:tc>
        <w:tc>
          <w:tcPr>
            <w:tcW w:w="7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298,295</w:t>
            </w:r>
          </w:p>
        </w:tc>
        <w:tc>
          <w:tcPr>
            <w:tcW w:w="7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247,262</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SHAREHOLDERS'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Additional</w:t>
            </w:r>
          </w:p>
        </w:tc>
        <w:tc>
          <w:tcPr>
            <w:tcW w:w="4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b w:val="1"/>
                <w:bCs w:val="1"/>
                <w:color w:val="auto"/>
              </w:rPr>
              <w:t>Accumulated</w:t>
            </w: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shd w:val="clear" w:color="auto" w:fill="CCEEFF"/>
          </w:tcPr>
          <w:p>
            <w:pPr>
              <w:spacing w:after="0"/>
              <w:rPr>
                <w:sz w:val="14"/>
                <w:szCs w:val="14"/>
                <w:color w:val="auto"/>
              </w:rPr>
            </w:pPr>
          </w:p>
        </w:tc>
        <w:tc>
          <w:tcPr>
            <w:tcW w:w="3400" w:type="dxa"/>
            <w:vAlign w:val="bottom"/>
            <w:gridSpan w:val="5"/>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Capital</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Loss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0" w:type="dxa"/>
            <w:vAlign w:val="bottom"/>
            <w:gridSpan w:val="5"/>
          </w:tcPr>
          <w:p>
            <w:pPr>
              <w:ind w:left="340"/>
              <w:spacing w:after="0"/>
              <w:rPr>
                <w:sz w:val="20"/>
                <w:szCs w:val="20"/>
                <w:color w:val="auto"/>
              </w:rPr>
            </w:pPr>
            <w:r>
              <w:rPr>
                <w:rFonts w:ascii="Arial" w:cs="Arial" w:eastAsia="Arial" w:hAnsi="Arial"/>
                <w:sz w:val="16"/>
                <w:szCs w:val="16"/>
                <w:b w:val="1"/>
                <w:bCs w:val="1"/>
                <w:color w:val="auto"/>
              </w:rPr>
              <w:t>(in thousands, except share data)</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82,495,086</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6,942,669</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2,433,719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9,240,743</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187,438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187,438</w:t>
            </w:r>
          </w:p>
        </w:tc>
        <w:tc>
          <w:tcPr>
            <w:tcW w:w="0" w:type="dxa"/>
            <w:vAlign w:val="bottom"/>
          </w:tcPr>
          <w:p>
            <w:pPr>
              <w:spacing w:after="0"/>
              <w:rPr>
                <w:sz w:val="1"/>
                <w:szCs w:val="1"/>
                <w:color w:val="auto"/>
              </w:rPr>
            </w:pPr>
          </w:p>
        </w:tc>
      </w:tr>
      <w:tr>
        <w:trPr>
          <w:trHeight w:val="215"/>
        </w:trPr>
        <w:tc>
          <w:tcPr>
            <w:tcW w:w="3340" w:type="dxa"/>
            <w:vAlign w:val="bottom"/>
          </w:tcPr>
          <w:p>
            <w:pPr>
              <w:ind w:left="12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(32,040)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(32,040)</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cash flow hedge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9,084</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164,482</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156,527</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16,293</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16,303</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32,192</w:t>
            </w: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Shared 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11,121</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11,121</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issuance costs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2024</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82,683,805</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6,711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6,970,079</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(166,462)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2,621,157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9,432,647</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146,910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146,910</w:t>
            </w:r>
          </w:p>
        </w:tc>
        <w:tc>
          <w:tcPr>
            <w:tcW w:w="0" w:type="dxa"/>
            <w:vAlign w:val="bottom"/>
          </w:tcPr>
          <w:p>
            <w:pPr>
              <w:spacing w:after="0"/>
              <w:rPr>
                <w:sz w:val="1"/>
                <w:szCs w:val="1"/>
                <w:color w:val="auto"/>
              </w:rPr>
            </w:pPr>
          </w:p>
        </w:tc>
      </w:tr>
      <w:tr>
        <w:trPr>
          <w:trHeight w:val="215"/>
        </w:trPr>
        <w:tc>
          <w:tcPr>
            <w:tcW w:w="3340" w:type="dxa"/>
            <w:vAlign w:val="bottom"/>
          </w:tcPr>
          <w:p>
            <w:pPr>
              <w:ind w:left="12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(8,985)</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(8,985)</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cash flow hedge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(4,112)</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133,813</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45,127</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5,334</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87,668</w:t>
            </w: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13,336</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13,336</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issuance costs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5"/>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82,816,600</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6,988,736</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(179,559)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2,768,067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9,585,126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SHAREHOLDERS' EQUITY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Additional</w:t>
            </w:r>
          </w:p>
        </w:tc>
        <w:tc>
          <w:tcPr>
            <w:tcW w:w="4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b w:val="1"/>
                <w:bCs w:val="1"/>
                <w:color w:val="auto"/>
              </w:rPr>
              <w:t>Accumulated</w:t>
            </w: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Amount</w:t>
            </w:r>
          </w:p>
        </w:tc>
        <w:tc>
          <w:tcPr>
            <w:tcW w:w="200" w:type="dxa"/>
            <w:vAlign w:val="bottom"/>
            <w:shd w:val="clear" w:color="auto" w:fill="CCEEFF"/>
          </w:tcPr>
          <w:p>
            <w:pPr>
              <w:spacing w:after="0"/>
              <w:rPr>
                <w:sz w:val="14"/>
                <w:szCs w:val="14"/>
                <w:color w:val="auto"/>
              </w:rPr>
            </w:pPr>
          </w:p>
        </w:tc>
        <w:tc>
          <w:tcPr>
            <w:tcW w:w="3420" w:type="dxa"/>
            <w:vAlign w:val="bottom"/>
            <w:gridSpan w:val="5"/>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b w:val="1"/>
                <w:bCs w:val="1"/>
                <w:color w:val="auto"/>
                <w:w w:val="97"/>
              </w:rPr>
              <w:t>Capital</w:t>
            </w: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Loss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5"/>
          </w:tcPr>
          <w:p>
            <w:pPr>
              <w:ind w:left="340"/>
              <w:spacing w:after="0"/>
              <w:rPr>
                <w:sz w:val="20"/>
                <w:szCs w:val="20"/>
                <w:color w:val="auto"/>
              </w:rPr>
            </w:pPr>
            <w:r>
              <w:rPr>
                <w:rFonts w:ascii="Arial" w:cs="Arial" w:eastAsia="Arial" w:hAnsi="Arial"/>
                <w:sz w:val="16"/>
                <w:szCs w:val="16"/>
                <w:b w:val="1"/>
                <w:bCs w:val="1"/>
                <w:color w:val="auto"/>
              </w:rPr>
              <w:t>(in thousands, except share data)</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81,723,555</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6,840,306</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(171,538)</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1,821,384</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8,497,963</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116,654</w:t>
            </w:r>
          </w:p>
        </w:tc>
        <w:tc>
          <w:tcPr>
            <w:tcW w:w="0" w:type="dxa"/>
            <w:vAlign w:val="bottom"/>
          </w:tcPr>
          <w:p>
            <w:pPr>
              <w:spacing w:after="0"/>
              <w:rPr>
                <w:sz w:val="1"/>
                <w:szCs w:val="1"/>
                <w:color w:val="auto"/>
              </w:rPr>
            </w:pPr>
          </w:p>
        </w:tc>
      </w:tr>
      <w:tr>
        <w:trPr>
          <w:trHeight w:val="215"/>
        </w:trPr>
        <w:tc>
          <w:tcPr>
            <w:tcW w:w="3340" w:type="dxa"/>
            <w:vAlign w:val="bottom"/>
          </w:tcPr>
          <w:p>
            <w:pPr>
              <w:ind w:left="14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15,500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15,500</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cash flow hedge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128,296</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136,649</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12,927</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12,936</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68,218</w:t>
            </w:r>
          </w:p>
        </w:tc>
        <w:tc>
          <w:tcPr>
            <w:tcW w:w="2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14,658</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14,658</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issuance costs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81,928,422</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6,662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6,867,887</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(159,896)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1,938,038</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8,653,853</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Comprehensive income, net of tax:</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115,598</w:t>
            </w:r>
          </w:p>
        </w:tc>
        <w:tc>
          <w:tcPr>
            <w:tcW w:w="0" w:type="dxa"/>
            <w:vAlign w:val="bottom"/>
          </w:tcPr>
          <w:p>
            <w:pPr>
              <w:spacing w:after="0"/>
              <w:rPr>
                <w:sz w:val="1"/>
                <w:szCs w:val="1"/>
                <w:color w:val="auto"/>
              </w:rPr>
            </w:pPr>
          </w:p>
        </w:tc>
      </w:tr>
      <w:tr>
        <w:trPr>
          <w:trHeight w:val="215"/>
        </w:trPr>
        <w:tc>
          <w:tcPr>
            <w:tcW w:w="3340" w:type="dxa"/>
            <w:vAlign w:val="bottom"/>
          </w:tcPr>
          <w:p>
            <w:pPr>
              <w:ind w:left="14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(10,638)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(10,638)</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cash flow hedge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14,006</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b w:val="1"/>
                <w:bCs w:val="1"/>
                <w:color w:val="auto"/>
              </w:rPr>
              <w:t>Total comprehensive income</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118,966</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93,304</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7,223</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7,229</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129,323</w:t>
            </w:r>
          </w:p>
        </w:tc>
        <w:tc>
          <w:tcPr>
            <w:tcW w:w="2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16,389</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16,389</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issuance costs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5"/>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82,151,049</w:t>
            </w:r>
          </w:p>
        </w:tc>
        <w:tc>
          <w:tcPr>
            <w:tcW w:w="2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6,676</w:t>
            </w: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6,891,494</w:t>
            </w:r>
          </w:p>
        </w:tc>
        <w:tc>
          <w:tcPr>
            <w:tcW w:w="4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(156,528)</w:t>
            </w: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2,053,636</w:t>
            </w: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8,796,440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SIX MONTHS ENDED JUNE 30, 2024 AND JUNE 30, 2023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43" w:lineRule="exact"/>
        <w:rPr>
          <w:sz w:val="20"/>
          <w:szCs w:val="20"/>
          <w:color w:val="auto"/>
        </w:rPr>
      </w:pPr>
    </w:p>
    <w:p>
      <w:pPr>
        <w:ind w:left="906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3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6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June 30,</w:t>
            </w:r>
          </w:p>
        </w:tc>
      </w:tr>
      <w:tr>
        <w:trPr>
          <w:trHeight w:val="216"/>
        </w:trPr>
        <w:tc>
          <w:tcPr>
            <w:tcW w:w="7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7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shd w:val="clear" w:color="auto" w:fill="CCEEFF"/>
          </w:tcPr>
          <w:p>
            <w:pPr>
              <w:spacing w:after="0"/>
              <w:rPr>
                <w:sz w:val="18"/>
                <w:szCs w:val="18"/>
                <w:color w:val="auto"/>
              </w:rPr>
            </w:pPr>
          </w:p>
        </w:tc>
      </w:tr>
      <w:tr>
        <w:trPr>
          <w:trHeight w:val="216"/>
        </w:trPr>
        <w:tc>
          <w:tcPr>
            <w:tcW w:w="7340" w:type="dxa"/>
            <w:vAlign w:val="bottom"/>
          </w:tcPr>
          <w:p>
            <w:pPr>
              <w:ind w:left="140"/>
              <w:spacing w:after="0"/>
              <w:rPr>
                <w:sz w:val="20"/>
                <w:szCs w:val="20"/>
                <w:color w:val="auto"/>
              </w:rPr>
            </w:pPr>
            <w:r>
              <w:rPr>
                <w:rFonts w:ascii="Arial" w:cs="Arial" w:eastAsia="Arial" w:hAnsi="Arial"/>
                <w:sz w:val="16"/>
                <w:szCs w:val="16"/>
                <w:b w:val="1"/>
                <w:bCs w:val="1"/>
                <w:color w:val="auto"/>
              </w:rPr>
              <w:t>Cash flows from operating activities:</w:t>
            </w: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3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334,348</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232,252</w:t>
            </w:r>
          </w:p>
        </w:tc>
      </w:tr>
      <w:tr>
        <w:trPr>
          <w:trHeight w:val="162"/>
        </w:trPr>
        <w:tc>
          <w:tcPr>
            <w:tcW w:w="7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7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734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298,816</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290,185</w:t>
            </w:r>
          </w:p>
        </w:tc>
      </w:tr>
      <w:tr>
        <w:trPr>
          <w:trHeight w:val="217"/>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operating right-of-use assets and related property, plant and equipment</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12,559</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8,613</w:t>
            </w:r>
          </w:p>
        </w:tc>
      </w:tr>
      <w:tr>
        <w:trPr>
          <w:trHeight w:val="215"/>
        </w:trPr>
        <w:tc>
          <w:tcPr>
            <w:tcW w:w="7340" w:type="dxa"/>
            <w:vAlign w:val="bottom"/>
          </w:tcPr>
          <w:p>
            <w:pPr>
              <w:ind w:left="220"/>
              <w:spacing w:after="0"/>
              <w:rPr>
                <w:sz w:val="20"/>
                <w:szCs w:val="20"/>
                <w:color w:val="auto"/>
              </w:rPr>
            </w:pPr>
            <w:r>
              <w:rPr>
                <w:rFonts w:ascii="Arial" w:cs="Arial" w:eastAsia="Arial" w:hAnsi="Arial"/>
                <w:sz w:val="16"/>
                <w:szCs w:val="16"/>
                <w:color w:val="auto"/>
              </w:rPr>
              <w:t>Reduction in carrying value of operating right-of-use assets</w:t>
            </w:r>
          </w:p>
        </w:tc>
        <w:tc>
          <w:tcPr>
            <w:tcW w:w="1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19,367</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23,607</w:t>
            </w:r>
          </w:p>
        </w:tc>
      </w:tr>
      <w:tr>
        <w:trPr>
          <w:trHeight w:val="217"/>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equity method investments</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5"/>
        </w:trPr>
        <w:tc>
          <w:tcPr>
            <w:tcW w:w="7340" w:type="dxa"/>
            <w:vAlign w:val="bottom"/>
          </w:tcPr>
          <w:p>
            <w:pPr>
              <w:ind w:left="220"/>
              <w:spacing w:after="0"/>
              <w:rPr>
                <w:sz w:val="20"/>
                <w:szCs w:val="20"/>
                <w:color w:val="auto"/>
              </w:rPr>
            </w:pPr>
            <w:r>
              <w:rPr>
                <w:rFonts w:ascii="Arial" w:cs="Arial" w:eastAsia="Arial" w:hAnsi="Arial"/>
                <w:sz w:val="16"/>
                <w:szCs w:val="16"/>
                <w:color w:val="auto"/>
              </w:rPr>
              <w:t>Acquisition-related gain</w:t>
            </w:r>
          </w:p>
        </w:tc>
        <w:tc>
          <w:tcPr>
            <w:tcW w:w="1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(6,160)</w:t>
            </w:r>
          </w:p>
        </w:tc>
      </w:tr>
      <w:tr>
        <w:trPr>
          <w:trHeight w:val="217"/>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financing costs and debt discount</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20,604</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7,899</w:t>
            </w:r>
          </w:p>
        </w:tc>
      </w:tr>
      <w:tr>
        <w:trPr>
          <w:trHeight w:val="215"/>
        </w:trPr>
        <w:tc>
          <w:tcPr>
            <w:tcW w:w="734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1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28,145</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31,357</w:t>
            </w:r>
          </w:p>
        </w:tc>
      </w:tr>
      <w:tr>
        <w:trPr>
          <w:trHeight w:val="217"/>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benefit</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(61,239)</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(59,177)</w:t>
            </w:r>
          </w:p>
        </w:tc>
      </w:tr>
      <w:tr>
        <w:trPr>
          <w:trHeight w:val="215"/>
        </w:trPr>
        <w:tc>
          <w:tcPr>
            <w:tcW w:w="7340" w:type="dxa"/>
            <w:vAlign w:val="bottom"/>
          </w:tcPr>
          <w:p>
            <w:pPr>
              <w:ind w:left="220"/>
              <w:spacing w:after="0"/>
              <w:rPr>
                <w:sz w:val="20"/>
                <w:szCs w:val="20"/>
                <w:color w:val="auto"/>
              </w:rPr>
            </w:pPr>
            <w:r>
              <w:rPr>
                <w:rFonts w:ascii="Arial" w:cs="Arial" w:eastAsia="Arial" w:hAnsi="Arial"/>
                <w:sz w:val="16"/>
                <w:szCs w:val="16"/>
                <w:color w:val="auto"/>
              </w:rPr>
              <w:t>Unrealized foreign exchange movements</w:t>
            </w:r>
          </w:p>
        </w:tc>
        <w:tc>
          <w:tcPr>
            <w:tcW w:w="1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13,761</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(3,345)</w:t>
            </w:r>
          </w:p>
        </w:tc>
      </w:tr>
      <w:tr>
        <w:trPr>
          <w:trHeight w:val="217"/>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non-cash items</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12,463</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18,202</w:t>
            </w:r>
          </w:p>
        </w:tc>
      </w:tr>
      <w:tr>
        <w:trPr>
          <w:trHeight w:val="215"/>
        </w:trPr>
        <w:tc>
          <w:tcPr>
            <w:tcW w:w="734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7"/>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198,749</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(40,675)</w:t>
            </w:r>
          </w:p>
        </w:tc>
      </w:tr>
      <w:tr>
        <w:trPr>
          <w:trHeight w:val="215"/>
        </w:trPr>
        <w:tc>
          <w:tcPr>
            <w:tcW w:w="7340" w:type="dxa"/>
            <w:vAlign w:val="bottom"/>
          </w:tcPr>
          <w:p>
            <w:pPr>
              <w:ind w:left="220"/>
              <w:spacing w:after="0"/>
              <w:rPr>
                <w:sz w:val="20"/>
                <w:szCs w:val="20"/>
                <w:color w:val="auto"/>
              </w:rPr>
            </w:pPr>
            <w:r>
              <w:rPr>
                <w:rFonts w:ascii="Arial" w:cs="Arial" w:eastAsia="Arial" w:hAnsi="Arial"/>
                <w:sz w:val="16"/>
                <w:szCs w:val="16"/>
                <w:color w:val="auto"/>
              </w:rPr>
              <w:t>Unbilled revenue</w:t>
            </w:r>
          </w:p>
        </w:tc>
        <w:tc>
          <w:tcPr>
            <w:tcW w:w="1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(287,183)</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(27,210)</w:t>
            </w:r>
          </w:p>
        </w:tc>
      </w:tr>
      <w:tr>
        <w:trPr>
          <w:trHeight w:val="217"/>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Unearned revenue</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(52,081)</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65,266</w:t>
            </w:r>
          </w:p>
        </w:tc>
      </w:tr>
      <w:tr>
        <w:trPr>
          <w:trHeight w:val="215"/>
        </w:trPr>
        <w:tc>
          <w:tcPr>
            <w:tcW w:w="7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net assets</w:t>
            </w:r>
          </w:p>
        </w:tc>
        <w:tc>
          <w:tcPr>
            <w:tcW w:w="1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7,356</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(161,816)</w:t>
            </w:r>
          </w:p>
        </w:tc>
      </w:tr>
      <w:tr>
        <w:trPr>
          <w:trHeight w:val="210"/>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provided by operating activities</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545,665</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379,381</w:t>
            </w:r>
          </w:p>
        </w:tc>
      </w:tr>
      <w:tr>
        <w:trPr>
          <w:trHeight w:val="162"/>
        </w:trPr>
        <w:tc>
          <w:tcPr>
            <w:tcW w:w="7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 flows from investing activities:</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7340" w:type="dxa"/>
            <w:vAlign w:val="bottom"/>
          </w:tcPr>
          <w:p>
            <w:pPr>
              <w:ind w:left="220"/>
              <w:spacing w:after="0"/>
              <w:rPr>
                <w:sz w:val="20"/>
                <w:szCs w:val="20"/>
                <w:color w:val="auto"/>
              </w:rPr>
            </w:pPr>
            <w:r>
              <w:rPr>
                <w:rFonts w:ascii="Arial" w:cs="Arial" w:eastAsia="Arial" w:hAnsi="Arial"/>
                <w:sz w:val="16"/>
                <w:szCs w:val="16"/>
                <w:color w:val="auto"/>
              </w:rPr>
              <w:t>Purchase of property, plant and equipment</w:t>
            </w:r>
          </w:p>
        </w:tc>
        <w:tc>
          <w:tcPr>
            <w:tcW w:w="1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(63,440)</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(58,880)</w:t>
            </w:r>
          </w:p>
        </w:tc>
      </w:tr>
      <w:tr>
        <w:trPr>
          <w:trHeight w:val="217"/>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subsidiary undertakings (net of cash acquired)</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(7,831)</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w:t>
            </w:r>
          </w:p>
        </w:tc>
      </w:tr>
      <w:tr>
        <w:trPr>
          <w:trHeight w:val="215"/>
        </w:trPr>
        <w:tc>
          <w:tcPr>
            <w:tcW w:w="7340" w:type="dxa"/>
            <w:vAlign w:val="bottom"/>
          </w:tcPr>
          <w:p>
            <w:pPr>
              <w:ind w:left="220"/>
              <w:spacing w:after="0"/>
              <w:rPr>
                <w:sz w:val="20"/>
                <w:szCs w:val="20"/>
                <w:color w:val="auto"/>
              </w:rPr>
            </w:pPr>
            <w:r>
              <w:rPr>
                <w:rFonts w:ascii="Arial" w:cs="Arial" w:eastAsia="Arial" w:hAnsi="Arial"/>
                <w:sz w:val="16"/>
                <w:szCs w:val="16"/>
                <w:color w:val="auto"/>
              </w:rPr>
              <w:t>Movement of available for sale investments</w:t>
            </w:r>
          </w:p>
        </w:tc>
        <w:tc>
          <w:tcPr>
            <w:tcW w:w="1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1,954</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investments in equity - long term</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Purchase of investments in equity - long term</w:t>
            </w:r>
          </w:p>
        </w:tc>
        <w:tc>
          <w:tcPr>
            <w:tcW w:w="1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(5,621)</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(4,733)</w:t>
            </w:r>
          </w:p>
        </w:tc>
      </w:tr>
      <w:tr>
        <w:trPr>
          <w:trHeight w:val="210"/>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used in investing activities</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(73,565)</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(68,653)</w:t>
            </w:r>
          </w:p>
        </w:tc>
      </w:tr>
      <w:tr>
        <w:trPr>
          <w:trHeight w:val="162"/>
        </w:trPr>
        <w:tc>
          <w:tcPr>
            <w:tcW w:w="7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Cash flows from financing activities:</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7340" w:type="dxa"/>
            <w:vAlign w:val="bottom"/>
          </w:tcPr>
          <w:p>
            <w:pPr>
              <w:ind w:left="220"/>
              <w:spacing w:after="0"/>
              <w:rPr>
                <w:sz w:val="20"/>
                <w:szCs w:val="20"/>
                <w:color w:val="auto"/>
              </w:rPr>
            </w:pPr>
            <w:r>
              <w:rPr>
                <w:rFonts w:ascii="Arial" w:cs="Arial" w:eastAsia="Arial" w:hAnsi="Arial"/>
                <w:sz w:val="16"/>
                <w:szCs w:val="16"/>
                <w:color w:val="auto"/>
              </w:rPr>
              <w:t>New Notes issue costs</w:t>
            </w:r>
          </w:p>
        </w:tc>
        <w:tc>
          <w:tcPr>
            <w:tcW w:w="1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(11,679)</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Drawdown of credit lines and loan facilities</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2,192,480</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230,000</w:t>
            </w:r>
          </w:p>
        </w:tc>
      </w:tr>
      <w:tr>
        <w:trPr>
          <w:trHeight w:val="215"/>
        </w:trPr>
        <w:tc>
          <w:tcPr>
            <w:tcW w:w="7340" w:type="dxa"/>
            <w:vAlign w:val="bottom"/>
          </w:tcPr>
          <w:p>
            <w:pPr>
              <w:ind w:left="220"/>
              <w:spacing w:after="0"/>
              <w:rPr>
                <w:sz w:val="20"/>
                <w:szCs w:val="20"/>
                <w:color w:val="auto"/>
              </w:rPr>
            </w:pPr>
            <w:r>
              <w:rPr>
                <w:rFonts w:ascii="Arial" w:cs="Arial" w:eastAsia="Arial" w:hAnsi="Arial"/>
                <w:sz w:val="16"/>
                <w:szCs w:val="16"/>
                <w:color w:val="auto"/>
              </w:rPr>
              <w:t>Repayment of credit lines and loan facilities</w:t>
            </w:r>
          </w:p>
        </w:tc>
        <w:tc>
          <w:tcPr>
            <w:tcW w:w="1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(2,537,882)</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(580,000)</w:t>
            </w:r>
          </w:p>
        </w:tc>
      </w:tr>
      <w:tr>
        <w:trPr>
          <w:trHeight w:val="217"/>
        </w:trPr>
        <w:tc>
          <w:tcPr>
            <w:tcW w:w="7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equity compensation</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21,645</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20,177</w:t>
            </w:r>
          </w:p>
        </w:tc>
      </w:tr>
      <w:tr>
        <w:trPr>
          <w:trHeight w:val="215"/>
        </w:trPr>
        <w:tc>
          <w:tcPr>
            <w:tcW w:w="7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Share issue costs</w:t>
            </w:r>
          </w:p>
        </w:tc>
        <w:tc>
          <w:tcPr>
            <w:tcW w:w="1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cash used in financing activities</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(335,450)</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(329,832)</w:t>
            </w:r>
          </w:p>
        </w:tc>
      </w:tr>
      <w:tr>
        <w:trPr>
          <w:trHeight w:val="162"/>
        </w:trPr>
        <w:tc>
          <w:tcPr>
            <w:tcW w:w="7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5"/>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movements on cash</w:t>
            </w:r>
          </w:p>
        </w:tc>
        <w:tc>
          <w:tcPr>
            <w:tcW w:w="1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(8,199)</w:t>
            </w:r>
          </w:p>
        </w:tc>
        <w:tc>
          <w:tcPr>
            <w:tcW w:w="6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10"/>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Net increase / (decrease) in cash and cash equivalents</w:t>
            </w:r>
          </w:p>
        </w:tc>
        <w:tc>
          <w:tcPr>
            <w:tcW w:w="1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128,451</w:t>
            </w:r>
          </w:p>
        </w:tc>
        <w:tc>
          <w:tcPr>
            <w:tcW w:w="6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(18,592)</w:t>
            </w:r>
          </w:p>
        </w:tc>
      </w:tr>
      <w:tr>
        <w:trPr>
          <w:trHeight w:val="215"/>
        </w:trPr>
        <w:tc>
          <w:tcPr>
            <w:tcW w:w="7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378,102</w:t>
            </w:r>
          </w:p>
        </w:tc>
        <w:tc>
          <w:tcPr>
            <w:tcW w:w="6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288,768</w:t>
            </w:r>
          </w:p>
        </w:tc>
      </w:tr>
      <w:tr>
        <w:trPr>
          <w:trHeight w:val="210"/>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506,553</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270,176</w:t>
            </w:r>
          </w:p>
        </w:tc>
      </w:tr>
      <w:tr>
        <w:trPr>
          <w:trHeight w:val="20"/>
        </w:trPr>
        <w:tc>
          <w:tcPr>
            <w:tcW w:w="7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92"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1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June 30, 2024</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Form 20-F for the year ended December 31, 2023 (see </w:t>
      </w:r>
      <w:r>
        <w:rPr>
          <w:rFonts w:ascii="Arial" w:cs="Arial" w:eastAsia="Arial" w:hAnsi="Arial"/>
          <w:sz w:val="16"/>
          <w:szCs w:val="16"/>
          <w:i w:val="1"/>
          <w:iCs w:val="1"/>
          <w:color w:val="auto"/>
        </w:rPr>
        <w:t>note 2 - Summary of significant accounting policies</w:t>
      </w:r>
      <w:r>
        <w:rPr>
          <w:rFonts w:ascii="Arial" w:cs="Arial" w:eastAsia="Arial" w:hAnsi="Arial"/>
          <w:sz w:val="16"/>
          <w:szCs w:val="16"/>
          <w:color w:val="auto"/>
        </w:rPr>
        <w:t>). Operating results for the six months ended June 30, 2024 are not necessarily indicative of the results that may be expected for the fiscal period ending December 31, 2024.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7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These services, which are described below, can be purchased collectively or individually as part of a clinical trial contract. There is not significant variability in how economic factors affect these services. Contracts range in duration from a number of months to several years.</w:t>
      </w:r>
    </w:p>
    <w:p>
      <w:pPr>
        <w:spacing w:after="0" w:line="2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 which have been applied to revenue recognized from each service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trial service revenue</w:t>
      </w:r>
    </w:p>
    <w:p>
      <w:pPr>
        <w:spacing w:after="0" w:line="2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A clinical trial service is a single performance obligation satisfied over time, i.e. the full-service obligation in respect of a clinical trial (including those services performed by investigators and other parties) is considered a single performance obligation. Promises offered to the customer are not distinct within the context of the contract. ICON is the contract principal in respect of both direct services and in the use of third parties (principally investigator services) that support the clinical research projects. The transaction price is determined by reference to the contract or change order value (total service revenue and pass-through/ reimbursable expenses) adjusted to reflect a realizable contract value. Revenue is recognized over time as the single performance obligation is satisfied. The progress towards completion for clinical service contracts is measured based on an input measure being total project costs incurred (inclusive of pass-through/ reimbursable expenses) at each reporting period as a percentage of forecasted total project costs.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Laboratory services revenue</w:t>
      </w:r>
    </w:p>
    <w:p>
      <w:pPr>
        <w:spacing w:after="0" w:line="246"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Contracting services revenue</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i w:val="1"/>
          <w:iCs w:val="1"/>
          <w:color w:val="auto"/>
        </w:rPr>
        <w:t>Consulting services revenue</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consulting services contracts represent a single performance obligation satisfied over time. The transaction price is determined by reference to contract or change order value. Revenue is recognized over time as the performance obligation is satisfied. The progress towards completion for consulting contracts is measured based on total project inputs (time) at each reporting period as a percentage of forecasted total project inputs.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Data services revenue</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21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21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Certain arrangements include upfront customization or consultative services for customers. These arrangements often include payments based on the achievement of certain contractual milestones. Under these arrangements, the Company contracts with a customer to carry out a specific study, ultimately resulting in delivery of a custom report or data product. These arrangements are a single performance obligation given the integrated nature of the service being provided. The Company typically recognizes revenue under these contracts over time, using an output-based measure, generally time elapsed, to measure progress and transfer of control of the performance obligation to the customer. Expense reimbursements are recorded to revenue as the expenses are incurred as they relate directly to the service performed.</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enters into contracts with some of its larger data suppliers that involve non-monetary terms. The Company issues purchase credits to be used toward the data supplier's purchase of the Company's services based on the fair value of the data obtained. In exchange, the Company receives monetary discounts on the data received from the data suppliers. The fair value of the revenue earned from the customer purchases is recognized as services are delivered as described above. At the end of the contract year, any unused customer purchase credits may be forfeited or carried over to the next contract year based on the terms of the data supplier contract.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Commissions</w:t>
      </w:r>
    </w:p>
    <w:p>
      <w:pPr>
        <w:spacing w:after="0" w:line="233"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6"/>
          <w:szCs w:val="16"/>
          <w:color w:val="auto"/>
        </w:rPr>
        <w:t>Incremental costs of obtaining a contract are recognized as an asset on the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2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Intangible assets are measured at fair value at the date of acquisition and amortized on a straight-line basis over their respective estimated useful lives. The Company has no indefinite-lived intangible assets. The Company evaluates its intangible assets for impairment when indicators of impairment exist.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40" w:type="dxa"/>
            <w:vAlign w:val="bottom"/>
          </w:tcPr>
          <w:p>
            <w:pPr>
              <w:ind w:left="660"/>
              <w:spacing w:after="0"/>
              <w:rPr>
                <w:sz w:val="20"/>
                <w:szCs w:val="20"/>
                <w:color w:val="auto"/>
              </w:rPr>
            </w:pPr>
            <w:r>
              <w:rPr>
                <w:rFonts w:ascii="Arial" w:cs="Arial" w:eastAsia="Arial" w:hAnsi="Arial"/>
                <w:sz w:val="16"/>
                <w:szCs w:val="16"/>
                <w:color w:val="auto"/>
              </w:rPr>
              <w:t>Intangible assets are amortized on a straight-line basis over their estimated useful lives, as set forth in the table below:</w:t>
            </w:r>
          </w:p>
        </w:tc>
        <w:tc>
          <w:tcPr>
            <w:tcW w:w="1880" w:type="dxa"/>
            <w:vAlign w:val="bottom"/>
          </w:tcPr>
          <w:p>
            <w:pPr>
              <w:spacing w:after="0"/>
              <w:rPr>
                <w:sz w:val="18"/>
                <w:szCs w:val="18"/>
                <w:color w:val="auto"/>
              </w:rPr>
            </w:pPr>
          </w:p>
        </w:tc>
      </w:tr>
      <w:tr>
        <w:trPr>
          <w:trHeight w:val="258"/>
        </w:trPr>
        <w:tc>
          <w:tcPr>
            <w:tcW w:w="934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16"/>
        </w:trPr>
        <w:tc>
          <w:tcPr>
            <w:tcW w:w="934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Useful Life</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880" w:type="dxa"/>
            <w:vAlign w:val="bottom"/>
          </w:tcPr>
          <w:p>
            <w:pPr>
              <w:jc w:val="right"/>
              <w:spacing w:after="0"/>
              <w:rPr>
                <w:sz w:val="20"/>
                <w:szCs w:val="20"/>
                <w:color w:val="auto"/>
              </w:rPr>
            </w:pPr>
            <w:r>
              <w:rPr>
                <w:rFonts w:ascii="Arial" w:cs="Arial" w:eastAsia="Arial" w:hAnsi="Arial"/>
                <w:sz w:val="16"/>
                <w:szCs w:val="16"/>
                <w:color w:val="auto"/>
              </w:rPr>
              <w:t>16 - 23 years</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188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r>
        <w:trPr>
          <w:trHeight w:val="215"/>
        </w:trPr>
        <w:tc>
          <w:tcPr>
            <w:tcW w:w="9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Technology assets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bl>
    <w:p>
      <w:pPr>
        <w:spacing w:after="0" w:line="32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Company periodically assesses the estimated useful lives of intangible assets to evaluate whether what was established at acquisition continues to be appropriate.</w:t>
      </w:r>
    </w:p>
    <w:p>
      <w:pPr>
        <w:sectPr>
          <w:pgSz w:w="11900" w:h="16838" w:orient="portrait"/>
          <w:cols w:equalWidth="0" w:num="1">
            <w:col w:w="11240"/>
          </w:cols>
          <w:pgMar w:left="320" w:top="1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4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the provision of income taxes in the period that includes the enactment date. Deferred tax assets are reduced by a valuation allowance to the amount that is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Global Intangible Low-Taxed Income ("GILTI") in the period it arises and has therefore not provided for deferred taxes in respect of this item.</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issued but not adopted as of June 30, 2024</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November 2023, the Financial Accounting Standards Board (“FASB”) issued Accounting Standards Update (“ASU”) 2023-07, Segment Reporting</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Improvements to Reportable Segment Disclosures (“ASU 2023-07”), which amends the guidance in ASC Topic 280, Segment Reporting. The amended guidance requires disclosure of significant segment expenses and other segment items on an annual and interim basis. Furthermore, all disclosures about a reportable segment’s profit or loss, which are currently required annually, will be mandated for interim periods. The additional disclosures required by ASU 2023-07 apply to entities with a single reportable segment. The amended guidance is effective for fiscal periods beginning after December 15, 2023, and for interim periods within fiscal years beginning after December 15, 2024, with retrospective application required. The Company is currently evaluating the impact of this ASU on disclosures within its consolidated financial statements.</w:t>
      </w:r>
    </w:p>
    <w:p>
      <w:pPr>
        <w:spacing w:after="0" w:line="21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 December 2023, the FASB issued ASU 2023-09, Improvements to Income Tax Disclosures, which requires disaggregated information about an entity’s effective tax rate reconciliation and additional discloses on income taxes paid. The new requirements are effective for annual periods beginning after December 15, 2024. The guidance is to be applied prospectively, with an option for retrospective application. The Company is currently evaluating the impact of this new guidance on disclosures within its consolidated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disaggregated by customer concentration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Borders>
              <w:bottom w:val="single" w:sz="8" w:color="auto"/>
            </w:tcBorders>
            <w:shd w:val="clear" w:color="auto" w:fill="CCEEFF"/>
          </w:tcPr>
          <w:p>
            <w:pPr>
              <w:spacing w:after="0"/>
              <w:rPr>
                <w:sz w:val="18"/>
                <w:szCs w:val="18"/>
                <w:color w:val="auto"/>
              </w:rPr>
            </w:pPr>
          </w:p>
        </w:tc>
        <w:tc>
          <w:tcPr>
            <w:tcW w:w="2280" w:type="dxa"/>
            <w:vAlign w:val="bottom"/>
            <w:tcBorders>
              <w:bottom w:val="single" w:sz="8" w:color="auto"/>
            </w:tcBorders>
            <w:gridSpan w:val="3"/>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Six Months Ended</w:t>
            </w:r>
          </w:p>
        </w:tc>
      </w:tr>
      <w:tr>
        <w:trPr>
          <w:trHeight w:val="155"/>
        </w:trPr>
        <w:tc>
          <w:tcPr>
            <w:tcW w:w="5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r>
      <w:tr>
        <w:trPr>
          <w:trHeight w:val="216"/>
        </w:trPr>
        <w:tc>
          <w:tcPr>
            <w:tcW w:w="5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5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Clients 1-5</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523,535</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529,792</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1,067,495</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1,092,220</w:t>
            </w:r>
          </w:p>
        </w:tc>
      </w:tr>
      <w:tr>
        <w:trPr>
          <w:trHeight w:val="217"/>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6-10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308,689</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284,382</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628,424</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563,908</w:t>
            </w:r>
          </w:p>
        </w:tc>
      </w:tr>
      <w:tr>
        <w:trPr>
          <w:trHeight w:val="215"/>
        </w:trPr>
        <w:tc>
          <w:tcPr>
            <w:tcW w:w="5340" w:type="dxa"/>
            <w:vAlign w:val="bottom"/>
          </w:tcPr>
          <w:p>
            <w:pPr>
              <w:ind w:left="20"/>
              <w:spacing w:after="0"/>
              <w:rPr>
                <w:sz w:val="20"/>
                <w:szCs w:val="20"/>
                <w:color w:val="auto"/>
              </w:rPr>
            </w:pPr>
            <w:r>
              <w:rPr>
                <w:rFonts w:ascii="Arial" w:cs="Arial" w:eastAsia="Arial" w:hAnsi="Arial"/>
                <w:sz w:val="16"/>
                <w:szCs w:val="16"/>
                <w:color w:val="auto"/>
              </w:rPr>
              <w:t>Clients 11-25</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458,119</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420,880</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886,149</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829,047</w:t>
            </w:r>
          </w:p>
        </w:tc>
      </w:tr>
      <w:tr>
        <w:trPr>
          <w:trHeight w:val="216"/>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829,816</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785,197</w:t>
            </w: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1,628,477</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1,513,654</w:t>
            </w:r>
          </w:p>
        </w:tc>
      </w:tr>
      <w:tr>
        <w:trPr>
          <w:trHeight w:val="20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2,120,159</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2,020,251</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4,210,545</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3,998,829</w:t>
            </w: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revenue from individual customers greater than 10% of consolidated revenue in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4. Accounts receivable, unbilled revenue (contract assets) and unearned revenue or payments on account (contract liabilities)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Accounts receivables and unbilled revenue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June 30,</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860" w:type="dxa"/>
            <w:vAlign w:val="bottom"/>
            <w:tcBorders>
              <w:bottom w:val="single" w:sz="8" w:color="auto"/>
            </w:tcBorders>
            <w:shd w:val="clear" w:color="auto" w:fill="CCEEFF"/>
          </w:tcPr>
          <w:p>
            <w:pPr>
              <w:spacing w:after="0"/>
              <w:rPr>
                <w:sz w:val="18"/>
                <w:szCs w:val="18"/>
                <w:color w:val="auto"/>
              </w:rPr>
            </w:pPr>
          </w:p>
        </w:tc>
        <w:tc>
          <w:tcPr>
            <w:tcW w:w="28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58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50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Billed services (accounts receivable)</w:t>
            </w:r>
          </w:p>
        </w:tc>
        <w:tc>
          <w:tcPr>
            <w:tcW w:w="28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1,604,945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1,821,855</w:t>
            </w:r>
          </w:p>
        </w:tc>
      </w:tr>
      <w:tr>
        <w:trPr>
          <w:trHeight w:val="215"/>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credit losses</w:t>
            </w:r>
          </w:p>
        </w:tc>
        <w:tc>
          <w:tcPr>
            <w:tcW w:w="2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(35,303)</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(31,533)</w:t>
            </w: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8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1,569,642</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1,790,322</w:t>
            </w:r>
          </w:p>
        </w:tc>
      </w:tr>
      <w:tr>
        <w:trPr>
          <w:trHeight w:val="215"/>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Unbilled services (unbilled revenue)</w:t>
            </w:r>
          </w:p>
        </w:tc>
        <w:tc>
          <w:tcPr>
            <w:tcW w:w="2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1,230,948</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951,936</w:t>
            </w:r>
          </w:p>
        </w:tc>
      </w:tr>
      <w:tr>
        <w:trPr>
          <w:trHeight w:val="234"/>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and unbilled revenue, net</w:t>
            </w:r>
          </w:p>
        </w:tc>
        <w:tc>
          <w:tcPr>
            <w:tcW w:w="28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2,800,590</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2,742,258</w:t>
            </w:r>
          </w:p>
        </w:tc>
      </w:tr>
      <w:tr>
        <w:trPr>
          <w:trHeight w:val="20"/>
        </w:trPr>
        <w:tc>
          <w:tcPr>
            <w:tcW w:w="586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1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June 30,</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 Change</w:t>
            </w:r>
          </w:p>
        </w:tc>
        <w:tc>
          <w:tcPr>
            <w:tcW w:w="138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vMerge w:val="continue"/>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6"/>
                <w:szCs w:val="16"/>
                <w:color w:val="auto"/>
              </w:rPr>
              <w:t>Unbilled services (unbilled revenue)</w:t>
            </w:r>
          </w:p>
        </w:tc>
        <w:tc>
          <w:tcPr>
            <w:tcW w:w="1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1,230,948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951,936</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59"/>
              <w:spacing w:after="0"/>
              <w:rPr>
                <w:sz w:val="20"/>
                <w:szCs w:val="20"/>
                <w:color w:val="auto"/>
              </w:rPr>
            </w:pPr>
            <w:r>
              <w:rPr>
                <w:rFonts w:ascii="Arial" w:cs="Arial" w:eastAsia="Arial" w:hAnsi="Arial"/>
                <w:sz w:val="16"/>
                <w:szCs w:val="16"/>
                <w:color w:val="auto"/>
              </w:rPr>
              <w:t>279,012</w:t>
            </w:r>
          </w:p>
        </w:tc>
        <w:tc>
          <w:tcPr>
            <w:tcW w:w="1380" w:type="dxa"/>
            <w:vAlign w:val="bottom"/>
          </w:tcPr>
          <w:p>
            <w:pPr>
              <w:jc w:val="right"/>
              <w:spacing w:after="0"/>
              <w:rPr>
                <w:sz w:val="20"/>
                <w:szCs w:val="20"/>
                <w:color w:val="auto"/>
              </w:rPr>
            </w:pPr>
            <w:r>
              <w:rPr>
                <w:rFonts w:ascii="Arial" w:cs="Arial" w:eastAsia="Arial" w:hAnsi="Arial"/>
                <w:sz w:val="16"/>
                <w:szCs w:val="16"/>
                <w:color w:val="auto"/>
              </w:rPr>
              <w:t>29.3 %</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Unearned revenue (payments on account)</w:t>
            </w:r>
          </w:p>
        </w:tc>
        <w:tc>
          <w:tcPr>
            <w:tcW w:w="1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(1,602,526)</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(1,654,507)</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51,981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balance</w:t>
            </w: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(371,578)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(702,571)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330,993</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Condensed Consolidated Balance Sheet.</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Unbilled services as at June 30, 2024 increased by $279.0 million compared to December 31, 2023. Unearned revenue decreased by $52.0 million over the same period resulting in a decrease of $331.0 million in the net balance of unbilled services and unearned revenue or payments on account between December 31, 2023 and June 30, 2024.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of June 30, 2024 approximately $15.8 billion (June 30, 2023: $13.9 billion) of revenue is expected to be recognized in the future in respect of unsatisfied performance obligations. The Company expects to recognize revenue on approximately 49% of the unsatisfied performance obligations over the next 12 months (June 30, 2023: 51%), with the remainder recognized thereafter over the duration of the customer contracts.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5. Goodwill</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Year</w:t>
            </w:r>
          </w:p>
        </w:tc>
      </w:tr>
      <w:tr>
        <w:trPr>
          <w:trHeight w:val="216"/>
        </w:trPr>
        <w:tc>
          <w:tcPr>
            <w:tcW w:w="8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r>
      <w:tr>
        <w:trPr>
          <w:trHeight w:val="156"/>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8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8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Opening balance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9,022,075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8,971,670</w:t>
            </w: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acquisition</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36,750</w:t>
            </w:r>
          </w:p>
        </w:tc>
      </w:tr>
      <w:tr>
        <w:trPr>
          <w:trHeight w:val="215"/>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exchange movement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(8,258)</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13,655</w:t>
            </w:r>
          </w:p>
        </w:tc>
      </w:tr>
      <w:tr>
        <w:trPr>
          <w:trHeight w:val="235"/>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9,016,549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9,022,075</w:t>
            </w: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January 9, 2024, the Company acquired HumanFirst Inc. ("HumanFirst"), a life sciences technology company in exchange for consideration of $13.3 million. The net cash outflow was $7.8 million comprising initial cash payments of $11.8 million net of cash acquired of $4.0 million. $1.5 million of deferred consideration remains unpaid as of June 30, 2024. The purchase price allocation, as of the date of acquisition, was based on a preliminary valuation and may be subject to revision. Preliminarily, the HumanFirst acquisition resulted in the initial recognition of goodwill of $2.7 million and a developed technology intangible asset of $9.9 million. Preliminary goodwill arising in connection with the acquisition is primarily attributable to the assembled workforce of HumanFirst. The intangible asset will be amortized over its useful life of 5 years and in total, $1.0 million has been amortized in the period since the date of acquisition.</w:t>
      </w:r>
    </w:p>
    <w:p>
      <w:pPr>
        <w:spacing w:after="0" w:line="6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There were no additional acquisitions during the second quarter of 2024 nor any impairment charges for the six months ended June 30, 2024 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6. Intangible assets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carrying amount of Intangible Assets for the periods ended June 30, 2024 and December 31, 2023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June 30,</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12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51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54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3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5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4,089,261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4,090,393</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540,795</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541,302</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Trade names &amp; brands</w:t>
            </w:r>
          </w:p>
        </w:tc>
        <w:tc>
          <w:tcPr>
            <w:tcW w:w="3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204,621</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204,653</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3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170,348</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170,366</w:t>
            </w:r>
          </w:p>
        </w:tc>
      </w:tr>
      <w:tr>
        <w:trPr>
          <w:trHeight w:val="215"/>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Technology assets</w:t>
            </w:r>
          </w:p>
        </w:tc>
        <w:tc>
          <w:tcPr>
            <w:tcW w:w="3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150,933</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141,257</w:t>
            </w:r>
          </w:p>
        </w:tc>
      </w:tr>
      <w:tr>
        <w:trPr>
          <w:trHeight w:val="21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w:t>
            </w:r>
          </w:p>
        </w:tc>
        <w:tc>
          <w:tcPr>
            <w:tcW w:w="3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5,155,958</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5,147,971</w:t>
            </w:r>
          </w:p>
        </w:tc>
      </w:tr>
      <w:tr>
        <w:trPr>
          <w:trHeight w:val="215"/>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Accumulated amortization</w:t>
            </w:r>
          </w:p>
        </w:tc>
        <w:tc>
          <w:tcPr>
            <w:tcW w:w="3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(1,523,604)</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(1,292,106)</w:t>
            </w:r>
          </w:p>
        </w:tc>
      </w:tr>
      <w:tr>
        <w:trPr>
          <w:trHeight w:val="234"/>
        </w:trPr>
        <w:tc>
          <w:tcPr>
            <w:tcW w:w="51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Net book value</w:t>
            </w:r>
          </w:p>
        </w:tc>
        <w:tc>
          <w:tcPr>
            <w:tcW w:w="35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3,632,354</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3,855,865</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3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six months ended June 30, 2024, the amortization expense recognized by the Company was $233.0 million (year ended December 31, 2023:</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$459.9 million).</w:t>
      </w:r>
    </w:p>
    <w:p>
      <w:pPr>
        <w:spacing w:after="0" w:line="23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On January 9, 2024, the Company acquired HumanFirst. The acquisition resulted in the recognition of a developed technology intangible asset of $9.9 million. Refer to note 5. Goodwill for further details.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identifiable intangible assets are amortized over their estimated useful lives</w:t>
      </w:r>
      <w:r>
        <w:rPr>
          <w:rFonts w:ascii="Times New Roman" w:cs="Times New Roman" w:eastAsia="Times New Roman" w:hAnsi="Times New Roman"/>
          <w:sz w:val="17"/>
          <w:szCs w:val="17"/>
          <w:color w:val="auto"/>
        </w:rPr>
        <w:t>.</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Fair value measurements</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19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21" w:lineRule="exact"/>
        <w:rPr>
          <w:rFonts w:ascii="Arial" w:cs="Arial" w:eastAsia="Arial" w:hAnsi="Arial"/>
          <w:sz w:val="16"/>
          <w:szCs w:val="16"/>
          <w:color w:val="auto"/>
        </w:rPr>
      </w:pPr>
    </w:p>
    <w:p>
      <w:pPr>
        <w:jc w:val="both"/>
        <w:ind w:left="660" w:hanging="328"/>
        <w:spacing w:after="0" w:line="256"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 w:lineRule="exact"/>
        <w:rPr>
          <w:rFonts w:ascii="Arial" w:cs="Arial" w:eastAsia="Arial" w:hAnsi="Arial"/>
          <w:sz w:val="16"/>
          <w:szCs w:val="16"/>
          <w:color w:val="auto"/>
        </w:rPr>
      </w:pPr>
    </w:p>
    <w:p>
      <w:pPr>
        <w:ind w:left="660" w:hanging="328"/>
        <w:spacing w:after="0" w:line="270"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This includes certain pricing models, discounted cash flow methodologies, and similar techniques that use significant unobservable inputs.</w:t>
      </w:r>
    </w:p>
    <w:p>
      <w:pPr>
        <w:spacing w:after="0" w:line="195" w:lineRule="exact"/>
        <w:rPr>
          <w:sz w:val="20"/>
          <w:szCs w:val="20"/>
          <w:color w:val="auto"/>
        </w:rPr>
      </w:pPr>
    </w:p>
    <w:p>
      <w:pPr>
        <w:ind w:right="20" w:firstLine="648"/>
        <w:spacing w:after="0" w:line="304" w:lineRule="auto"/>
        <w:rPr>
          <w:sz w:val="20"/>
          <w:szCs w:val="20"/>
          <w:color w:val="auto"/>
        </w:rPr>
      </w:pPr>
      <w:r>
        <w:rPr>
          <w:rFonts w:ascii="Arial" w:cs="Arial" w:eastAsia="Arial" w:hAnsi="Arial"/>
          <w:sz w:val="16"/>
          <w:szCs w:val="16"/>
          <w:color w:val="auto"/>
        </w:rPr>
        <w:t>The carrying amounts of financial instruments, including cash and cash equivalents, accounts receivable and accounts payable approximate fair value due to the short maturities of these instruments.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June 30, 2024, the fair value of the major classes of the Company's assets and liabilities measured at fair value on a recurring basis were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76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Investments</w:t>
            </w: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300" w:type="dxa"/>
            <w:vAlign w:val="bottom"/>
            <w:vMerge w:val="restart"/>
            <w:shd w:val="clear" w:color="auto" w:fill="CCEEFF"/>
          </w:tcPr>
          <w:p>
            <w:pPr>
              <w:ind w:left="5360"/>
              <w:spacing w:after="0"/>
              <w:rPr>
                <w:sz w:val="20"/>
                <w:szCs w:val="20"/>
                <w:color w:val="auto"/>
              </w:rPr>
            </w:pPr>
            <w:r>
              <w:rPr>
                <w:rFonts w:ascii="Arial" w:cs="Arial" w:eastAsia="Arial" w:hAnsi="Arial"/>
                <w:sz w:val="16"/>
                <w:szCs w:val="16"/>
                <w:b w:val="1"/>
                <w:bCs w:val="1"/>
                <w:color w:val="auto"/>
              </w:rPr>
              <w:t>Level 1</w:t>
            </w:r>
          </w:p>
        </w:tc>
        <w:tc>
          <w:tcPr>
            <w:tcW w:w="1320" w:type="dxa"/>
            <w:vAlign w:val="bottom"/>
            <w:vMerge w:val="restart"/>
            <w:shd w:val="clear" w:color="auto" w:fill="CCEEFF"/>
          </w:tcPr>
          <w:p>
            <w:pPr>
              <w:ind w:left="380"/>
              <w:spacing w:after="0"/>
              <w:rPr>
                <w:sz w:val="20"/>
                <w:szCs w:val="20"/>
                <w:color w:val="auto"/>
              </w:rPr>
            </w:pPr>
            <w:r>
              <w:rPr>
                <w:rFonts w:ascii="Arial" w:cs="Arial" w:eastAsia="Arial" w:hAnsi="Arial"/>
                <w:sz w:val="16"/>
                <w:szCs w:val="16"/>
                <w:b w:val="1"/>
                <w:bCs w:val="1"/>
                <w:color w:val="auto"/>
              </w:rPr>
              <w:t>Level 2</w:t>
            </w:r>
          </w:p>
        </w:tc>
        <w:tc>
          <w:tcPr>
            <w:tcW w:w="980" w:type="dxa"/>
            <w:vAlign w:val="bottom"/>
            <w:vMerge w:val="restart"/>
            <w:shd w:val="clear" w:color="auto" w:fill="CCEEFF"/>
          </w:tcPr>
          <w:p>
            <w:pPr>
              <w:ind w:left="380"/>
              <w:spacing w:after="0"/>
              <w:rPr>
                <w:sz w:val="20"/>
                <w:szCs w:val="20"/>
                <w:color w:val="auto"/>
              </w:rPr>
            </w:pPr>
            <w:r>
              <w:rPr>
                <w:rFonts w:ascii="Arial" w:cs="Arial" w:eastAsia="Arial" w:hAnsi="Arial"/>
                <w:sz w:val="16"/>
                <w:szCs w:val="16"/>
                <w:b w:val="1"/>
                <w:bCs w:val="1"/>
                <w:color w:val="auto"/>
              </w:rPr>
              <w:t>Level 3</w:t>
            </w:r>
          </w:p>
        </w:tc>
        <w:tc>
          <w:tcPr>
            <w:tcW w:w="1760" w:type="dxa"/>
            <w:vAlign w:val="bottom"/>
            <w:shd w:val="clear" w:color="auto" w:fill="CCEEFF"/>
          </w:tcPr>
          <w:p>
            <w:pPr>
              <w:jc w:val="right"/>
              <w:ind w:right="399"/>
              <w:spacing w:after="0" w:line="162" w:lineRule="exact"/>
              <w:rPr>
                <w:sz w:val="20"/>
                <w:szCs w:val="20"/>
                <w:color w:val="auto"/>
              </w:rPr>
            </w:pPr>
            <w:r>
              <w:rPr>
                <w:rFonts w:ascii="Arial" w:cs="Arial" w:eastAsia="Arial" w:hAnsi="Arial"/>
                <w:sz w:val="16"/>
                <w:szCs w:val="16"/>
                <w:b w:val="1"/>
                <w:bCs w:val="1"/>
                <w:color w:val="auto"/>
              </w:rPr>
              <w:t>Measured at Net</w:t>
            </w:r>
          </w:p>
        </w:tc>
        <w:tc>
          <w:tcPr>
            <w:tcW w:w="880" w:type="dxa"/>
            <w:vAlign w:val="bottom"/>
            <w:vMerge w:val="restart"/>
            <w:shd w:val="clear" w:color="auto" w:fill="CCEEFF"/>
          </w:tcPr>
          <w:p>
            <w:pPr>
              <w:ind w:left="48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16"/>
        </w:trPr>
        <w:tc>
          <w:tcPr>
            <w:tcW w:w="630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Asset Value</w:t>
            </w: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Investments in equity- long term (b)</w:t>
            </w: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50,220</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50,220</w:t>
            </w:r>
          </w:p>
        </w:tc>
      </w:tr>
      <w:tr>
        <w:trPr>
          <w:trHeight w:val="235"/>
        </w:trPr>
        <w:tc>
          <w:tcPr>
            <w:tcW w:w="3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50,220</w:t>
            </w:r>
          </w:p>
        </w:tc>
        <w:tc>
          <w:tcPr>
            <w:tcW w:w="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50,220</w:t>
            </w:r>
          </w:p>
        </w:tc>
      </w:tr>
      <w:tr>
        <w:trPr>
          <w:trHeight w:val="20"/>
        </w:trPr>
        <w:tc>
          <w:tcPr>
            <w:tcW w:w="36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ind w:firstLine="648"/>
        <w:spacing w:after="0" w:line="286" w:lineRule="auto"/>
        <w:rPr>
          <w:sz w:val="20"/>
          <w:szCs w:val="20"/>
          <w:color w:val="auto"/>
        </w:rPr>
      </w:pPr>
      <w:r>
        <w:rPr>
          <w:rFonts w:ascii="Arial" w:cs="Arial" w:eastAsia="Arial" w:hAnsi="Arial"/>
          <w:sz w:val="16"/>
          <w:szCs w:val="16"/>
          <w:color w:val="auto"/>
        </w:rPr>
        <w:t>As of December 31, 2023, the fair value of the major classes of the Company's assets and liabilities measured at fair value on a recurring basis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Investments</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Level 1</w:t>
            </w:r>
          </w:p>
        </w:tc>
        <w:tc>
          <w:tcPr>
            <w:tcW w:w="4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Level 2</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ind w:left="640"/>
              <w:spacing w:after="0"/>
              <w:rPr>
                <w:sz w:val="20"/>
                <w:szCs w:val="20"/>
                <w:color w:val="auto"/>
              </w:rPr>
            </w:pPr>
            <w:r>
              <w:rPr>
                <w:rFonts w:ascii="Arial" w:cs="Arial" w:eastAsia="Arial" w:hAnsi="Arial"/>
                <w:sz w:val="16"/>
                <w:szCs w:val="16"/>
                <w:b w:val="1"/>
                <w:bCs w:val="1"/>
                <w:color w:val="auto"/>
              </w:rPr>
              <w:t>Level 3</w:t>
            </w:r>
          </w:p>
        </w:tc>
        <w:tc>
          <w:tcPr>
            <w:tcW w:w="1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Measured at Net</w:t>
            </w:r>
          </w:p>
        </w:tc>
        <w:tc>
          <w:tcPr>
            <w:tcW w:w="4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Asset Value</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Available for sale securities (short-term) (a)</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1,954</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ind w:left="9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Investments in equity- long term (b)</w:t>
            </w:r>
          </w:p>
        </w:tc>
        <w:tc>
          <w:tcPr>
            <w:tcW w:w="1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46,804</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46,804</w:t>
            </w:r>
          </w:p>
        </w:tc>
        <w:tc>
          <w:tcPr>
            <w:tcW w:w="0" w:type="dxa"/>
            <w:vAlign w:val="bottom"/>
          </w:tcPr>
          <w:p>
            <w:pPr>
              <w:spacing w:after="0"/>
              <w:rPr>
                <w:sz w:val="1"/>
                <w:szCs w:val="1"/>
                <w:color w:val="auto"/>
              </w:rPr>
            </w:pPr>
          </w:p>
        </w:tc>
      </w:tr>
      <w:tr>
        <w:trPr>
          <w:trHeight w:val="209"/>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1460" w:type="dxa"/>
            <w:vAlign w:val="bottom"/>
            <w:tcBorders>
              <w:bottom w:val="single" w:sz="8" w:color="auto"/>
            </w:tcBorders>
            <w:gridSpan w:val="2"/>
          </w:tcPr>
          <w:p>
            <w:pPr>
              <w:ind w:left="98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46,804</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48,758</w:t>
            </w:r>
          </w:p>
        </w:tc>
        <w:tc>
          <w:tcPr>
            <w:tcW w:w="0" w:type="dxa"/>
            <w:vAlign w:val="bottom"/>
          </w:tcPr>
          <w:p>
            <w:pPr>
              <w:spacing w:after="0"/>
              <w:rPr>
                <w:sz w:val="1"/>
                <w:szCs w:val="1"/>
                <w:color w:val="auto"/>
              </w:rPr>
            </w:pP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8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Derivative instruments (c)</w:t>
            </w:r>
          </w:p>
        </w:tc>
        <w:tc>
          <w:tcPr>
            <w:tcW w:w="1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w:t>
            </w: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656"/>
        <w:spacing w:after="0" w:line="304" w:lineRule="auto"/>
        <w:tabs>
          <w:tab w:leader="none" w:pos="89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fair value of highly liquid investments with maturities greater than three months, a minimum "A-" rated fixed term deposit and are based on quoted market prices.</w:t>
      </w:r>
    </w:p>
    <w:p>
      <w:pPr>
        <w:spacing w:after="0" w:line="168" w:lineRule="exact"/>
        <w:rPr>
          <w:rFonts w:ascii="Arial" w:cs="Arial" w:eastAsia="Arial" w:hAnsi="Arial"/>
          <w:sz w:val="16"/>
          <w:szCs w:val="16"/>
          <w:color w:val="auto"/>
        </w:rPr>
      </w:pPr>
    </w:p>
    <w:p>
      <w:pPr>
        <w:jc w:val="both"/>
        <w:ind w:firstLine="656"/>
        <w:spacing w:after="0" w:line="265" w:lineRule="auto"/>
        <w:tabs>
          <w:tab w:leader="none" w:pos="912"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determine the classification of its interests in long-term investments, the Company considered the nature of its investment, the extent of influence over operating and financial decisions and the availability of readily determinable fair values. The Company determined that the interests in funds meet the definition of equity securities without readily determinable fair values, which qualify for the Net Asset Value (NAV) practical expedient in ASC 820 'Fair value measurement'. Any increases or decreases in fair value are recognized in net income in the period.</w:t>
      </w:r>
    </w:p>
    <w:p>
      <w:pPr>
        <w:spacing w:after="0" w:line="213" w:lineRule="exact"/>
        <w:rPr>
          <w:rFonts w:ascii="Arial" w:cs="Arial" w:eastAsia="Arial" w:hAnsi="Arial"/>
          <w:sz w:val="16"/>
          <w:szCs w:val="16"/>
          <w:color w:val="auto"/>
        </w:rPr>
      </w:pPr>
    </w:p>
    <w:p>
      <w:pPr>
        <w:ind w:left="900" w:hanging="244"/>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the fair value of the interest rate caps and the interest rate swap.</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Certain assets and liabilities are carried on the accompanying Condensed Consolidated Balance Sheet at cost and are not re-measured to fair value on a recurring basis. These assets include finite-lived intangible assets that are tested for impairment when a triggering event occurs and goodwill that is tested for impairment annually or when a triggering event occurs. As of June 30, 2024, assets carried on the balance sheet which are not re-measured to fair value on a recurring basis totaled $12,648.9 million (December 31, 2023: $12,878.0 million) and are identified as Level 3 assets. These assets are comprised of goodwill of $9,016.5 million (December 31, 2023: $9,022.1 million) and net identifiable intangible assets of $3,632.4 million (December 31, 2023: $3,855.9 million).</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The estimated fair value of the Company’s debt was $3,469.3 million at June 30, 2024 (December 31, 2023: $3,793.5 million). The fair values of the Senior Secured Credit Facilities, the 2026 Notes and the New Notes were determined based on Level 2 inputs, which are based on rates at which the debt is traded among financial institutions. The fair value of the senior secured revolving loan facility is recorded as its carrying value, due to the short term duration. Refer to note 10. </w:t>
      </w:r>
      <w:r>
        <w:rPr>
          <w:rFonts w:ascii="Arial" w:cs="Arial" w:eastAsia="Arial" w:hAnsi="Arial"/>
          <w:sz w:val="16"/>
          <w:szCs w:val="16"/>
          <w:i w:val="1"/>
          <w:iCs w:val="1"/>
          <w:color w:val="auto"/>
        </w:rPr>
        <w:t>Bank credit lines, loan facilities and notes</w:t>
      </w:r>
      <w:r>
        <w:rPr>
          <w:rFonts w:ascii="Arial" w:cs="Arial" w:eastAsia="Arial" w:hAnsi="Arial"/>
          <w:sz w:val="16"/>
          <w:szCs w:val="16"/>
          <w:color w:val="auto"/>
        </w:rPr>
        <w:t xml:space="preserve"> for further details on the Company's financing arrangements.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8. Restructuring</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In the six months ended June 30, 2024, a restructuring charge of $45.8 million (June 30, 2023: $45.4 million) was recorded in the Condensed Consolidated Statement of Operations under a restructuring plan adopted following a review of operations.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restructuring plan reflected a workforce reduction of $31.7 million (June 30, 2023: $34.1 million) and an office consolidation program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optimize the Company's office footprint of $14.1 million (June 30, 2023: $11.3 million), being the impairment of operating right-off-use assets and related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of $12.6 million (June 30, 2023: $8.6 million) and onerous contract costs of $1.5 million (June 30, 2023: $2.7 million).</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Borders>
              <w:bottom w:val="single" w:sz="8" w:color="auto"/>
            </w:tcBorders>
            <w:shd w:val="clear" w:color="auto" w:fill="CCEEFF"/>
          </w:tcPr>
          <w:p>
            <w:pPr>
              <w:spacing w:after="0"/>
              <w:rPr>
                <w:sz w:val="18"/>
                <w:szCs w:val="18"/>
                <w:color w:val="auto"/>
              </w:rPr>
            </w:pPr>
          </w:p>
        </w:tc>
      </w:tr>
      <w:tr>
        <w:trPr>
          <w:trHeight w:val="155"/>
        </w:trPr>
        <w:tc>
          <w:tcPr>
            <w:tcW w:w="5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center"/>
              <w:ind w:left="299"/>
              <w:spacing w:after="0" w:line="155" w:lineRule="exact"/>
              <w:rPr>
                <w:sz w:val="20"/>
                <w:szCs w:val="20"/>
                <w:color w:val="auto"/>
              </w:rPr>
            </w:pPr>
            <w:r>
              <w:rPr>
                <w:rFonts w:ascii="Arial" w:cs="Arial" w:eastAsia="Arial" w:hAnsi="Arial"/>
                <w:sz w:val="16"/>
                <w:szCs w:val="16"/>
                <w:b w:val="1"/>
                <w:bCs w:val="1"/>
                <w:color w:val="auto"/>
                <w:w w:val="99"/>
              </w:rPr>
              <w:t>June 30,</w:t>
            </w:r>
          </w:p>
        </w:tc>
        <w:tc>
          <w:tcPr>
            <w:tcW w:w="44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3"/>
                <w:szCs w:val="13"/>
                <w:color w:val="auto"/>
              </w:rPr>
            </w:pPr>
          </w:p>
        </w:tc>
        <w:tc>
          <w:tcPr>
            <w:tcW w:w="800" w:type="dxa"/>
            <w:vAlign w:val="bottom"/>
          </w:tcPr>
          <w:p>
            <w:pPr>
              <w:jc w:val="center"/>
              <w:ind w:left="19"/>
              <w:spacing w:after="0" w:line="155" w:lineRule="exact"/>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3"/>
                <w:szCs w:val="13"/>
                <w:color w:val="auto"/>
              </w:rPr>
            </w:pPr>
          </w:p>
        </w:tc>
        <w:tc>
          <w:tcPr>
            <w:tcW w:w="7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June 30,</w:t>
            </w:r>
          </w:p>
        </w:tc>
      </w:tr>
      <w:tr>
        <w:trPr>
          <w:trHeight w:val="216"/>
        </w:trPr>
        <w:tc>
          <w:tcPr>
            <w:tcW w:w="5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5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5"/>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charges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color w:val="auto"/>
              </w:rPr>
              <w:t>45,789</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35,661</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45,789</w:t>
            </w: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45,390</w:t>
            </w:r>
          </w:p>
        </w:tc>
      </w:tr>
      <w:tr>
        <w:trPr>
          <w:trHeight w:val="234"/>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center"/>
              <w:ind w:left="359"/>
              <w:spacing w:after="0"/>
              <w:rPr>
                <w:sz w:val="20"/>
                <w:szCs w:val="20"/>
                <w:color w:val="auto"/>
              </w:rPr>
            </w:pPr>
            <w:r>
              <w:rPr>
                <w:rFonts w:ascii="Arial" w:cs="Arial" w:eastAsia="Arial" w:hAnsi="Arial"/>
                <w:sz w:val="16"/>
                <w:szCs w:val="16"/>
                <w:color w:val="auto"/>
              </w:rPr>
              <w:t>45,789</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35,661</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rPr>
              <w:t>45,789</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45,390</w:t>
            </w:r>
          </w:p>
        </w:tc>
      </w:tr>
      <w:tr>
        <w:trPr>
          <w:trHeight w:val="20"/>
        </w:trPr>
        <w:tc>
          <w:tcPr>
            <w:tcW w:w="54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At June 30, 2024, a total liability of $26.3 million (December 31, 2023: $7.0 million) was recorded on the Consolidated Balance Sheet relating to restructuring activities.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shd w:val="clear" w:color="auto" w:fill="CCEEFF"/>
          </w:tcPr>
          <w:p>
            <w:pPr>
              <w:spacing w:after="0"/>
              <w:rPr>
                <w:sz w:val="16"/>
                <w:szCs w:val="16"/>
                <w:color w:val="auto"/>
              </w:rPr>
            </w:pP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Year</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1440" w:type="dxa"/>
            <w:vAlign w:val="bottom"/>
            <w:tcBorders>
              <w:bottom w:val="single" w:sz="8" w:color="auto"/>
            </w:tcBorders>
            <w:gridSpan w:val="2"/>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155"/>
        </w:trPr>
        <w:tc>
          <w:tcPr>
            <w:tcW w:w="8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Opening provision</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6,999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6,022</w:t>
            </w: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 during the period*</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33,230</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36,704</w:t>
            </w:r>
          </w:p>
        </w:tc>
        <w:tc>
          <w:tcPr>
            <w:tcW w:w="0" w:type="dxa"/>
            <w:vAlign w:val="bottom"/>
          </w:tcPr>
          <w:p>
            <w:pPr>
              <w:spacing w:after="0"/>
              <w:rPr>
                <w:sz w:val="1"/>
                <w:szCs w:val="1"/>
                <w:color w:val="auto"/>
              </w:rPr>
            </w:pPr>
          </w:p>
        </w:tc>
      </w:tr>
      <w:tr>
        <w:trPr>
          <w:trHeight w:val="215"/>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Utilization</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(13,883)</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(35,727)</w:t>
            </w:r>
          </w:p>
        </w:tc>
        <w:tc>
          <w:tcPr>
            <w:tcW w:w="0" w:type="dxa"/>
            <w:vAlign w:val="bottom"/>
          </w:tcPr>
          <w:p>
            <w:pPr>
              <w:spacing w:after="0"/>
              <w:rPr>
                <w:sz w:val="1"/>
                <w:szCs w:val="1"/>
                <w:color w:val="auto"/>
              </w:rPr>
            </w:pPr>
          </w:p>
        </w:tc>
      </w:tr>
      <w:tr>
        <w:trPr>
          <w:trHeight w:val="234"/>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provision</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26,346</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charge for the period reflects the workforce reduction of $31.7 million and onerous contract costs of $1.5 million.</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closing provision of $26.3 million reflects:</w:t>
      </w:r>
    </w:p>
    <w:p>
      <w:pPr>
        <w:spacing w:after="0" w:line="100" w:lineRule="exact"/>
        <w:rPr>
          <w:sz w:val="20"/>
          <w:szCs w:val="20"/>
          <w:color w:val="auto"/>
        </w:rPr>
      </w:pPr>
    </w:p>
    <w:p>
      <w:pPr>
        <w:ind w:right="20" w:firstLine="656"/>
        <w:spacing w:after="0" w:line="286" w:lineRule="auto"/>
        <w:tabs>
          <w:tab w:leader="none" w:pos="909" w:val="left"/>
        </w:tabs>
        <w:numPr>
          <w:ilvl w:val="0"/>
          <w:numId w:val="4"/>
        </w:numPr>
        <w:rPr>
          <w:rFonts w:ascii="Arial" w:cs="Arial" w:eastAsia="Arial" w:hAnsi="Arial"/>
          <w:sz w:val="16"/>
          <w:szCs w:val="16"/>
          <w:color w:val="auto"/>
        </w:rPr>
      </w:pPr>
      <w:r>
        <w:rPr>
          <w:rFonts w:ascii="Arial" w:cs="Arial" w:eastAsia="Arial" w:hAnsi="Arial"/>
          <w:sz w:val="16"/>
          <w:szCs w:val="16"/>
          <w:color w:val="auto"/>
        </w:rPr>
        <w:t>$21.6 million (December 31, 2023: $4.0 million) of personnel related liabilities as a result of the workforce reduction; all of which have been classified as short-term within Other Liabilities, and</w:t>
      </w:r>
    </w:p>
    <w:p>
      <w:pPr>
        <w:spacing w:after="0" w:line="47" w:lineRule="exact"/>
        <w:rPr>
          <w:rFonts w:ascii="Arial" w:cs="Arial" w:eastAsia="Arial" w:hAnsi="Arial"/>
          <w:sz w:val="16"/>
          <w:szCs w:val="16"/>
          <w:color w:val="auto"/>
        </w:rPr>
      </w:pPr>
    </w:p>
    <w:p>
      <w:pPr>
        <w:ind w:firstLine="656"/>
        <w:spacing w:after="0" w:line="321" w:lineRule="auto"/>
        <w:tabs>
          <w:tab w:leader="none" w:pos="902" w:val="left"/>
        </w:tabs>
        <w:numPr>
          <w:ilvl w:val="0"/>
          <w:numId w:val="4"/>
        </w:numPr>
        <w:rPr>
          <w:rFonts w:ascii="Arial" w:cs="Arial" w:eastAsia="Arial" w:hAnsi="Arial"/>
          <w:sz w:val="16"/>
          <w:szCs w:val="16"/>
          <w:color w:val="auto"/>
        </w:rPr>
      </w:pPr>
      <w:r>
        <w:rPr>
          <w:rFonts w:ascii="Arial" w:cs="Arial" w:eastAsia="Arial" w:hAnsi="Arial"/>
          <w:sz w:val="16"/>
          <w:szCs w:val="16"/>
          <w:color w:val="auto"/>
        </w:rPr>
        <w:t>$4.7 million (December 31, 2023: $3.0 million) of facilities related liabilities of which $1.2 million (December 31, 2023: $1.0 million) is included within Other liabilities and $3.5 million (December 31, 2023: $2.0 million) is included within Non-current other liabilities.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9. Operating leases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540" w:type="dxa"/>
            <w:vAlign w:val="bottom"/>
            <w:gridSpan w:val="8"/>
          </w:tcPr>
          <w:p>
            <w:pPr>
              <w:ind w:left="660"/>
              <w:spacing w:after="0"/>
              <w:rPr>
                <w:sz w:val="20"/>
                <w:szCs w:val="20"/>
                <w:color w:val="auto"/>
              </w:rPr>
            </w:pPr>
            <w:r>
              <w:rPr>
                <w:rFonts w:ascii="Arial" w:cs="Arial" w:eastAsia="Arial" w:hAnsi="Arial"/>
                <w:sz w:val="16"/>
                <w:szCs w:val="16"/>
                <w:color w:val="auto"/>
              </w:rPr>
              <w:t>Lease costs recorded under operating leases for three and six months ended June 30, 2024 and June 30, 2023 were as follows:</w:t>
            </w:r>
          </w:p>
        </w:tc>
        <w:tc>
          <w:tcPr>
            <w:tcW w:w="700" w:type="dxa"/>
            <w:vAlign w:val="bottom"/>
          </w:tcPr>
          <w:p>
            <w:pPr>
              <w:spacing w:after="0"/>
              <w:rPr>
                <w:sz w:val="18"/>
                <w:szCs w:val="18"/>
                <w:color w:val="auto"/>
              </w:rPr>
            </w:pPr>
          </w:p>
        </w:tc>
      </w:tr>
      <w:tr>
        <w:trPr>
          <w:trHeight w:val="272"/>
        </w:trPr>
        <w:tc>
          <w:tcPr>
            <w:tcW w:w="5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520" w:type="dxa"/>
            <w:vAlign w:val="bottom"/>
            <w:gridSpan w:val="3"/>
          </w:tcPr>
          <w:p>
            <w:pPr>
              <w:spacing w:after="0"/>
              <w:rPr>
                <w:sz w:val="23"/>
                <w:szCs w:val="23"/>
                <w:color w:val="auto"/>
              </w:rPr>
            </w:pPr>
          </w:p>
        </w:tc>
        <w:tc>
          <w:tcPr>
            <w:tcW w:w="640" w:type="dxa"/>
            <w:vAlign w:val="bottom"/>
          </w:tcPr>
          <w:p>
            <w:pPr>
              <w:spacing w:after="0"/>
              <w:rPr>
                <w:sz w:val="23"/>
                <w:szCs w:val="23"/>
                <w:color w:val="auto"/>
              </w:rPr>
            </w:pPr>
          </w:p>
        </w:tc>
        <w:tc>
          <w:tcPr>
            <w:tcW w:w="1540" w:type="dxa"/>
            <w:vAlign w:val="bottom"/>
            <w:gridSpan w:val="2"/>
          </w:tcPr>
          <w:p>
            <w:pPr>
              <w:spacing w:after="0"/>
              <w:rPr>
                <w:sz w:val="23"/>
                <w:szCs w:val="23"/>
                <w:color w:val="auto"/>
              </w:rPr>
            </w:pPr>
          </w:p>
        </w:tc>
        <w:tc>
          <w:tcPr>
            <w:tcW w:w="700" w:type="dxa"/>
            <w:vAlign w:val="bottom"/>
          </w:tcPr>
          <w:p>
            <w:pPr>
              <w:spacing w:after="0"/>
              <w:rPr>
                <w:sz w:val="23"/>
                <w:szCs w:val="23"/>
                <w:color w:val="auto"/>
              </w:rPr>
            </w:pPr>
          </w:p>
        </w:tc>
      </w:tr>
      <w:tr>
        <w:trPr>
          <w:trHeight w:val="216"/>
        </w:trPr>
        <w:tc>
          <w:tcPr>
            <w:tcW w:w="54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Borders>
              <w:bottom w:val="single" w:sz="8" w:color="auto"/>
            </w:tcBorders>
            <w:shd w:val="clear" w:color="auto" w:fill="CCEEFF"/>
          </w:tcPr>
          <w:p>
            <w:pPr>
              <w:spacing w:after="0"/>
              <w:rPr>
                <w:sz w:val="18"/>
                <w:szCs w:val="18"/>
                <w:color w:val="auto"/>
              </w:rPr>
            </w:pPr>
          </w:p>
        </w:tc>
      </w:tr>
      <w:tr>
        <w:trPr>
          <w:trHeight w:val="156"/>
        </w:trPr>
        <w:tc>
          <w:tcPr>
            <w:tcW w:w="5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3"/>
                <w:szCs w:val="13"/>
                <w:color w:val="auto"/>
              </w:rPr>
            </w:pPr>
          </w:p>
        </w:tc>
        <w:tc>
          <w:tcPr>
            <w:tcW w:w="800" w:type="dxa"/>
            <w:vAlign w:val="bottom"/>
          </w:tcPr>
          <w:p>
            <w:pPr>
              <w:jc w:val="center"/>
              <w:ind w:left="19"/>
              <w:spacing w:after="0" w:line="155" w:lineRule="exact"/>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3"/>
                <w:szCs w:val="13"/>
                <w:color w:val="auto"/>
              </w:rPr>
            </w:pPr>
          </w:p>
        </w:tc>
        <w:tc>
          <w:tcPr>
            <w:tcW w:w="7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June 30,</w:t>
            </w:r>
          </w:p>
        </w:tc>
      </w:tr>
      <w:tr>
        <w:trPr>
          <w:trHeight w:val="216"/>
        </w:trPr>
        <w:tc>
          <w:tcPr>
            <w:tcW w:w="5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5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5"/>
        </w:trPr>
        <w:tc>
          <w:tcPr>
            <w:tcW w:w="5460" w:type="dxa"/>
            <w:vAlign w:val="bottom"/>
          </w:tcPr>
          <w:p>
            <w:pPr>
              <w:ind w:left="20"/>
              <w:spacing w:after="0"/>
              <w:rPr>
                <w:sz w:val="20"/>
                <w:szCs w:val="20"/>
                <w:color w:val="auto"/>
              </w:rPr>
            </w:pPr>
            <w:r>
              <w:rPr>
                <w:rFonts w:ascii="Arial" w:cs="Arial" w:eastAsia="Arial" w:hAnsi="Arial"/>
                <w:sz w:val="16"/>
                <w:szCs w:val="16"/>
                <w:color w:val="auto"/>
              </w:rPr>
              <w:t>Operating lease costs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9,287</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ind w:left="440"/>
              <w:spacing w:after="0"/>
              <w:rPr>
                <w:sz w:val="20"/>
                <w:szCs w:val="20"/>
                <w:color w:val="auto"/>
              </w:rPr>
            </w:pPr>
            <w:r>
              <w:rPr>
                <w:rFonts w:ascii="Arial" w:cs="Arial" w:eastAsia="Arial" w:hAnsi="Arial"/>
                <w:sz w:val="16"/>
                <w:szCs w:val="16"/>
                <w:color w:val="auto"/>
              </w:rPr>
              <w:t>12,818</w:t>
            </w: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center"/>
              <w:ind w:left="59"/>
              <w:spacing w:after="0"/>
              <w:rPr>
                <w:sz w:val="20"/>
                <w:szCs w:val="20"/>
                <w:color w:val="auto"/>
              </w:rPr>
            </w:pPr>
            <w:r>
              <w:rPr>
                <w:rFonts w:ascii="Arial" w:cs="Arial" w:eastAsia="Arial" w:hAnsi="Arial"/>
                <w:sz w:val="16"/>
                <w:szCs w:val="16"/>
                <w:color w:val="auto"/>
              </w:rPr>
              <w:t>22,450</w:t>
            </w: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center"/>
              <w:spacing w:after="0"/>
              <w:rPr>
                <w:sz w:val="20"/>
                <w:szCs w:val="20"/>
                <w:color w:val="auto"/>
              </w:rPr>
            </w:pPr>
            <w:r>
              <w:rPr>
                <w:rFonts w:ascii="Arial" w:cs="Arial" w:eastAsia="Arial" w:hAnsi="Arial"/>
                <w:sz w:val="16"/>
                <w:szCs w:val="16"/>
                <w:color w:val="auto"/>
                <w:w w:val="98"/>
              </w:rPr>
              <w:t>25,689</w:t>
            </w:r>
          </w:p>
        </w:tc>
      </w:tr>
      <w:tr>
        <w:trPr>
          <w:trHeight w:val="216"/>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sub-leases</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6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7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r>
      <w:tr>
        <w:trPr>
          <w:trHeight w:val="209"/>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operating lease costs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8,986</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12,535</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21,813</w:t>
            </w: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25,128</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the total cost of $9.0 million incurred in the three months ended June 30, 2024 (June 30, 2023: $12.5 million), $8.0 million (June 30, 2023: $9.3</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 is recorded within selling, general and administration costs and $1.0 million (June 30, 2023: $3.2 million) is recorded within direct costs.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the total cost of $21.8 million incurred in the six months ended June 30, 2024 (June 30, 2023: $25.1 million), $18.0 million (June 30, 2023: $19.3</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 is recorded within selling, general and administration costs and $3.8 million (June 30, 2023: $5.8 million) is recorded within direct costs.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2024 and June 30, 2023, costs incurred by the Group related to variable lease payments were de minimis.</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Right-of-use assets obtained, in exchange for lease obligations during the three months ended June 30, 2024, totaled $11.0 million (June 30, 2023: $10.2 million). Right-of-use assets obtained, in exchange for lease obligations during the six months ended June 30, 2024, totaled $46.6 million (June 30, 2023: $22.5 million).</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weighted average remaining lease term and weighted-average discount rate at June 30, 2024 were 6.85 years and 3.71%, respectively. The weighted average remaining lease term and weighted-average discount rate at December 31, 2023 were 6.72 years and 3.29%,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800" w:type="dxa"/>
            <w:vAlign w:val="bottom"/>
          </w:tcPr>
          <w:p>
            <w:pPr>
              <w:ind w:left="660"/>
              <w:spacing w:after="0"/>
              <w:rPr>
                <w:sz w:val="20"/>
                <w:szCs w:val="20"/>
                <w:color w:val="auto"/>
              </w:rPr>
            </w:pPr>
            <w:r>
              <w:rPr>
                <w:rFonts w:ascii="Arial" w:cs="Arial" w:eastAsia="Arial" w:hAnsi="Arial"/>
                <w:sz w:val="16"/>
                <w:szCs w:val="16"/>
                <w:color w:val="auto"/>
              </w:rPr>
              <w:t>Future minimum lease payments under non-cancelable leases as of June 30, 2024 were as follows:</w:t>
            </w: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10"/>
        </w:trPr>
        <w:tc>
          <w:tcPr>
            <w:tcW w:w="8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16"/>
        </w:trPr>
        <w:tc>
          <w:tcPr>
            <w:tcW w:w="88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8800" w:type="dxa"/>
            <w:vAlign w:val="bottom"/>
          </w:tcPr>
          <w:p>
            <w:pPr>
              <w:ind w:left="20"/>
              <w:spacing w:after="0"/>
              <w:rPr>
                <w:sz w:val="20"/>
                <w:szCs w:val="20"/>
                <w:color w:val="auto"/>
              </w:rPr>
            </w:pPr>
            <w:r>
              <w:rPr>
                <w:rFonts w:ascii="Arial" w:cs="Arial" w:eastAsia="Arial" w:hAnsi="Arial"/>
                <w:sz w:val="16"/>
                <w:szCs w:val="16"/>
                <w:color w:val="auto"/>
              </w:rPr>
              <w:t>Year 1</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42,160</w:t>
            </w: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2</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38,053</w:t>
            </w:r>
          </w:p>
        </w:tc>
      </w:tr>
      <w:tr>
        <w:trPr>
          <w:trHeight w:val="215"/>
        </w:trPr>
        <w:tc>
          <w:tcPr>
            <w:tcW w:w="8800" w:type="dxa"/>
            <w:vAlign w:val="bottom"/>
          </w:tcPr>
          <w:p>
            <w:pPr>
              <w:ind w:left="20"/>
              <w:spacing w:after="0"/>
              <w:rPr>
                <w:sz w:val="20"/>
                <w:szCs w:val="20"/>
                <w:color w:val="auto"/>
              </w:rPr>
            </w:pPr>
            <w:r>
              <w:rPr>
                <w:rFonts w:ascii="Arial" w:cs="Arial" w:eastAsia="Arial" w:hAnsi="Arial"/>
                <w:sz w:val="16"/>
                <w:szCs w:val="16"/>
                <w:color w:val="auto"/>
              </w:rPr>
              <w:t>Year 3</w:t>
            </w:r>
          </w:p>
        </w:tc>
        <w:tc>
          <w:tcPr>
            <w:tcW w:w="1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32,707</w:t>
            </w: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4</w:t>
            </w:r>
          </w:p>
        </w:tc>
        <w:tc>
          <w:tcPr>
            <w:tcW w:w="1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25,968</w:t>
            </w:r>
          </w:p>
        </w:tc>
      </w:tr>
      <w:tr>
        <w:trPr>
          <w:trHeight w:val="215"/>
        </w:trPr>
        <w:tc>
          <w:tcPr>
            <w:tcW w:w="8800" w:type="dxa"/>
            <w:vAlign w:val="bottom"/>
          </w:tcPr>
          <w:p>
            <w:pPr>
              <w:ind w:left="20"/>
              <w:spacing w:after="0"/>
              <w:rPr>
                <w:sz w:val="20"/>
                <w:szCs w:val="20"/>
                <w:color w:val="auto"/>
              </w:rPr>
            </w:pPr>
            <w:r>
              <w:rPr>
                <w:rFonts w:ascii="Arial" w:cs="Arial" w:eastAsia="Arial" w:hAnsi="Arial"/>
                <w:sz w:val="16"/>
                <w:szCs w:val="16"/>
                <w:color w:val="auto"/>
              </w:rPr>
              <w:t>Year 5</w:t>
            </w:r>
          </w:p>
        </w:tc>
        <w:tc>
          <w:tcPr>
            <w:tcW w:w="1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18,176</w:t>
            </w:r>
          </w:p>
        </w:tc>
      </w:tr>
      <w:tr>
        <w:trPr>
          <w:trHeight w:val="216"/>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46,671</w:t>
            </w:r>
          </w:p>
        </w:tc>
      </w:tr>
      <w:tr>
        <w:trPr>
          <w:trHeight w:val="209"/>
        </w:trPr>
        <w:tc>
          <w:tcPr>
            <w:tcW w:w="8800" w:type="dxa"/>
            <w:vAlign w:val="bottom"/>
          </w:tcPr>
          <w:p>
            <w:pPr>
              <w:ind w:left="20"/>
              <w:spacing w:after="0"/>
              <w:rPr>
                <w:sz w:val="20"/>
                <w:szCs w:val="20"/>
                <w:color w:val="auto"/>
              </w:rPr>
            </w:pPr>
            <w:r>
              <w:rPr>
                <w:rFonts w:ascii="Arial" w:cs="Arial" w:eastAsia="Arial" w:hAnsi="Arial"/>
                <w:sz w:val="16"/>
                <w:szCs w:val="16"/>
                <w:color w:val="auto"/>
              </w:rPr>
              <w:t>Total future minimum lease payments</w:t>
            </w:r>
          </w:p>
        </w:tc>
        <w:tc>
          <w:tcPr>
            <w:tcW w:w="1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203,735</w:t>
            </w:r>
          </w:p>
        </w:tc>
      </w:tr>
      <w:tr>
        <w:trPr>
          <w:trHeight w:val="216"/>
        </w:trPr>
        <w:tc>
          <w:tcPr>
            <w:tcW w:w="8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Lease imputed interest</w:t>
            </w:r>
          </w:p>
        </w:tc>
        <w:tc>
          <w:tcPr>
            <w:tcW w:w="1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(21,976)</w:t>
            </w:r>
          </w:p>
        </w:tc>
      </w:tr>
      <w:tr>
        <w:trPr>
          <w:trHeight w:val="21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181,759</w:t>
            </w:r>
          </w:p>
        </w:tc>
      </w:tr>
      <w:tr>
        <w:trPr>
          <w:trHeight w:val="21"/>
        </w:trPr>
        <w:tc>
          <w:tcPr>
            <w:tcW w:w="8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Operating lease liabilities are presented as current and non-current. As at June 30, 2024, operating lease liabilities of $36.3 million have been included in Other liabilities (December 31, 2023: $36.4 million) and $145.5 million have been classified as Non-current Lease Liabilities (December 31, 2023: $126.3 million).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20"/>
                <w:szCs w:val="20"/>
                <w:color w:val="auto"/>
              </w:rPr>
            </w:pPr>
            <w:r>
              <w:rPr>
                <w:rFonts w:ascii="Arial" w:cs="Arial" w:eastAsia="Arial" w:hAnsi="Arial"/>
                <w:sz w:val="16"/>
                <w:szCs w:val="16"/>
                <w:b w:val="1"/>
                <w:bCs w:val="1"/>
                <w:color w:val="auto"/>
              </w:rPr>
              <w:t>10. Bank credit lines, loan facilities and notes</w:t>
            </w:r>
          </w:p>
        </w:tc>
        <w:tc>
          <w:tcPr>
            <w:tcW w:w="1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760" w:type="dxa"/>
            <w:vAlign w:val="bottom"/>
            <w:gridSpan w:val="4"/>
          </w:tcPr>
          <w:p>
            <w:pPr>
              <w:ind w:left="660"/>
              <w:spacing w:after="0"/>
              <w:rPr>
                <w:sz w:val="20"/>
                <w:szCs w:val="20"/>
                <w:color w:val="auto"/>
              </w:rPr>
            </w:pPr>
            <w:r>
              <w:rPr>
                <w:rFonts w:ascii="Arial" w:cs="Arial" w:eastAsia="Arial" w:hAnsi="Arial"/>
                <w:sz w:val="16"/>
                <w:szCs w:val="16"/>
                <w:color w:val="auto"/>
              </w:rPr>
              <w:t>The Company had the following debt outstanding as of June 30, 2024 and December 31, 2023:</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7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440" w:type="dxa"/>
            <w:vAlign w:val="bottom"/>
            <w:gridSpan w:val="2"/>
          </w:tcPr>
          <w:p>
            <w:pPr>
              <w:spacing w:after="0"/>
              <w:rPr>
                <w:sz w:val="23"/>
                <w:szCs w:val="23"/>
                <w:color w:val="auto"/>
              </w:rPr>
            </w:pPr>
          </w:p>
        </w:tc>
        <w:tc>
          <w:tcPr>
            <w:tcW w:w="248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40" w:type="dxa"/>
            <w:vAlign w:val="bottom"/>
            <w:tcBorders>
              <w:bottom w:val="single" w:sz="8" w:color="auto"/>
            </w:tcBorders>
            <w:gridSpan w:val="2"/>
            <w:shd w:val="clear" w:color="auto" w:fill="CCEEFF"/>
          </w:tcPr>
          <w:p>
            <w:pPr>
              <w:jc w:val="right"/>
              <w:ind w:right="1159"/>
              <w:spacing w:after="0"/>
              <w:rPr>
                <w:sz w:val="20"/>
                <w:szCs w:val="20"/>
                <w:color w:val="auto"/>
              </w:rPr>
            </w:pPr>
            <w:r>
              <w:rPr>
                <w:rFonts w:ascii="Arial" w:cs="Arial" w:eastAsia="Arial" w:hAnsi="Arial"/>
                <w:sz w:val="16"/>
                <w:szCs w:val="16"/>
                <w:b w:val="1"/>
                <w:bCs w:val="1"/>
                <w:color w:val="auto"/>
              </w:rPr>
              <w:t>Interest rate as of</w:t>
            </w:r>
          </w:p>
        </w:tc>
        <w:tc>
          <w:tcPr>
            <w:tcW w:w="2480" w:type="dxa"/>
            <w:vAlign w:val="bottom"/>
            <w:tcBorders>
              <w:bottom w:val="single" w:sz="8" w:color="auto"/>
            </w:tcBorders>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Principal amount</w:t>
            </w: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60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Maturity Date</w:t>
            </w:r>
          </w:p>
        </w:tc>
        <w:tc>
          <w:tcPr>
            <w:tcW w:w="1740" w:type="dxa"/>
            <w:vAlign w:val="bottom"/>
          </w:tcPr>
          <w:p>
            <w:pPr>
              <w:jc w:val="right"/>
              <w:ind w:right="159"/>
              <w:spacing w:after="0" w:line="155" w:lineRule="exact"/>
              <w:rPr>
                <w:sz w:val="20"/>
                <w:szCs w:val="20"/>
                <w:color w:val="auto"/>
              </w:rPr>
            </w:pPr>
            <w:r>
              <w:rPr>
                <w:rFonts w:ascii="Arial" w:cs="Arial" w:eastAsia="Arial" w:hAnsi="Arial"/>
                <w:sz w:val="16"/>
                <w:szCs w:val="16"/>
                <w:b w:val="1"/>
                <w:bCs w:val="1"/>
                <w:color w:val="auto"/>
              </w:rPr>
              <w:t>June 30,</w:t>
            </w:r>
          </w:p>
        </w:tc>
        <w:tc>
          <w:tcPr>
            <w:tcW w:w="1700" w:type="dxa"/>
            <w:vAlign w:val="bottom"/>
          </w:tcPr>
          <w:p>
            <w:pPr>
              <w:jc w:val="right"/>
              <w:ind w:right="319"/>
              <w:spacing w:after="0" w:line="155" w:lineRule="exact"/>
              <w:rPr>
                <w:sz w:val="20"/>
                <w:szCs w:val="20"/>
                <w:color w:val="auto"/>
              </w:rPr>
            </w:pPr>
            <w:r>
              <w:rPr>
                <w:rFonts w:ascii="Arial" w:cs="Arial" w:eastAsia="Arial" w:hAnsi="Arial"/>
                <w:sz w:val="16"/>
                <w:szCs w:val="16"/>
                <w:b w:val="1"/>
                <w:bCs w:val="1"/>
                <w:color w:val="auto"/>
              </w:rPr>
              <w:t>December 31,</w:t>
            </w:r>
          </w:p>
        </w:tc>
        <w:tc>
          <w:tcPr>
            <w:tcW w:w="10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1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17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3720" w:type="dxa"/>
            <w:vAlign w:val="bottom"/>
          </w:tcPr>
          <w:p>
            <w:pPr>
              <w:ind w:left="20"/>
              <w:spacing w:after="0"/>
              <w:rPr>
                <w:sz w:val="20"/>
                <w:szCs w:val="20"/>
                <w:color w:val="auto"/>
              </w:rPr>
            </w:pPr>
            <w:r>
              <w:rPr>
                <w:rFonts w:ascii="Arial" w:cs="Arial" w:eastAsia="Arial" w:hAnsi="Arial"/>
                <w:sz w:val="16"/>
                <w:szCs w:val="16"/>
                <w:color w:val="auto"/>
              </w:rPr>
              <w:t>Senior Secured Term Loan</w:t>
            </w:r>
          </w:p>
        </w:tc>
        <w:tc>
          <w:tcPr>
            <w:tcW w:w="1600" w:type="dxa"/>
            <w:vAlign w:val="bottom"/>
          </w:tcPr>
          <w:p>
            <w:pPr>
              <w:ind w:left="200"/>
              <w:spacing w:after="0"/>
              <w:rPr>
                <w:sz w:val="20"/>
                <w:szCs w:val="20"/>
                <w:color w:val="auto"/>
              </w:rPr>
            </w:pPr>
            <w:r>
              <w:rPr>
                <w:rFonts w:ascii="Arial" w:cs="Arial" w:eastAsia="Arial" w:hAnsi="Arial"/>
                <w:sz w:val="16"/>
                <w:szCs w:val="16"/>
                <w:color w:val="auto"/>
              </w:rPr>
              <w:t>July 2028</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7.335 %</w:t>
            </w:r>
          </w:p>
        </w:tc>
        <w:tc>
          <w:tcPr>
            <w:tcW w:w="1700" w:type="dxa"/>
            <w:vAlign w:val="bottom"/>
          </w:tcPr>
          <w:p>
            <w:pPr>
              <w:jc w:val="right"/>
              <w:ind w:right="199"/>
              <w:spacing w:after="0"/>
              <w:rPr>
                <w:sz w:val="20"/>
                <w:szCs w:val="20"/>
                <w:color w:val="auto"/>
              </w:rPr>
            </w:pPr>
            <w:r>
              <w:rPr>
                <w:rFonts w:ascii="Arial" w:cs="Arial" w:eastAsia="Arial" w:hAnsi="Arial"/>
                <w:sz w:val="16"/>
                <w:szCs w:val="16"/>
                <w:color w:val="auto"/>
              </w:rPr>
              <w:t>7.860 % $</w:t>
            </w:r>
          </w:p>
        </w:tc>
        <w:tc>
          <w:tcPr>
            <w:tcW w:w="1040" w:type="dxa"/>
            <w:vAlign w:val="bottom"/>
          </w:tcPr>
          <w:p>
            <w:pPr>
              <w:jc w:val="right"/>
              <w:spacing w:after="0"/>
              <w:rPr>
                <w:sz w:val="20"/>
                <w:szCs w:val="20"/>
                <w:color w:val="auto"/>
              </w:rPr>
            </w:pPr>
            <w:r>
              <w:rPr>
                <w:rFonts w:ascii="Arial" w:cs="Arial" w:eastAsia="Arial" w:hAnsi="Arial"/>
                <w:sz w:val="16"/>
                <w:szCs w:val="16"/>
                <w:color w:val="auto"/>
              </w:rPr>
              <w:t>961,331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3,251,213</w:t>
            </w:r>
          </w:p>
        </w:tc>
        <w:tc>
          <w:tcPr>
            <w:tcW w:w="0" w:type="dxa"/>
            <w:vAlign w:val="bottom"/>
          </w:tcPr>
          <w:p>
            <w:pPr>
              <w:spacing w:after="0"/>
              <w:rPr>
                <w:sz w:val="1"/>
                <w:szCs w:val="1"/>
                <w:color w:val="auto"/>
              </w:rPr>
            </w:pPr>
          </w:p>
        </w:tc>
      </w:tr>
      <w:tr>
        <w:trPr>
          <w:trHeight w:val="217"/>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 (the "2026 Notes")</w:t>
            </w:r>
          </w:p>
        </w:tc>
        <w:tc>
          <w:tcPr>
            <w:tcW w:w="1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July 2026</w:t>
            </w:r>
          </w:p>
        </w:tc>
        <w:tc>
          <w:tcPr>
            <w:tcW w:w="1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2.875 %</w:t>
            </w:r>
          </w:p>
        </w:tc>
        <w:tc>
          <w:tcPr>
            <w:tcW w:w="17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2.875 %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15"/>
        </w:trPr>
        <w:tc>
          <w:tcPr>
            <w:tcW w:w="3720" w:type="dxa"/>
            <w:vAlign w:val="bottom"/>
          </w:tcPr>
          <w:p>
            <w:pPr>
              <w:ind w:left="20"/>
              <w:spacing w:after="0"/>
              <w:rPr>
                <w:sz w:val="20"/>
                <w:szCs w:val="20"/>
                <w:color w:val="auto"/>
              </w:rPr>
            </w:pPr>
            <w:r>
              <w:rPr>
                <w:rFonts w:ascii="Arial" w:cs="Arial" w:eastAsia="Arial" w:hAnsi="Arial"/>
                <w:sz w:val="16"/>
                <w:szCs w:val="16"/>
                <w:color w:val="auto"/>
              </w:rPr>
              <w:t>Senior Secured Revolving Loan</w:t>
            </w:r>
          </w:p>
        </w:tc>
        <w:tc>
          <w:tcPr>
            <w:tcW w:w="1600" w:type="dxa"/>
            <w:vAlign w:val="bottom"/>
          </w:tcPr>
          <w:p>
            <w:pPr>
              <w:ind w:left="200"/>
              <w:spacing w:after="0"/>
              <w:rPr>
                <w:sz w:val="20"/>
                <w:szCs w:val="20"/>
                <w:color w:val="auto"/>
              </w:rPr>
            </w:pPr>
            <w:r>
              <w:rPr>
                <w:rFonts w:ascii="Arial" w:cs="Arial" w:eastAsia="Arial" w:hAnsi="Arial"/>
                <w:sz w:val="16"/>
                <w:szCs w:val="16"/>
                <w:color w:val="auto"/>
              </w:rPr>
              <w:t>July 2026</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 %</w:t>
            </w:r>
          </w:p>
        </w:tc>
        <w:tc>
          <w:tcPr>
            <w:tcW w:w="1700" w:type="dxa"/>
            <w:vAlign w:val="bottom"/>
          </w:tcPr>
          <w:p>
            <w:pPr>
              <w:jc w:val="right"/>
              <w:ind w:right="319"/>
              <w:spacing w:after="0"/>
              <w:rPr>
                <w:sz w:val="20"/>
                <w:szCs w:val="20"/>
                <w:color w:val="auto"/>
              </w:rPr>
            </w:pPr>
            <w:r>
              <w:rPr>
                <w:rFonts w:ascii="Arial" w:cs="Arial" w:eastAsia="Arial" w:hAnsi="Arial"/>
                <w:sz w:val="16"/>
                <w:szCs w:val="16"/>
                <w:color w:val="auto"/>
              </w:rPr>
              <w:t>6.720 %</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55,000</w:t>
            </w:r>
          </w:p>
        </w:tc>
        <w:tc>
          <w:tcPr>
            <w:tcW w:w="0" w:type="dxa"/>
            <w:vAlign w:val="bottom"/>
          </w:tcPr>
          <w:p>
            <w:pPr>
              <w:spacing w:after="0"/>
              <w:rPr>
                <w:sz w:val="1"/>
                <w:szCs w:val="1"/>
                <w:color w:val="auto"/>
              </w:rPr>
            </w:pPr>
          </w:p>
        </w:tc>
      </w:tr>
      <w:tr>
        <w:trPr>
          <w:trHeight w:val="217"/>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Notes (the "2027 Notes")*</w:t>
            </w:r>
          </w:p>
        </w:tc>
        <w:tc>
          <w:tcPr>
            <w:tcW w:w="1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May 2027</w:t>
            </w:r>
          </w:p>
        </w:tc>
        <w:tc>
          <w:tcPr>
            <w:tcW w:w="1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5.809 %</w:t>
            </w:r>
          </w:p>
        </w:tc>
        <w:tc>
          <w:tcPr>
            <w:tcW w:w="17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720" w:type="dxa"/>
            <w:vAlign w:val="bottom"/>
          </w:tcPr>
          <w:p>
            <w:pPr>
              <w:ind w:left="20"/>
              <w:spacing w:after="0"/>
              <w:rPr>
                <w:sz w:val="20"/>
                <w:szCs w:val="20"/>
                <w:color w:val="auto"/>
              </w:rPr>
            </w:pPr>
            <w:r>
              <w:rPr>
                <w:rFonts w:ascii="Arial" w:cs="Arial" w:eastAsia="Arial" w:hAnsi="Arial"/>
                <w:sz w:val="16"/>
                <w:szCs w:val="16"/>
                <w:color w:val="auto"/>
              </w:rPr>
              <w:t>Senior Secured Notes (the "2029 Notes")*</w:t>
            </w:r>
          </w:p>
        </w:tc>
        <w:tc>
          <w:tcPr>
            <w:tcW w:w="1600" w:type="dxa"/>
            <w:vAlign w:val="bottom"/>
          </w:tcPr>
          <w:p>
            <w:pPr>
              <w:ind w:left="200"/>
              <w:spacing w:after="0"/>
              <w:rPr>
                <w:sz w:val="20"/>
                <w:szCs w:val="20"/>
                <w:color w:val="auto"/>
              </w:rPr>
            </w:pPr>
            <w:r>
              <w:rPr>
                <w:rFonts w:ascii="Arial" w:cs="Arial" w:eastAsia="Arial" w:hAnsi="Arial"/>
                <w:sz w:val="16"/>
                <w:szCs w:val="16"/>
                <w:color w:val="auto"/>
              </w:rPr>
              <w:t>May 2029</w:t>
            </w:r>
          </w:p>
        </w:tc>
        <w:tc>
          <w:tcPr>
            <w:tcW w:w="1740" w:type="dxa"/>
            <w:vAlign w:val="bottom"/>
          </w:tcPr>
          <w:p>
            <w:pPr>
              <w:jc w:val="right"/>
              <w:ind w:right="159"/>
              <w:spacing w:after="0"/>
              <w:rPr>
                <w:sz w:val="20"/>
                <w:szCs w:val="20"/>
                <w:color w:val="auto"/>
              </w:rPr>
            </w:pPr>
            <w:r>
              <w:rPr>
                <w:rFonts w:ascii="Arial" w:cs="Arial" w:eastAsia="Arial" w:hAnsi="Arial"/>
                <w:sz w:val="16"/>
                <w:szCs w:val="16"/>
                <w:color w:val="auto"/>
              </w:rPr>
              <w:t>5.849 %</w:t>
            </w:r>
          </w:p>
        </w:tc>
        <w:tc>
          <w:tcPr>
            <w:tcW w:w="1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750,000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Senior Secured Notes (the "2034 Notes")*</w:t>
            </w:r>
          </w:p>
        </w:tc>
        <w:tc>
          <w:tcPr>
            <w:tcW w:w="16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May 2034</w:t>
            </w:r>
          </w:p>
        </w:tc>
        <w:tc>
          <w:tcPr>
            <w:tcW w:w="17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6.000 %</w:t>
            </w:r>
          </w:p>
        </w:tc>
        <w:tc>
          <w:tcPr>
            <w:tcW w:w="17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3,461,331</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3,806,213</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debt</w:t>
            </w:r>
          </w:p>
        </w:tc>
        <w:tc>
          <w:tcPr>
            <w:tcW w:w="16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(29,762)</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(110,150)</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Total long-term debt</w:t>
            </w:r>
          </w:p>
        </w:tc>
        <w:tc>
          <w:tcPr>
            <w:tcW w:w="1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3,431,569</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3,696,063</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debt issuance costs and debt discount</w:t>
            </w:r>
          </w:p>
        </w:tc>
        <w:tc>
          <w:tcPr>
            <w:tcW w:w="16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(23,412)</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(30,624)</w:t>
            </w:r>
          </w:p>
        </w:tc>
        <w:tc>
          <w:tcPr>
            <w:tcW w:w="0" w:type="dxa"/>
            <w:vAlign w:val="bottom"/>
          </w:tcPr>
          <w:p>
            <w:pPr>
              <w:spacing w:after="0"/>
              <w:rPr>
                <w:sz w:val="1"/>
                <w:szCs w:val="1"/>
                <w:color w:val="auto"/>
              </w:rPr>
            </w:pPr>
          </w:p>
        </w:tc>
      </w:tr>
      <w:tr>
        <w:trPr>
          <w:trHeight w:val="209"/>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long-term debt, net</w:t>
            </w:r>
          </w:p>
        </w:tc>
        <w:tc>
          <w:tcPr>
            <w:tcW w:w="16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3,408,157</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3,665,439</w:t>
            </w:r>
          </w:p>
        </w:tc>
        <w:tc>
          <w:tcPr>
            <w:tcW w:w="0" w:type="dxa"/>
            <w:vAlign w:val="bottom"/>
          </w:tcPr>
          <w:p>
            <w:pPr>
              <w:spacing w:after="0"/>
              <w:rPr>
                <w:sz w:val="1"/>
                <w:szCs w:val="1"/>
                <w:color w:val="auto"/>
              </w:rPr>
            </w:pPr>
          </w:p>
        </w:tc>
      </w:tr>
      <w:tr>
        <w:trPr>
          <w:trHeight w:val="21"/>
        </w:trPr>
        <w:tc>
          <w:tcPr>
            <w:tcW w:w="37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3720" w:type="dxa"/>
            <w:vAlign w:val="bottom"/>
          </w:tcPr>
          <w:p>
            <w:pPr>
              <w:spacing w:after="0"/>
              <w:rPr>
                <w:sz w:val="20"/>
                <w:szCs w:val="20"/>
                <w:color w:val="auto"/>
              </w:rPr>
            </w:pPr>
            <w:r>
              <w:rPr>
                <w:rFonts w:ascii="Arial" w:cs="Arial" w:eastAsia="Arial" w:hAnsi="Arial"/>
                <w:sz w:val="16"/>
                <w:szCs w:val="16"/>
                <w:color w:val="auto"/>
              </w:rPr>
              <w:t>*Issued May 8, 2024</w:t>
            </w:r>
          </w:p>
        </w:tc>
        <w:tc>
          <w:tcPr>
            <w:tcW w:w="16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6"/>
        </w:trPr>
        <w:tc>
          <w:tcPr>
            <w:tcW w:w="8760" w:type="dxa"/>
            <w:vAlign w:val="bottom"/>
            <w:gridSpan w:val="4"/>
          </w:tcPr>
          <w:p>
            <w:pPr>
              <w:ind w:left="660"/>
              <w:spacing w:after="0"/>
              <w:rPr>
                <w:sz w:val="20"/>
                <w:szCs w:val="20"/>
                <w:color w:val="auto"/>
              </w:rPr>
            </w:pPr>
            <w:r>
              <w:rPr>
                <w:rFonts w:ascii="Arial" w:cs="Arial" w:eastAsia="Arial" w:hAnsi="Arial"/>
                <w:sz w:val="16"/>
                <w:szCs w:val="16"/>
                <w:color w:val="auto"/>
              </w:rPr>
              <w:t>As of June 30, 2024, the contractual maturities of the Company's debt obligations were as follows: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7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Contractual maturities of debt</w:t>
            </w:r>
          </w:p>
        </w:tc>
        <w:tc>
          <w:tcPr>
            <w:tcW w:w="16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2024 (remaining)</w:t>
            </w:r>
          </w:p>
        </w:tc>
        <w:tc>
          <w:tcPr>
            <w:tcW w:w="1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14,881</w:t>
            </w:r>
          </w:p>
        </w:tc>
        <w:tc>
          <w:tcPr>
            <w:tcW w:w="0" w:type="dxa"/>
            <w:vAlign w:val="bottom"/>
          </w:tcPr>
          <w:p>
            <w:pPr>
              <w:spacing w:after="0"/>
              <w:rPr>
                <w:sz w:val="1"/>
                <w:szCs w:val="1"/>
                <w:color w:val="auto"/>
              </w:rPr>
            </w:pPr>
          </w:p>
        </w:tc>
      </w:tr>
      <w:tr>
        <w:trPr>
          <w:trHeight w:val="217"/>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29,762</w:t>
            </w:r>
          </w:p>
        </w:tc>
        <w:tc>
          <w:tcPr>
            <w:tcW w:w="0" w:type="dxa"/>
            <w:vAlign w:val="bottom"/>
          </w:tcPr>
          <w:p>
            <w:pPr>
              <w:spacing w:after="0"/>
              <w:rPr>
                <w:sz w:val="1"/>
                <w:szCs w:val="1"/>
                <w:color w:val="auto"/>
              </w:rPr>
            </w:pPr>
          </w:p>
        </w:tc>
      </w:tr>
      <w:tr>
        <w:trPr>
          <w:trHeight w:val="215"/>
        </w:trPr>
        <w:tc>
          <w:tcPr>
            <w:tcW w:w="3720" w:type="dxa"/>
            <w:vAlign w:val="bottom"/>
          </w:tcPr>
          <w:p>
            <w:pPr>
              <w:ind w:left="20"/>
              <w:spacing w:after="0"/>
              <w:rPr>
                <w:sz w:val="20"/>
                <w:szCs w:val="20"/>
                <w:color w:val="auto"/>
              </w:rPr>
            </w:pPr>
            <w:r>
              <w:rPr>
                <w:rFonts w:ascii="Arial" w:cs="Arial" w:eastAsia="Arial" w:hAnsi="Arial"/>
                <w:sz w:val="16"/>
                <w:szCs w:val="16"/>
                <w:color w:val="auto"/>
              </w:rPr>
              <w:t>2026</w:t>
            </w:r>
          </w:p>
        </w:tc>
        <w:tc>
          <w:tcPr>
            <w:tcW w:w="1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529,762</w:t>
            </w:r>
          </w:p>
        </w:tc>
        <w:tc>
          <w:tcPr>
            <w:tcW w:w="0" w:type="dxa"/>
            <w:vAlign w:val="bottom"/>
          </w:tcPr>
          <w:p>
            <w:pPr>
              <w:spacing w:after="0"/>
              <w:rPr>
                <w:sz w:val="1"/>
                <w:szCs w:val="1"/>
                <w:color w:val="auto"/>
              </w:rPr>
            </w:pPr>
          </w:p>
        </w:tc>
      </w:tr>
      <w:tr>
        <w:trPr>
          <w:trHeight w:val="217"/>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6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779,762</w:t>
            </w:r>
          </w:p>
        </w:tc>
        <w:tc>
          <w:tcPr>
            <w:tcW w:w="0" w:type="dxa"/>
            <w:vAlign w:val="bottom"/>
          </w:tcPr>
          <w:p>
            <w:pPr>
              <w:spacing w:after="0"/>
              <w:rPr>
                <w:sz w:val="1"/>
                <w:szCs w:val="1"/>
                <w:color w:val="auto"/>
              </w:rPr>
            </w:pPr>
          </w:p>
        </w:tc>
      </w:tr>
      <w:tr>
        <w:trPr>
          <w:trHeight w:val="215"/>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2028 and thereafter</w:t>
            </w:r>
          </w:p>
        </w:tc>
        <w:tc>
          <w:tcPr>
            <w:tcW w:w="16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2,107,164</w:t>
            </w:r>
          </w:p>
        </w:tc>
        <w:tc>
          <w:tcPr>
            <w:tcW w:w="0" w:type="dxa"/>
            <w:vAlign w:val="bottom"/>
          </w:tcPr>
          <w:p>
            <w:pPr>
              <w:spacing w:after="0"/>
              <w:rPr>
                <w:sz w:val="1"/>
                <w:szCs w:val="1"/>
                <w:color w:val="auto"/>
              </w:rPr>
            </w:pPr>
          </w:p>
        </w:tc>
      </w:tr>
      <w:tr>
        <w:trPr>
          <w:trHeight w:val="235"/>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3,461,331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Company's primary financing arrangements are its senior secured credit facilities (the "Senior Secured Credit Facilities"), which consists of a senior secured term loan and a revolving credit facility, the 2026 Notes and the New Notes.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New Notes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May 8, 2024, ICON Investments Six Designated Activity Company (the "Issuer"), a wholly-owned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w:t>
      </w:r>
    </w:p>
    <w:p>
      <w:pPr>
        <w:spacing w:after="0" w:line="21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Company paid an underwriting discount of $6.8 million on the New Notes being: 0.250% of the principal amount of the 2027 Notes, 0.350% of the principal amount of the 2029 Notes and 0.450% of the 2034 Notes. Further, the 2034 Notes were issued at a discount of $0.5 million (issued at 99.896% of par).</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Interest on the New Notes is payable on May 8 and November 8 of each year, commencing on November 8, 2024. Unless previously redeemed, the 2027 Notes will mature on May 8, 2027, the 2029 Notes will mature on May 8, 2029 and the 2034 Notes will mature on May 8, 2034.</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ind w:firstLine="648"/>
        <w:spacing w:after="0" w:line="259" w:lineRule="auto"/>
        <w:rPr>
          <w:sz w:val="20"/>
          <w:szCs w:val="20"/>
          <w:color w:val="auto"/>
        </w:rPr>
      </w:pPr>
      <w:r>
        <w:rPr>
          <w:rFonts w:ascii="Arial" w:cs="Arial" w:eastAsia="Arial" w:hAnsi="Arial"/>
          <w:sz w:val="16"/>
          <w:szCs w:val="16"/>
          <w:color w:val="auto"/>
        </w:rPr>
        <w:t>The New Notes are guaranteed on a senior secured basis by ICON and its existing and future wholly owned subsidiaries, in each case that guarantee the obligations under our Senior Secured Credit Facilities and the 2026 Notes. The New Notes are the senior secured obligation of the Issuer and the Guarantors and rank equally in right of payment to all of the Issuer’s and Guarantors’ existing and future senior debt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rank equally in priority with the liens on the collateral securing borrowings and guarantees under the Senior Secured Credit Facilities, the 2026 Notes and any other future pari passu first lien indebtedness.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July 1,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On May 2, 2023, the Company agreed with its lenders to increase the aggregate principal amount of the senior secured revolving loan facility from $300 million to $500 million.</w:t>
      </w:r>
    </w:p>
    <w:p>
      <w:pPr>
        <w:spacing w:after="0" w:line="2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which is dependent on the Company's net leverage ratio. At June 30, 2024, the applicable margin is 2.0% (which reflects the Third Amendment). The senior secured term loan facility is subject to a floor of 0.50%.</w:t>
      </w:r>
    </w:p>
    <w:p>
      <w:pPr>
        <w:spacing w:after="0" w:line="21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Reflecting the Third Amendment, the interest rate margin applicable to borrowings under the revolving loan facility will be, at the option of the borrower, either (i) the applicable base rate plus an applicable margin of 0.45%, 0.10% or –% based on the Company’s current corporate family rating assigned by S&amp;P of BB (or lower), BB+ or BBB- (or higher), respectively, or (ii) Term SOFR plus a Term SOFR Adjustment on the interest period chosen plus an applicable margin of 1.45%, 1.10%, 0.85%, 0.65%, or 0.50%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2026 Notes and the New Notes subject to other permitted liens. The Company is permitted to make prepayments on the senior secured term loan without penalty.</w:t>
      </w:r>
    </w:p>
    <w:p>
      <w:pPr>
        <w:spacing w:after="0" w:line="199"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Principal repayments, comprising mandatory and voluntary repayments, during the six months ended June 30, 2024 and year ended December 31, 2023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Principal repayments</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5820" w:type="dxa"/>
            <w:vAlign w:val="bottom"/>
          </w:tcPr>
          <w:p>
            <w:pPr>
              <w:ind w:left="20"/>
              <w:spacing w:after="0"/>
              <w:rPr>
                <w:sz w:val="20"/>
                <w:szCs w:val="20"/>
                <w:color w:val="auto"/>
              </w:rPr>
            </w:pPr>
            <w:r>
              <w:rPr>
                <w:rFonts w:ascii="Arial" w:cs="Arial" w:eastAsia="Arial" w:hAnsi="Arial"/>
                <w:sz w:val="16"/>
                <w:szCs w:val="16"/>
                <w:color w:val="auto"/>
              </w:rPr>
              <w:t>Quarter 1, 2023</w:t>
            </w:r>
          </w:p>
        </w:tc>
        <w:tc>
          <w:tcPr>
            <w:tcW w:w="4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250,000</w:t>
            </w: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2, 2023</w:t>
            </w:r>
          </w:p>
        </w:tc>
        <w:tc>
          <w:tcPr>
            <w:tcW w:w="4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Quarter 3, 2023</w:t>
            </w:r>
          </w:p>
        </w:tc>
        <w:tc>
          <w:tcPr>
            <w:tcW w:w="4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Quarter 4, 2023</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r>
      <w:tr>
        <w:trPr>
          <w:trHeight w:val="21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repayments in 2023</w:t>
            </w:r>
          </w:p>
        </w:tc>
        <w:tc>
          <w:tcPr>
            <w:tcW w:w="4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950,000</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1, 2024</w:t>
            </w:r>
          </w:p>
        </w:tc>
        <w:tc>
          <w:tcPr>
            <w:tcW w:w="4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r>
      <w:tr>
        <w:trPr>
          <w:trHeight w:val="21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Quarter 2, 2024</w:t>
            </w:r>
          </w:p>
        </w:tc>
        <w:tc>
          <w:tcPr>
            <w:tcW w:w="4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2,014,882</w:t>
            </w:r>
          </w:p>
        </w:tc>
      </w:tr>
      <w:tr>
        <w:trPr>
          <w:trHeight w:val="234"/>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repayments in 2024</w:t>
            </w:r>
          </w:p>
        </w:tc>
        <w:tc>
          <w:tcPr>
            <w:tcW w:w="4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2,289,882</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voluntary repayment made during the quarter resulted in an accelerated charge associated with previously capitalized fees of $14.9 million (June 30, 2023: $1.2 million).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ind w:firstLine="648"/>
        <w:spacing w:after="0" w:line="286" w:lineRule="auto"/>
        <w:rPr>
          <w:sz w:val="20"/>
          <w:szCs w:val="20"/>
          <w:color w:val="auto"/>
        </w:rPr>
      </w:pPr>
      <w:r>
        <w:rPr>
          <w:rFonts w:ascii="Arial" w:cs="Arial" w:eastAsia="Arial" w:hAnsi="Arial"/>
          <w:sz w:val="16"/>
          <w:szCs w:val="16"/>
          <w:color w:val="auto"/>
        </w:rPr>
        <w:t>During the six months ended June 30, 2024, the Company drew down $193.0 million of the senior secured revolving loan facility and repaid $248.0 million as shown below. As at June 30, 2024, $nil (December 31, 2023: $55.0 million) was drawn under the senior secured revolving loan facility.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Drawdown</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Repayment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Closing Balance</w:t>
            </w:r>
          </w:p>
        </w:tc>
      </w:tr>
      <w:tr>
        <w:trPr>
          <w:trHeight w:val="209"/>
        </w:trPr>
        <w:tc>
          <w:tcPr>
            <w:tcW w:w="4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1, 2023</w:t>
            </w:r>
          </w:p>
        </w:tc>
        <w:tc>
          <w:tcPr>
            <w:tcW w:w="2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Quarter 2, 2023</w:t>
            </w:r>
          </w:p>
        </w:tc>
        <w:tc>
          <w:tcPr>
            <w:tcW w:w="2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80,000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3, 2023</w:t>
            </w:r>
          </w:p>
        </w:tc>
        <w:tc>
          <w:tcPr>
            <w:tcW w:w="2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r>
      <w:tr>
        <w:trPr>
          <w:trHeight w:val="215"/>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Quarter 4, 2023</w:t>
            </w: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65,000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85,000</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55,000</w:t>
            </w:r>
          </w:p>
        </w:tc>
      </w:tr>
      <w:tr>
        <w:trPr>
          <w:trHeight w:val="209"/>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drawdown/repayments in 2023</w:t>
            </w:r>
          </w:p>
        </w:tc>
        <w:tc>
          <w:tcPr>
            <w:tcW w:w="2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315,000</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09"/>
        </w:trPr>
        <w:tc>
          <w:tcPr>
            <w:tcW w:w="4780" w:type="dxa"/>
            <w:vAlign w:val="bottom"/>
          </w:tcPr>
          <w:p>
            <w:pPr>
              <w:ind w:left="20"/>
              <w:spacing w:after="0"/>
              <w:rPr>
                <w:sz w:val="20"/>
                <w:szCs w:val="20"/>
                <w:color w:val="auto"/>
              </w:rPr>
            </w:pPr>
            <w:r>
              <w:rPr>
                <w:rFonts w:ascii="Arial" w:cs="Arial" w:eastAsia="Arial" w:hAnsi="Arial"/>
                <w:sz w:val="16"/>
                <w:szCs w:val="16"/>
                <w:color w:val="auto"/>
              </w:rPr>
              <w:t>Quarter 1, 2024</w:t>
            </w:r>
          </w:p>
        </w:tc>
        <w:tc>
          <w:tcPr>
            <w:tcW w:w="2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55,000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6"/>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Quarter 2, 2024</w:t>
            </w:r>
          </w:p>
        </w:tc>
        <w:tc>
          <w:tcPr>
            <w:tcW w:w="24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193,000</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drawdown/repayments in 2024</w:t>
            </w:r>
          </w:p>
        </w:tc>
        <w:tc>
          <w:tcPr>
            <w:tcW w:w="2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248,000</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2026 Notes</w:t>
      </w:r>
    </w:p>
    <w:p>
      <w:pPr>
        <w:spacing w:after="0" w:line="2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(the "2026 Notes") in a private offering (the “Offering”). The 2026 Notes will mature on July 15, 2026.</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Debt</w:t>
      </w:r>
    </w:p>
    <w:p>
      <w:pPr>
        <w:spacing w:after="0" w:line="233"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The estimated fair value of the Company’s debt was $3,469.3 million at June 30, 2024 (December 31, 2023: $3,793.5 million). The fair values of the Senior Secured Credit Facilities, the 2026 Notes and the New Notes were determined based on Level 2 inputs, which are based on rates at which the debt is traded among financial institutions. The fair value of the senior secured revolving loan facility is recorded as its carrying value due to the short term duration.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11. Derivatives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previously entered into interest rate cap and swap agreements for purposes of managing its exposure to interest rate fluctuations.</w:t>
      </w:r>
    </w:p>
    <w:p>
      <w:pPr>
        <w:spacing w:after="0" w:line="24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2022, the Company entered into two interest rate cap agreements ("2022 Caps") with an initial total notional value of $2,101 million to limit its exposure to changes in the variable interest rate on its Senior Secured Credit Facilities. Interest on the 2022 Caps began accruing on December 30, 2022 and the interest rate caps were due to expire on December 31, 2024. Under the terms of the interest rate caps, the Company had paid a fixed rate of 0.42% and received a variable rate equal to the amount that the three-month SOFR exceeds 4.75%.</w:t>
      </w:r>
    </w:p>
    <w:p>
      <w:pPr>
        <w:spacing w:after="0" w:line="21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November 29, 2022, the Company entered into an interest rate swap agreement ("2022 Swap") with an initial notional value of $1,101 million to limit its exposure to changes in the variable interest rate on its Senior Secured Credit Facilities. Interest on the 2022 Swap was due to begin accruing on December 31, 2024 and the interest rate swap was due to expire on September 30, 2026. Under the terms of the interest rate swap, the Company would have paid a fixed rate of 3.4% and would have received a variable rate of interest equal to the three-month SOFR on the 2022 Swap.</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2022 Caps and the 2022 Swap were designated as cash flow hedges. Gains and losses were initially reported as a component of other comprehensive income/loss and subsequently recognized in net income.</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During the quarter ended June 30, 2024, the Company’s exposure to interest rate fluctuations significantly reduced with the voluntary and mandatory repayments made of $2,014.9 million of the senior secured term loan facility. Given this reduction and the repricing of the Senior Secured Credit facilities (which occurred during the quarter ended March 31, 2024), the Company closed the 2022 Caps and 2022 Swap agreements. As at June 30, 2024, 72% of the Company’s outstanding debt is at a fixed interest rate (December 31, 2023: 13%).</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Company’s derivative financial instruments, on a gross basis, are summarized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center"/>
              <w:ind w:right="319"/>
              <w:spacing w:after="0"/>
              <w:rPr>
                <w:sz w:val="20"/>
                <w:szCs w:val="20"/>
                <w:color w:val="auto"/>
              </w:rPr>
            </w:pPr>
            <w:r>
              <w:rPr>
                <w:rFonts w:ascii="Arial" w:cs="Arial" w:eastAsia="Arial" w:hAnsi="Arial"/>
                <w:sz w:val="16"/>
                <w:szCs w:val="16"/>
                <w:b w:val="1"/>
                <w:bCs w:val="1"/>
                <w:color w:val="auto"/>
              </w:rPr>
              <w:t>June 30, 2024</w:t>
            </w:r>
          </w:p>
        </w:tc>
        <w:tc>
          <w:tcPr>
            <w:tcW w:w="8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gridSpan w:val="3"/>
            <w:shd w:val="clear" w:color="auto" w:fill="CCEEFF"/>
          </w:tcPr>
          <w:p>
            <w:pPr>
              <w:ind w:left="360"/>
              <w:spacing w:after="0"/>
              <w:rPr>
                <w:sz w:val="20"/>
                <w:szCs w:val="20"/>
                <w:color w:val="auto"/>
              </w:rPr>
            </w:pPr>
            <w:r>
              <w:rPr>
                <w:rFonts w:ascii="Arial" w:cs="Arial" w:eastAsia="Arial" w:hAnsi="Arial"/>
                <w:sz w:val="16"/>
                <w:szCs w:val="16"/>
                <w:b w:val="1"/>
                <w:bCs w:val="1"/>
                <w:color w:val="auto"/>
              </w:rPr>
              <w:t>December 31, 2023</w:t>
            </w:r>
          </w:p>
        </w:tc>
        <w:tc>
          <w:tcPr>
            <w:tcW w:w="1180" w:type="dxa"/>
            <w:vAlign w:val="bottom"/>
            <w:tcBorders>
              <w:bottom w:val="single" w:sz="8" w:color="auto"/>
            </w:tcBorders>
            <w:shd w:val="clear" w:color="auto" w:fill="CCEEFF"/>
          </w:tcPr>
          <w:p>
            <w:pPr>
              <w:spacing w:after="0"/>
              <w:rPr>
                <w:sz w:val="18"/>
                <w:szCs w:val="18"/>
                <w:color w:val="auto"/>
              </w:rPr>
            </w:pPr>
          </w:p>
        </w:tc>
      </w:tr>
      <w:tr>
        <w:trPr>
          <w:trHeight w:val="209"/>
        </w:trPr>
        <w:tc>
          <w:tcPr>
            <w:tcW w:w="2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Asset</w:t>
            </w:r>
          </w:p>
        </w:tc>
        <w:tc>
          <w:tcPr>
            <w:tcW w:w="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rPr>
              <w:t>Liability</w:t>
            </w: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Notional</w:t>
            </w:r>
          </w:p>
        </w:tc>
        <w:tc>
          <w:tcPr>
            <w:tcW w:w="136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Asset</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Liability</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Notional</w:t>
            </w:r>
          </w:p>
        </w:tc>
      </w:tr>
      <w:tr>
        <w:trPr>
          <w:trHeight w:val="210"/>
        </w:trPr>
        <w:tc>
          <w:tcPr>
            <w:tcW w:w="27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6"/>
                <w:szCs w:val="16"/>
                <w:color w:val="auto"/>
              </w:rPr>
              <w:t>Interest Rate Caps</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Pr>
          <w:p>
            <w:pPr>
              <w:ind w:left="140"/>
              <w:spacing w:after="0"/>
              <w:rPr>
                <w:sz w:val="20"/>
                <w:szCs w:val="20"/>
                <w:color w:val="auto"/>
              </w:rPr>
            </w:pPr>
            <w:r>
              <w:rPr>
                <w:rFonts w:ascii="Arial" w:cs="Arial" w:eastAsia="Arial" w:hAnsi="Arial"/>
                <w:sz w:val="16"/>
                <w:szCs w:val="16"/>
                <w:color w:val="auto"/>
              </w:rPr>
              <w:t>— $</w:t>
            </w:r>
          </w:p>
        </w:tc>
        <w:tc>
          <w:tcPr>
            <w:tcW w:w="1500" w:type="dxa"/>
            <w:vAlign w:val="bottom"/>
          </w:tcPr>
          <w:p>
            <w:pPr>
              <w:ind w:left="1020"/>
              <w:spacing w:after="0"/>
              <w:rPr>
                <w:sz w:val="20"/>
                <w:szCs w:val="20"/>
                <w:color w:val="auto"/>
              </w:rPr>
            </w:pPr>
            <w:r>
              <w:rPr>
                <w:rFonts w:ascii="Arial" w:cs="Arial" w:eastAsia="Arial" w:hAnsi="Arial"/>
                <w:sz w:val="16"/>
                <w:szCs w:val="16"/>
                <w:color w:val="auto"/>
              </w:rPr>
              <w:t>— $</w:t>
            </w:r>
          </w:p>
        </w:tc>
        <w:tc>
          <w:tcPr>
            <w:tcW w:w="880" w:type="dxa"/>
            <w:vAlign w:val="bottom"/>
          </w:tcPr>
          <w:p>
            <w:pPr>
              <w:spacing w:after="0"/>
              <w:rPr>
                <w:sz w:val="18"/>
                <w:szCs w:val="18"/>
                <w:color w:val="auto"/>
              </w:rPr>
            </w:pPr>
          </w:p>
        </w:tc>
        <w:tc>
          <w:tcPr>
            <w:tcW w:w="1360" w:type="dxa"/>
            <w:vAlign w:val="bottom"/>
          </w:tcPr>
          <w:p>
            <w:pPr>
              <w:ind w:left="60"/>
              <w:spacing w:after="0"/>
              <w:rPr>
                <w:sz w:val="20"/>
                <w:szCs w:val="20"/>
                <w:color w:val="auto"/>
              </w:rPr>
            </w:pPr>
            <w:r>
              <w:rPr>
                <w:rFonts w:ascii="Arial" w:cs="Arial" w:eastAsia="Arial" w:hAnsi="Arial"/>
                <w:sz w:val="16"/>
                <w:szCs w:val="16"/>
                <w:color w:val="auto"/>
              </w:rPr>
              <w:t>— $</w:t>
            </w:r>
          </w:p>
        </w:tc>
        <w:tc>
          <w:tcPr>
            <w:tcW w:w="620" w:type="dxa"/>
            <w:vAlign w:val="bottom"/>
          </w:tcPr>
          <w:p>
            <w:pPr>
              <w:ind w:left="120"/>
              <w:spacing w:after="0"/>
              <w:rPr>
                <w:sz w:val="20"/>
                <w:szCs w:val="20"/>
                <w:color w:val="auto"/>
              </w:rPr>
            </w:pPr>
            <w:r>
              <w:rPr>
                <w:rFonts w:ascii="Arial" w:cs="Arial" w:eastAsia="Arial" w:hAnsi="Arial"/>
                <w:sz w:val="16"/>
                <w:szCs w:val="16"/>
                <w:color w:val="auto"/>
              </w:rPr>
              <w:t>— $</w:t>
            </w:r>
          </w:p>
        </w:tc>
        <w:tc>
          <w:tcPr>
            <w:tcW w:w="1140" w:type="dxa"/>
            <w:vAlign w:val="bottom"/>
          </w:tcPr>
          <w:p>
            <w:pPr>
              <w:jc w:val="right"/>
              <w:spacing w:after="0"/>
              <w:rPr>
                <w:sz w:val="20"/>
                <w:szCs w:val="20"/>
                <w:color w:val="auto"/>
              </w:rPr>
            </w:pPr>
            <w:r>
              <w:rPr>
                <w:rFonts w:ascii="Arial" w:cs="Arial" w:eastAsia="Arial" w:hAnsi="Arial"/>
                <w:sz w:val="16"/>
                <w:szCs w:val="16"/>
                <w:color w:val="auto"/>
              </w:rPr>
              <w:t>1,871</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1,600,606</w:t>
            </w:r>
          </w:p>
        </w:tc>
      </w:tr>
      <w:tr>
        <w:trPr>
          <w:trHeight w:val="236"/>
        </w:trPr>
        <w:tc>
          <w:tcPr>
            <w:tcW w:w="2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Interest Rate Swap</w:t>
            </w:r>
          </w:p>
        </w:tc>
        <w:tc>
          <w:tcPr>
            <w:tcW w:w="10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1,100,606</w:t>
            </w:r>
          </w:p>
        </w:tc>
      </w:tr>
      <w:tr>
        <w:trPr>
          <w:trHeight w:val="183"/>
        </w:trPr>
        <w:tc>
          <w:tcPr>
            <w:tcW w:w="2700" w:type="dxa"/>
            <w:vAlign w:val="bottom"/>
          </w:tcPr>
          <w:p>
            <w:pPr>
              <w:ind w:left="20"/>
              <w:spacing w:after="0" w:line="183" w:lineRule="exact"/>
              <w:rPr>
                <w:sz w:val="20"/>
                <w:szCs w:val="20"/>
                <w:color w:val="auto"/>
              </w:rPr>
            </w:pPr>
            <w:r>
              <w:rPr>
                <w:rFonts w:ascii="Arial" w:cs="Arial" w:eastAsia="Arial" w:hAnsi="Arial"/>
                <w:sz w:val="16"/>
                <w:szCs w:val="16"/>
                <w:color w:val="auto"/>
              </w:rPr>
              <w:t>Total derivatives designated as</w:t>
            </w: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4"/>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hedging instruments</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 $</w:t>
            </w:r>
          </w:p>
        </w:tc>
        <w:tc>
          <w:tcPr>
            <w:tcW w:w="15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2,701,212</w:t>
            </w:r>
          </w:p>
        </w:tc>
      </w:tr>
      <w:tr>
        <w:trPr>
          <w:trHeight w:val="27"/>
        </w:trPr>
        <w:tc>
          <w:tcPr>
            <w:tcW w:w="2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6"/>
          <w:szCs w:val="16"/>
          <w:color w:val="auto"/>
        </w:rPr>
        <w:t>As of June 30, 2024, following the closure of the interest rate caps and interest rate swap, the Company derecognized the derivative positions (December 31, 2023: current derivative liability of $1.9 million within Other liabilities and a non-current derivative liability of $0.5 million within Non-current other liabilities).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During the three months ended June 30, 2024, the Company recognized a loss of $4.1 million (June 30, 2023: $14.0 million gain) within other comprehensive income/loss after a reclassification of $12.8 million gain (June 30, 2023: $1.4 million expense) from other comprehensive income/loss to the income statement.</w:t>
      </w:r>
    </w:p>
    <w:p>
      <w:pPr>
        <w:spacing w:after="0" w:line="2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During the six months ended June 30, 2024, the Company recognized a gain of $5.0 million (June 30, 2023: $10.1 million) within other comprehensive income/loss after a reclassification of $13.5 million gain (June 30, 2023: $3.6 million expense) from other comprehensive income/loss to the income statement.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Income taxes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taxes recognized during the three and six months ended June 30, 2024 and June 30, 2023, comprise: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700" w:type="dxa"/>
            <w:vAlign w:val="bottom"/>
            <w:tcBorders>
              <w:bottom w:val="single" w:sz="8" w:color="auto"/>
            </w:tcBorders>
            <w:shd w:val="clear" w:color="auto" w:fill="CCEEFF"/>
          </w:tcPr>
          <w:p>
            <w:pPr>
              <w:spacing w:after="0"/>
              <w:rPr>
                <w:sz w:val="18"/>
                <w:szCs w:val="18"/>
                <w:color w:val="auto"/>
              </w:rPr>
            </w:pPr>
          </w:p>
        </w:tc>
      </w:tr>
      <w:tr>
        <w:trPr>
          <w:trHeight w:val="155"/>
        </w:trPr>
        <w:tc>
          <w:tcPr>
            <w:tcW w:w="5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r>
      <w:tr>
        <w:trPr>
          <w:trHeight w:val="216"/>
        </w:trPr>
        <w:tc>
          <w:tcPr>
            <w:tcW w:w="5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5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23,344</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9,629</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51,668</w:t>
            </w: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23,902</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As at June 30, 2024 the Company maintains a $196.1 million liability (December 31, 2023: $187.1 million) for unrecognized tax benefit, which is comprised of $162.4 million (December 31, 2023: $160.0 million) related to items generating unrecognized tax benefits and $33.7 million (December 31, 2023: $27.1 million) for interest and penalties related to such items. The Company recognizes interest accrued on unrecognized tax benefits as an additional income tax expense.</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3" w:name="page24"/>
    <w:bookmarkEnd w:id="23"/>
    <w:p>
      <w:pPr>
        <w:jc w:val="both"/>
        <w:spacing w:after="0" w:line="257"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audit by the major tax jurisdictions where the Company does business are the 2015 through 2023 tax years. During such audits, local tax authorities may challenge the positions taken by us in our tax returns.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Net income per ordinary share</w:t>
      </w:r>
    </w:p>
    <w:p>
      <w:pPr>
        <w:spacing w:after="0" w:line="26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100" w:type="dxa"/>
            <w:vAlign w:val="bottom"/>
            <w:gridSpan w:val="8"/>
          </w:tcPr>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5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540" w:type="dxa"/>
            <w:vAlign w:val="bottom"/>
            <w:gridSpan w:val="3"/>
          </w:tcPr>
          <w:p>
            <w:pPr>
              <w:spacing w:after="0"/>
              <w:rPr>
                <w:sz w:val="9"/>
                <w:szCs w:val="9"/>
                <w:color w:val="auto"/>
              </w:rPr>
            </w:pPr>
          </w:p>
        </w:tc>
        <w:tc>
          <w:tcPr>
            <w:tcW w:w="240" w:type="dxa"/>
            <w:vAlign w:val="bottom"/>
          </w:tcPr>
          <w:p>
            <w:pPr>
              <w:spacing w:after="0"/>
              <w:rPr>
                <w:sz w:val="9"/>
                <w:szCs w:val="9"/>
                <w:color w:val="auto"/>
              </w:rPr>
            </w:pPr>
          </w:p>
        </w:tc>
        <w:tc>
          <w:tcPr>
            <w:tcW w:w="26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2"/>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6"/>
        </w:trPr>
        <w:tc>
          <w:tcPr>
            <w:tcW w:w="5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ind w:left="440"/>
              <w:spacing w:after="0" w:line="155" w:lineRule="exact"/>
              <w:rPr>
                <w:sz w:val="20"/>
                <w:szCs w:val="20"/>
                <w:color w:val="auto"/>
              </w:rPr>
            </w:pPr>
            <w:r>
              <w:rPr>
                <w:rFonts w:ascii="Arial" w:cs="Arial" w:eastAsia="Arial" w:hAnsi="Arial"/>
                <w:sz w:val="16"/>
                <w:szCs w:val="16"/>
                <w:b w:val="1"/>
                <w:bCs w:val="1"/>
                <w:color w:val="auto"/>
                <w:w w:val="99"/>
              </w:rPr>
              <w:t>June 30,</w:t>
            </w:r>
          </w:p>
        </w:tc>
        <w:tc>
          <w:tcPr>
            <w:tcW w:w="28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3"/>
                <w:szCs w:val="13"/>
                <w:color w:val="auto"/>
              </w:rPr>
            </w:pPr>
          </w:p>
        </w:tc>
        <w:tc>
          <w:tcPr>
            <w:tcW w:w="15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June 30, 2024</w:t>
            </w: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June 30, 2023</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48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Weighted average number of ordinary shares outstanding for basic net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82,738,765</w:t>
            </w: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81,999,746</w:t>
            </w:r>
          </w:p>
        </w:tc>
        <w:tc>
          <w:tcPr>
            <w:tcW w:w="24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rPr>
              <w:t>82,658,984</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81,892,662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ordinary share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20"/>
              <w:spacing w:after="0" w:line="162" w:lineRule="exact"/>
              <w:rPr>
                <w:sz w:val="20"/>
                <w:szCs w:val="20"/>
                <w:color w:val="auto"/>
              </w:rPr>
            </w:pPr>
            <w:r>
              <w:rPr>
                <w:rFonts w:ascii="Arial" w:cs="Arial" w:eastAsia="Arial" w:hAnsi="Arial"/>
                <w:sz w:val="16"/>
                <w:szCs w:val="16"/>
                <w:color w:val="auto"/>
              </w:rPr>
              <w:t>Effect of dilutive share options and other awards outstanding under share</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622,076</w:t>
            </w:r>
          </w:p>
        </w:tc>
        <w:tc>
          <w:tcPr>
            <w:tcW w:w="2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628,187</w:t>
            </w:r>
          </w:p>
        </w:tc>
        <w:tc>
          <w:tcPr>
            <w:tcW w:w="240" w:type="dxa"/>
            <w:vAlign w:val="bottom"/>
          </w:tcPr>
          <w:p>
            <w:pPr>
              <w:spacing w:after="0"/>
              <w:rPr>
                <w:sz w:val="14"/>
                <w:szCs w:val="14"/>
                <w:color w:val="auto"/>
              </w:rPr>
            </w:pPr>
          </w:p>
        </w:tc>
        <w:tc>
          <w:tcPr>
            <w:tcW w:w="1500" w:type="dxa"/>
            <w:vAlign w:val="bottom"/>
            <w:vMerge w:val="restart"/>
          </w:tcPr>
          <w:p>
            <w:pPr>
              <w:jc w:val="right"/>
              <w:ind w:right="299"/>
              <w:spacing w:after="0"/>
              <w:rPr>
                <w:sz w:val="20"/>
                <w:szCs w:val="20"/>
                <w:color w:val="auto"/>
              </w:rPr>
            </w:pPr>
            <w:r>
              <w:rPr>
                <w:rFonts w:ascii="Arial" w:cs="Arial" w:eastAsia="Arial" w:hAnsi="Arial"/>
                <w:sz w:val="16"/>
                <w:szCs w:val="16"/>
                <w:color w:val="auto"/>
              </w:rPr>
              <w:t>601,160</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724,729</w:t>
            </w:r>
          </w:p>
        </w:tc>
        <w:tc>
          <w:tcPr>
            <w:tcW w:w="0" w:type="dxa"/>
            <w:vAlign w:val="bottom"/>
          </w:tcPr>
          <w:p>
            <w:pPr>
              <w:spacing w:after="0"/>
              <w:rPr>
                <w:sz w:val="1"/>
                <w:szCs w:val="1"/>
                <w:color w:val="auto"/>
              </w:rPr>
            </w:pPr>
          </w:p>
        </w:tc>
      </w:tr>
      <w:tr>
        <w:trPr>
          <w:trHeight w:val="21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based compensation programs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48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color w:val="auto"/>
              </w:rPr>
              <w:t>Weighted average number of ordinary shares outstanding for diluted net</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83,360,841</w:t>
            </w: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82,627,933</w:t>
            </w:r>
          </w:p>
        </w:tc>
        <w:tc>
          <w:tcPr>
            <w:tcW w:w="24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color w:val="auto"/>
              </w:rPr>
              <w:t>83,260,144</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82,617,391</w:t>
            </w:r>
          </w:p>
        </w:tc>
        <w:tc>
          <w:tcPr>
            <w:tcW w:w="0" w:type="dxa"/>
            <w:vAlign w:val="bottom"/>
          </w:tcPr>
          <w:p>
            <w:pPr>
              <w:spacing w:after="0"/>
              <w:rPr>
                <w:sz w:val="1"/>
                <w:szCs w:val="1"/>
                <w:color w:val="auto"/>
              </w:rPr>
            </w:pPr>
          </w:p>
        </w:tc>
      </w:tr>
      <w:tr>
        <w:trPr>
          <w:trHeight w:val="235"/>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per ordinary share</w:t>
            </w:r>
          </w:p>
        </w:tc>
        <w:tc>
          <w:tcPr>
            <w:tcW w:w="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540" w:type="dxa"/>
            <w:vAlign w:val="bottom"/>
            <w:tcBorders>
              <w:top w:val="single" w:sz="8" w:color="CCEEFF"/>
              <w:bottom w:val="single" w:sz="8" w:color="auto"/>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gridSpan w:val="3"/>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shd w:val="clear" w:color="auto" w:fill="CCEEFF"/>
          </w:tcPr>
          <w:p>
            <w:pPr>
              <w:spacing w:after="0"/>
              <w:rPr>
                <w:sz w:val="18"/>
                <w:szCs w:val="18"/>
                <w:color w:val="auto"/>
              </w:rPr>
            </w:pPr>
          </w:p>
        </w:tc>
        <w:tc>
          <w:tcPr>
            <w:tcW w:w="2640" w:type="dxa"/>
            <w:vAlign w:val="bottom"/>
            <w:tcBorders>
              <w:bottom w:val="single" w:sz="8" w:color="auto"/>
            </w:tcBorders>
            <w:gridSpan w:val="2"/>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55"/>
        </w:trPr>
        <w:tc>
          <w:tcPr>
            <w:tcW w:w="5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ind w:left="420"/>
              <w:spacing w:after="0" w:line="155" w:lineRule="exact"/>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3"/>
                <w:szCs w:val="13"/>
                <w:color w:val="auto"/>
              </w:rPr>
            </w:pPr>
          </w:p>
        </w:tc>
        <w:tc>
          <w:tcPr>
            <w:tcW w:w="15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June 30, 2024</w:t>
            </w: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June 30, 2023</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Ordinary Share: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Basic</w:t>
            </w:r>
          </w:p>
        </w:tc>
        <w:tc>
          <w:tcPr>
            <w:tcW w:w="3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1100" w:type="dxa"/>
            <w:vAlign w:val="bottom"/>
          </w:tcPr>
          <w:p>
            <w:pPr>
              <w:ind w:left="700"/>
              <w:spacing w:after="0"/>
              <w:rPr>
                <w:sz w:val="20"/>
                <w:szCs w:val="20"/>
                <w:color w:val="auto"/>
              </w:rPr>
            </w:pPr>
            <w:r>
              <w:rPr>
                <w:rFonts w:ascii="Arial" w:cs="Arial" w:eastAsia="Arial" w:hAnsi="Arial"/>
                <w:sz w:val="16"/>
                <w:szCs w:val="16"/>
                <w:color w:val="auto"/>
              </w:rPr>
              <w:t>1.78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1.41</w:t>
            </w:r>
          </w:p>
        </w:tc>
        <w:tc>
          <w:tcPr>
            <w:tcW w:w="240" w:type="dxa"/>
            <w:vAlign w:val="bottom"/>
          </w:tcPr>
          <w:p>
            <w:pPr>
              <w:spacing w:after="0"/>
              <w:rPr>
                <w:sz w:val="18"/>
                <w:szCs w:val="18"/>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color w:val="auto"/>
              </w:rPr>
              <w:t>4.04</w:t>
            </w:r>
          </w:p>
        </w:tc>
        <w:tc>
          <w:tcPr>
            <w:tcW w:w="114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41"/>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1.76</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2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4.02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480" w:type="dxa"/>
            <w:vAlign w:val="bottom"/>
          </w:tcPr>
          <w:p>
            <w:pPr>
              <w:spacing w:after="0"/>
              <w:rPr>
                <w:sz w:val="20"/>
                <w:szCs w:val="20"/>
                <w:color w:val="auto"/>
              </w:rPr>
            </w:pPr>
            <w:r>
              <w:rPr>
                <w:rFonts w:ascii="Arial" w:cs="Arial" w:eastAsia="Arial" w:hAnsi="Arial"/>
                <w:sz w:val="16"/>
                <w:szCs w:val="16"/>
                <w:b w:val="1"/>
                <w:bCs w:val="1"/>
                <w:color w:val="auto"/>
              </w:rPr>
              <w:t>14. Share-based awards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480" w:type="dxa"/>
            <w:vAlign w:val="bottom"/>
          </w:tcPr>
          <w:p>
            <w:pPr>
              <w:spacing w:after="0"/>
              <w:rPr>
                <w:sz w:val="20"/>
                <w:szCs w:val="20"/>
                <w:color w:val="auto"/>
              </w:rPr>
            </w:pPr>
            <w:r>
              <w:rPr>
                <w:rFonts w:ascii="Arial" w:cs="Arial" w:eastAsia="Arial" w:hAnsi="Arial"/>
                <w:sz w:val="16"/>
                <w:szCs w:val="16"/>
                <w:i w:val="1"/>
                <w:iCs w:val="1"/>
                <w:color w:val="auto"/>
              </w:rPr>
              <w:t>Share Options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20" w:type="dxa"/>
            <w:vAlign w:val="bottom"/>
            <w:gridSpan w:val="4"/>
          </w:tcPr>
          <w:p>
            <w:pPr>
              <w:ind w:left="660"/>
              <w:spacing w:after="0"/>
              <w:rPr>
                <w:sz w:val="20"/>
                <w:szCs w:val="20"/>
                <w:color w:val="auto"/>
              </w:rPr>
            </w:pPr>
            <w:r>
              <w:rPr>
                <w:rFonts w:ascii="Arial" w:cs="Arial" w:eastAsia="Arial" w:hAnsi="Arial"/>
                <w:sz w:val="16"/>
                <w:szCs w:val="16"/>
                <w:color w:val="auto"/>
              </w:rPr>
              <w:t>The following table summarizes option activity for the six months ended June 30, 2024:</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2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Weighted</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center"/>
              <w:ind w:left="179"/>
              <w:spacing w:after="0" w:line="162" w:lineRule="exact"/>
              <w:rPr>
                <w:sz w:val="20"/>
                <w:szCs w:val="20"/>
                <w:color w:val="auto"/>
              </w:rPr>
            </w:pPr>
            <w:r>
              <w:rPr>
                <w:rFonts w:ascii="Arial" w:cs="Arial" w:eastAsia="Arial" w:hAnsi="Arial"/>
                <w:sz w:val="16"/>
                <w:szCs w:val="16"/>
                <w:b w:val="1"/>
                <w:bCs w:val="1"/>
                <w:color w:val="auto"/>
              </w:rPr>
              <w:t>Average</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jc w:val="center"/>
              <w:ind w:left="139"/>
              <w:spacing w:after="0" w:line="162" w:lineRule="exact"/>
              <w:rPr>
                <w:sz w:val="20"/>
                <w:szCs w:val="20"/>
                <w:color w:val="auto"/>
              </w:rPr>
            </w:pPr>
            <w:r>
              <w:rPr>
                <w:rFonts w:ascii="Arial" w:cs="Arial" w:eastAsia="Arial" w:hAnsi="Arial"/>
                <w:sz w:val="16"/>
                <w:szCs w:val="16"/>
                <w:b w:val="1"/>
                <w:bCs w:val="1"/>
                <w:color w:val="auto"/>
              </w:rPr>
              <w:t>Exercise</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Price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c>
          <w:tcPr>
            <w:tcW w:w="0" w:type="dxa"/>
            <w:vAlign w:val="bottom"/>
          </w:tcPr>
          <w:p>
            <w:pPr>
              <w:spacing w:after="0"/>
              <w:rPr>
                <w:sz w:val="1"/>
                <w:szCs w:val="1"/>
                <w:color w:val="auto"/>
              </w:rPr>
            </w:pPr>
          </w:p>
        </w:tc>
      </w:tr>
      <w:tr>
        <w:trPr>
          <w:trHeight w:val="209"/>
        </w:trPr>
        <w:tc>
          <w:tcPr>
            <w:tcW w:w="5480" w:type="dxa"/>
            <w:vAlign w:val="bottom"/>
          </w:tcPr>
          <w:p>
            <w:pPr>
              <w:ind w:left="20"/>
              <w:spacing w:after="0"/>
              <w:rPr>
                <w:sz w:val="20"/>
                <w:szCs w:val="20"/>
                <w:color w:val="auto"/>
              </w:rPr>
            </w:pPr>
            <w:r>
              <w:rPr>
                <w:rFonts w:ascii="Arial" w:cs="Arial" w:eastAsia="Arial" w:hAnsi="Arial"/>
                <w:sz w:val="16"/>
                <w:szCs w:val="16"/>
                <w:color w:val="auto"/>
              </w:rPr>
              <w:t>Outstanding at December 31, 2023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902,806</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center"/>
              <w:ind w:left="199"/>
              <w:spacing w:after="0"/>
              <w:rPr>
                <w:sz w:val="20"/>
                <w:szCs w:val="20"/>
                <w:color w:val="auto"/>
              </w:rPr>
            </w:pPr>
            <w:r>
              <w:rPr>
                <w:rFonts w:ascii="Arial" w:cs="Arial" w:eastAsia="Arial" w:hAnsi="Arial"/>
                <w:sz w:val="16"/>
                <w:szCs w:val="16"/>
                <w:color w:val="auto"/>
              </w:rPr>
              <w:t>142.96</w:t>
            </w:r>
          </w:p>
        </w:tc>
        <w:tc>
          <w:tcPr>
            <w:tcW w:w="114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68,380</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center"/>
              <w:ind w:left="199"/>
              <w:spacing w:after="0"/>
              <w:rPr>
                <w:sz w:val="20"/>
                <w:szCs w:val="20"/>
                <w:color w:val="auto"/>
              </w:rPr>
            </w:pPr>
            <w:r>
              <w:rPr>
                <w:rFonts w:ascii="Arial" w:cs="Arial" w:eastAsia="Arial" w:hAnsi="Arial"/>
                <w:sz w:val="16"/>
                <w:szCs w:val="16"/>
                <w:color w:val="auto"/>
              </w:rPr>
              <w:t>325.51</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Exercised</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(201,654)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107.30</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Outstanding at June 30, 2024</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769,532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center"/>
              <w:ind w:left="199"/>
              <w:spacing w:after="0"/>
              <w:rPr>
                <w:sz w:val="20"/>
                <w:szCs w:val="20"/>
                <w:color w:val="auto"/>
              </w:rPr>
            </w:pPr>
            <w:r>
              <w:rPr>
                <w:rFonts w:ascii="Arial" w:cs="Arial" w:eastAsia="Arial" w:hAnsi="Arial"/>
                <w:sz w:val="16"/>
                <w:szCs w:val="16"/>
                <w:color w:val="auto"/>
              </w:rPr>
              <w:t>168.52</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Exercisable at June 30, 2024</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535,883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center"/>
              <w:ind w:left="199"/>
              <w:spacing w:after="0"/>
              <w:rPr>
                <w:sz w:val="20"/>
                <w:szCs w:val="20"/>
                <w:color w:val="auto"/>
              </w:rPr>
            </w:pPr>
            <w:r>
              <w:rPr>
                <w:rFonts w:ascii="Arial" w:cs="Arial" w:eastAsia="Arial" w:hAnsi="Arial"/>
                <w:sz w:val="16"/>
                <w:szCs w:val="16"/>
                <w:color w:val="auto"/>
              </w:rPr>
              <w:t>134.89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issues ordinary shares for all options exercised. The total amount of fully vested share options which remained outstanding at June 30, 2024 was 535,883. Fully vested share options at June 30, 2024 have an average remaining contractual term of 3.81 years and an average exercise price of $134.89.</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fair value of options granted during the six months ended June 30, 2024 and June 30, 2023 was calculated using the Black-</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Scholes option pricing model. The weighted average grant date fair values and assumptions used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Borders>
              <w:bottom w:val="single" w:sz="8" w:color="auto"/>
            </w:tcBorders>
            <w:shd w:val="clear" w:color="auto" w:fill="CCEEFF"/>
          </w:tcPr>
          <w:p>
            <w:pPr>
              <w:spacing w:after="0"/>
              <w:rPr>
                <w:sz w:val="18"/>
                <w:szCs w:val="18"/>
                <w:color w:val="auto"/>
              </w:rPr>
            </w:pPr>
          </w:p>
        </w:tc>
      </w:tr>
      <w:tr>
        <w:trPr>
          <w:trHeight w:val="156"/>
        </w:trPr>
        <w:tc>
          <w:tcPr>
            <w:tcW w:w="8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r>
      <w:tr>
        <w:trPr>
          <w:trHeight w:val="216"/>
        </w:trPr>
        <w:tc>
          <w:tcPr>
            <w:tcW w:w="8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115.76</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85.12</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Assumptions:</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5"/>
        </w:trPr>
        <w:tc>
          <w:tcPr>
            <w:tcW w:w="8120" w:type="dxa"/>
            <w:vAlign w:val="bottom"/>
          </w:tcPr>
          <w:p>
            <w:pPr>
              <w:ind w:left="20"/>
              <w:spacing w:after="0"/>
              <w:rPr>
                <w:sz w:val="20"/>
                <w:szCs w:val="20"/>
                <w:color w:val="auto"/>
              </w:rPr>
            </w:pPr>
            <w:r>
              <w:rPr>
                <w:rFonts w:ascii="Arial" w:cs="Arial" w:eastAsia="Arial" w:hAnsi="Arial"/>
                <w:sz w:val="16"/>
                <w:szCs w:val="16"/>
                <w:color w:val="auto"/>
              </w:rPr>
              <w:t>Dividend yield</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c>
          <w:tcPr>
            <w:tcW w:w="8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4.20 %</w:t>
            </w: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4.18 %</w:t>
            </w:r>
          </w:p>
        </w:tc>
      </w:tr>
      <w:tr>
        <w:trPr>
          <w:trHeight w:val="215"/>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Expected life</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 years</w:t>
            </w:r>
          </w:p>
        </w:tc>
        <w:tc>
          <w:tcPr>
            <w:tcW w:w="8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bl>
    <w:p>
      <w:pPr>
        <w:spacing w:after="0" w:line="3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2013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 No awards may be granted under the 2013 RSU Plan after May 11, 2025.</w:t>
      </w:r>
    </w:p>
    <w:p>
      <w:pPr>
        <w:spacing w:after="0" w:line="20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vest over twelve months. No awards may be granted under the 2019 Consultants RSU Plan after May 16, 2029.</w:t>
      </w:r>
    </w:p>
    <w:p>
      <w:pPr>
        <w:spacing w:after="0" w:line="199" w:lineRule="exact"/>
        <w:rPr>
          <w:sz w:val="20"/>
          <w:szCs w:val="20"/>
          <w:color w:val="auto"/>
        </w:rPr>
      </w:pPr>
    </w:p>
    <w:p>
      <w:pPr>
        <w:jc w:val="both"/>
        <w:ind w:firstLine="225"/>
        <w:spacing w:after="0" w:line="304"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six months ended June 30, 2024:</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shd w:val="clear" w:color="auto" w:fill="CCEEFF"/>
          </w:tcPr>
          <w:p>
            <w:pPr>
              <w:spacing w:after="0"/>
              <w:rPr>
                <w:sz w:val="16"/>
                <w:szCs w:val="16"/>
                <w:color w:val="auto"/>
              </w:rPr>
            </w:pPr>
          </w:p>
        </w:tc>
        <w:tc>
          <w:tcPr>
            <w:tcW w:w="26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PSU</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26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Weighted</w:t>
            </w:r>
          </w:p>
        </w:tc>
        <w:tc>
          <w:tcPr>
            <w:tcW w:w="12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2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Average Grant</w:t>
            </w: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 Grant</w:t>
            </w:r>
          </w:p>
        </w:tc>
        <w:tc>
          <w:tcPr>
            <w:tcW w:w="0" w:type="dxa"/>
            <w:vAlign w:val="bottom"/>
          </w:tcPr>
          <w:p>
            <w:pPr>
              <w:spacing w:after="0"/>
              <w:rPr>
                <w:sz w:val="1"/>
                <w:szCs w:val="1"/>
                <w:color w:val="auto"/>
              </w:rPr>
            </w:pPr>
          </w:p>
        </w:tc>
      </w:tr>
      <w:tr>
        <w:trPr>
          <w:trHeight w:val="162"/>
        </w:trPr>
        <w:tc>
          <w:tcPr>
            <w:tcW w:w="4240" w:type="dxa"/>
            <w:vAlign w:val="bottom"/>
            <w:shd w:val="clear" w:color="auto" w:fill="CCEEFF"/>
          </w:tcPr>
          <w:p>
            <w:pPr>
              <w:spacing w:after="0"/>
              <w:rPr>
                <w:sz w:val="14"/>
                <w:szCs w:val="14"/>
                <w:color w:val="auto"/>
              </w:rPr>
            </w:pPr>
          </w:p>
        </w:tc>
        <w:tc>
          <w:tcPr>
            <w:tcW w:w="26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Date</w:t>
            </w: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Fair Value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6"/>
                <w:szCs w:val="16"/>
                <w:color w:val="auto"/>
              </w:rPr>
              <w:t>Outstanding at December 31, 2023</w:t>
            </w:r>
          </w:p>
        </w:tc>
        <w:tc>
          <w:tcPr>
            <w:tcW w:w="2680" w:type="dxa"/>
            <w:vAlign w:val="bottom"/>
          </w:tcPr>
          <w:p>
            <w:pPr>
              <w:jc w:val="right"/>
              <w:spacing w:after="0"/>
              <w:rPr>
                <w:sz w:val="20"/>
                <w:szCs w:val="20"/>
                <w:color w:val="auto"/>
              </w:rPr>
            </w:pPr>
            <w:r>
              <w:rPr>
                <w:rFonts w:ascii="Arial" w:cs="Arial" w:eastAsia="Arial" w:hAnsi="Arial"/>
                <w:sz w:val="16"/>
                <w:szCs w:val="16"/>
                <w:color w:val="auto"/>
              </w:rPr>
              <w:t>105,256</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226.29</w:t>
            </w:r>
          </w:p>
        </w:tc>
        <w:tc>
          <w:tcPr>
            <w:tcW w:w="1220" w:type="dxa"/>
            <w:vAlign w:val="bottom"/>
          </w:tcPr>
          <w:p>
            <w:pPr>
              <w:jc w:val="right"/>
              <w:spacing w:after="0"/>
              <w:rPr>
                <w:sz w:val="20"/>
                <w:szCs w:val="20"/>
                <w:color w:val="auto"/>
              </w:rPr>
            </w:pPr>
            <w:r>
              <w:rPr>
                <w:rFonts w:ascii="Arial" w:cs="Arial" w:eastAsia="Arial" w:hAnsi="Arial"/>
                <w:sz w:val="16"/>
                <w:szCs w:val="16"/>
                <w:color w:val="auto"/>
              </w:rPr>
              <w:t>621,011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218.27</w:t>
            </w:r>
          </w:p>
        </w:tc>
        <w:tc>
          <w:tcPr>
            <w:tcW w:w="0" w:type="dxa"/>
            <w:vAlign w:val="bottom"/>
          </w:tcPr>
          <w:p>
            <w:pPr>
              <w:spacing w:after="0"/>
              <w:rPr>
                <w:sz w:val="1"/>
                <w:szCs w:val="1"/>
                <w:color w:val="auto"/>
              </w:rPr>
            </w:pPr>
          </w:p>
        </w:tc>
      </w:tr>
      <w:tr>
        <w:trPr>
          <w:trHeight w:val="217"/>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Granted</w:t>
            </w:r>
          </w:p>
        </w:tc>
        <w:tc>
          <w:tcPr>
            <w:tcW w:w="2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48,626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325.51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237,539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318.49</w:t>
            </w: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Arial" w:cs="Arial" w:eastAsia="Arial" w:hAnsi="Arial"/>
                <w:sz w:val="16"/>
                <w:szCs w:val="16"/>
                <w:color w:val="auto"/>
              </w:rPr>
              <w:t>Shares vested</w:t>
            </w:r>
          </w:p>
        </w:tc>
        <w:tc>
          <w:tcPr>
            <w:tcW w:w="2680" w:type="dxa"/>
            <w:vAlign w:val="bottom"/>
          </w:tcPr>
          <w:p>
            <w:pPr>
              <w:jc w:val="right"/>
              <w:spacing w:after="0"/>
              <w:rPr>
                <w:sz w:val="20"/>
                <w:szCs w:val="20"/>
                <w:color w:val="auto"/>
              </w:rPr>
            </w:pPr>
            <w:r>
              <w:rPr>
                <w:rFonts w:ascii="Arial" w:cs="Arial" w:eastAsia="Arial" w:hAnsi="Arial"/>
                <w:sz w:val="16"/>
                <w:szCs w:val="16"/>
                <w:color w:val="auto"/>
              </w:rPr>
              <w:t>(9,975)</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177.38</w:t>
            </w:r>
          </w:p>
        </w:tc>
        <w:tc>
          <w:tcPr>
            <w:tcW w:w="1220" w:type="dxa"/>
            <w:vAlign w:val="bottom"/>
          </w:tcPr>
          <w:p>
            <w:pPr>
              <w:jc w:val="right"/>
              <w:spacing w:after="0"/>
              <w:rPr>
                <w:sz w:val="20"/>
                <w:szCs w:val="20"/>
                <w:color w:val="auto"/>
              </w:rPr>
            </w:pPr>
            <w:r>
              <w:rPr>
                <w:rFonts w:ascii="Arial" w:cs="Arial" w:eastAsia="Arial" w:hAnsi="Arial"/>
                <w:sz w:val="16"/>
                <w:szCs w:val="16"/>
                <w:color w:val="auto"/>
              </w:rPr>
              <w:t>(109,885)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220.87</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Forfeited</w:t>
            </w:r>
          </w:p>
        </w:tc>
        <w:tc>
          <w:tcPr>
            <w:tcW w:w="2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(72,764)</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252.86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(39,114)</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221.86</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June 30, 2024</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71,143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273.79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709,551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251.22</w:t>
            </w:r>
          </w:p>
        </w:tc>
        <w:tc>
          <w:tcPr>
            <w:tcW w:w="0" w:type="dxa"/>
            <w:vAlign w:val="bottom"/>
          </w:tcPr>
          <w:p>
            <w:pPr>
              <w:spacing w:after="0"/>
              <w:rPr>
                <w:sz w:val="1"/>
                <w:szCs w:val="1"/>
                <w:color w:val="auto"/>
              </w:rPr>
            </w:pPr>
          </w:p>
        </w:tc>
      </w:tr>
      <w:tr>
        <w:trPr>
          <w:trHeight w:val="21"/>
        </w:trPr>
        <w:tc>
          <w:tcPr>
            <w:tcW w:w="42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PSUs vested for the six months ended June 30, 2024 totaled $1.8 million (2023: $7.5 million).</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RSUs vested for the six months ended June 30, 2024 totaled $24.3 million (2023: $28.3 million).</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PSUs vest based on service and specified EPS targets over the periods 2022 - 2024, 2023 - 2025 and 2024 - 2026. Depending on the amount of EPS from 2022 to 2026, up to an additional 85,659 PSUs may also be granted.</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20"/>
                <w:szCs w:val="20"/>
                <w:color w:val="auto"/>
              </w:rPr>
            </w:pPr>
            <w:r>
              <w:rPr>
                <w:rFonts w:ascii="Arial" w:cs="Arial" w:eastAsia="Arial" w:hAnsi="Arial"/>
                <w:sz w:val="16"/>
                <w:szCs w:val="16"/>
                <w:i w:val="1"/>
                <w:iCs w:val="1"/>
                <w:color w:val="auto"/>
              </w:rPr>
              <w:t>Stock compensation expense</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32"/>
        </w:trPr>
        <w:tc>
          <w:tcPr>
            <w:tcW w:w="10380" w:type="dxa"/>
            <w:vAlign w:val="bottom"/>
            <w:gridSpan w:val="9"/>
          </w:tcPr>
          <w:p>
            <w:pPr>
              <w:ind w:left="660"/>
              <w:spacing w:after="0"/>
              <w:rPr>
                <w:sz w:val="20"/>
                <w:szCs w:val="20"/>
                <w:color w:val="auto"/>
              </w:rPr>
            </w:pPr>
            <w:r>
              <w:rPr>
                <w:rFonts w:ascii="Arial" w:cs="Arial" w:eastAsia="Arial" w:hAnsi="Arial"/>
                <w:sz w:val="16"/>
                <w:szCs w:val="16"/>
                <w:color w:val="auto"/>
              </w:rPr>
              <w:t>Stock compensation expense for the three and six months ended June 30, 2024 and June 30, 2023 has been allocated as follows:</w:t>
            </w:r>
          </w:p>
        </w:tc>
        <w:tc>
          <w:tcPr>
            <w:tcW w:w="760" w:type="dxa"/>
            <w:vAlign w:val="bottom"/>
          </w:tcPr>
          <w:p>
            <w:pPr>
              <w:spacing w:after="0"/>
              <w:rPr>
                <w:sz w:val="24"/>
                <w:szCs w:val="24"/>
                <w:color w:val="auto"/>
              </w:rPr>
            </w:pPr>
          </w:p>
        </w:tc>
      </w:tr>
      <w:tr>
        <w:trPr>
          <w:trHeight w:val="110"/>
        </w:trPr>
        <w:tc>
          <w:tcPr>
            <w:tcW w:w="4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50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40" w:type="dxa"/>
            <w:vAlign w:val="bottom"/>
            <w:gridSpan w:val="2"/>
          </w:tcPr>
          <w:p>
            <w:pPr>
              <w:spacing w:after="0"/>
              <w:rPr>
                <w:sz w:val="9"/>
                <w:szCs w:val="9"/>
                <w:color w:val="auto"/>
              </w:rPr>
            </w:pPr>
          </w:p>
        </w:tc>
        <w:tc>
          <w:tcPr>
            <w:tcW w:w="760" w:type="dxa"/>
            <w:vAlign w:val="bottom"/>
          </w:tcPr>
          <w:p>
            <w:pPr>
              <w:spacing w:after="0"/>
              <w:rPr>
                <w:sz w:val="9"/>
                <w:szCs w:val="9"/>
                <w:color w:val="auto"/>
              </w:rPr>
            </w:pPr>
          </w:p>
        </w:tc>
      </w:tr>
      <w:tr>
        <w:trPr>
          <w:trHeight w:val="216"/>
        </w:trPr>
        <w:tc>
          <w:tcPr>
            <w:tcW w:w="49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gridSpan w:val="4"/>
            <w:shd w:val="clear" w:color="auto" w:fill="CCEEFF"/>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7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760" w:type="dxa"/>
            <w:vAlign w:val="bottom"/>
            <w:tcBorders>
              <w:bottom w:val="single" w:sz="8" w:color="auto"/>
            </w:tcBorders>
            <w:shd w:val="clear" w:color="auto" w:fill="CCEEFF"/>
          </w:tcPr>
          <w:p>
            <w:pPr>
              <w:spacing w:after="0"/>
              <w:rPr>
                <w:sz w:val="18"/>
                <w:szCs w:val="18"/>
                <w:color w:val="auto"/>
              </w:rPr>
            </w:pPr>
          </w:p>
        </w:tc>
      </w:tr>
      <w:tr>
        <w:trPr>
          <w:trHeight w:val="156"/>
        </w:trPr>
        <w:tc>
          <w:tcPr>
            <w:tcW w:w="4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3"/>
                <w:szCs w:val="13"/>
                <w:color w:val="auto"/>
              </w:rPr>
            </w:pPr>
          </w:p>
        </w:tc>
        <w:tc>
          <w:tcPr>
            <w:tcW w:w="1120" w:type="dxa"/>
            <w:vAlign w:val="bottom"/>
            <w:gridSpan w:val="2"/>
          </w:tcPr>
          <w:p>
            <w:pPr>
              <w:jc w:val="right"/>
              <w:ind w:right="140"/>
              <w:spacing w:after="0" w:line="155" w:lineRule="exact"/>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3"/>
                <w:szCs w:val="13"/>
                <w:color w:val="auto"/>
              </w:rPr>
            </w:pPr>
          </w:p>
        </w:tc>
        <w:tc>
          <w:tcPr>
            <w:tcW w:w="820" w:type="dxa"/>
            <w:vAlign w:val="bottom"/>
          </w:tcPr>
          <w:p>
            <w:pPr>
              <w:jc w:val="center"/>
              <w:ind w:left="39"/>
              <w:spacing w:after="0" w:line="155" w:lineRule="exact"/>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June 30,</w:t>
            </w:r>
          </w:p>
        </w:tc>
      </w:tr>
      <w:tr>
        <w:trPr>
          <w:trHeight w:val="216"/>
        </w:trPr>
        <w:tc>
          <w:tcPr>
            <w:tcW w:w="49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4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7,299</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6,420</w:t>
            </w:r>
          </w:p>
        </w:tc>
        <w:tc>
          <w:tcPr>
            <w:tcW w:w="12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center"/>
              <w:ind w:left="79"/>
              <w:spacing w:after="0"/>
              <w:rPr>
                <w:sz w:val="20"/>
                <w:szCs w:val="20"/>
                <w:color w:val="auto"/>
              </w:rPr>
            </w:pPr>
            <w:r>
              <w:rPr>
                <w:rFonts w:ascii="Arial" w:cs="Arial" w:eastAsia="Arial" w:hAnsi="Arial"/>
                <w:sz w:val="16"/>
                <w:szCs w:val="16"/>
                <w:color w:val="auto"/>
              </w:rPr>
              <w:t>14,020</w:t>
            </w: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center"/>
              <w:ind w:left="59"/>
              <w:spacing w:after="0"/>
              <w:rPr>
                <w:sz w:val="20"/>
                <w:szCs w:val="20"/>
                <w:color w:val="auto"/>
              </w:rPr>
            </w:pPr>
            <w:r>
              <w:rPr>
                <w:rFonts w:ascii="Arial" w:cs="Arial" w:eastAsia="Arial" w:hAnsi="Arial"/>
                <w:sz w:val="16"/>
                <w:szCs w:val="16"/>
                <w:color w:val="auto"/>
              </w:rPr>
              <w:t>12,088</w:t>
            </w:r>
          </w:p>
        </w:tc>
      </w:tr>
      <w:tr>
        <w:trPr>
          <w:trHeight w:val="217"/>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7,665</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10,178</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79"/>
              <w:spacing w:after="0"/>
              <w:rPr>
                <w:sz w:val="20"/>
                <w:szCs w:val="20"/>
                <w:color w:val="auto"/>
              </w:rPr>
            </w:pPr>
            <w:r>
              <w:rPr>
                <w:rFonts w:ascii="Arial" w:cs="Arial" w:eastAsia="Arial" w:hAnsi="Arial"/>
                <w:sz w:val="16"/>
                <w:szCs w:val="16"/>
                <w:color w:val="auto"/>
              </w:rPr>
              <w:t>14,125</w:t>
            </w:r>
          </w:p>
        </w:tc>
        <w:tc>
          <w:tcPr>
            <w:tcW w:w="8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rPr>
              <w:t>19,269</w:t>
            </w:r>
          </w:p>
        </w:tc>
      </w:tr>
      <w:tr>
        <w:trPr>
          <w:trHeight w:val="209"/>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14,964</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16,598</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rPr>
              <w:t>28,145</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rPr>
              <w:t>31,357</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Share capital</w:t>
      </w:r>
    </w:p>
    <w:p>
      <w:pPr>
        <w:spacing w:after="0" w:line="248"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Company can acquire up to 10% of its outstanding ordinary shares (by way of redemption), in accordance with Irish law and the Company’s constitutional documents through open market share acquisitions.</w:t>
      </w:r>
    </w:p>
    <w:p>
      <w:pPr>
        <w:spacing w:after="0" w:line="15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February 20, 2024, the Company's Board of Directors authorized a new buyback program of up to $500 million of the outstanding ordinary shares of the Company. All ordinary shares that are redeemed under the buyback program will be canceled in accordance with the constitutional documents of the Company and the nominal value of these shares transferred to an undenominated capital fund as required under Irish Company law. Repurchases under the share buyback program may be effected from time to time in open market or privately negotiated transactions in accordance with agreed terms and limitations. The timing and amount of the repurchase transactions under this program will depend on a variety of factors, including market conditions and corporate and regulatory considerations. Depending upon results of operations, market conditions and the development of the economy, as well as other factors, generally we will consider share repurchases on an opportunistic basis from time to time. During the six months ended June 30, 2024 no shares were redeemed by the Company under this buyback program.</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Business Segment and Geographical Information</w:t>
      </w:r>
    </w:p>
    <w:p>
      <w:pPr>
        <w:spacing w:after="0" w:line="2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is a CRO providing outsourced services on a global basis to pharmaceutical, biotechnology, medical device and government and public health organizations. It specializes in the strategic development, management and analysis of programs that support all stages of the clinical development process - from compound selection to Phase I-IV clinical studies. The Company has the expertise and capability to conduct clinical trials in the major therapeutic areas on a global basis and has the operational flexibility to provide development services on a stand-alone basis or as part of an integrated "full-service" solution. The Company has expanded through internal growth, together with a number of strategic acquisitions to enhance its expertise and capabilities in certain areas of the clinical development process.</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operates as one reportable segment, which is the provision of outsourced development services on a global basis to pharmaceutical, biotechnology, medical device and government and public health organizations.</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Ireland remunerates other operating entities in the Group on the basis of an arm’s length return for the services they perform in each of their local territories. The arm’s length return for each ICON entity is established to ensure that each of ICON Ireland and the ICON entities that are involved in the conduct of services for customers, earn an appropriate return having regard to the assets owned, risks borne, and functions performed by each entity from these intercompany transactions. The arm’s length return is reviewed annually to ensure that it is market appropriate.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26" w:name="page27"/>
    <w:bookmarkEnd w:id="26"/>
    <w:p>
      <w:pPr>
        <w:jc w:val="both"/>
        <w:ind w:firstLine="648"/>
        <w:spacing w:after="0" w:line="265" w:lineRule="auto"/>
        <w:rPr>
          <w:sz w:val="20"/>
          <w:szCs w:val="20"/>
          <w:color w:val="auto"/>
        </w:rPr>
      </w:pPr>
      <w:r>
        <w:rPr>
          <w:rFonts w:ascii="Arial" w:cs="Arial" w:eastAsia="Arial" w:hAnsi="Arial"/>
          <w:sz w:val="16"/>
          <w:szCs w:val="16"/>
          <w:color w:val="auto"/>
        </w:rPr>
        <w:t>The geographic split of revenue disclosed for each region outside Ireland is the arm’s length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arm’s length revenues attributable to the activities performed outside Ireland.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geographical distribution of the Company’s segment measures for the three and six months ended June 30, 2024 and June 30, 2023 and as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2024 and December 31, 2023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20"/>
                <w:szCs w:val="20"/>
                <w:color w:val="auto"/>
              </w:rPr>
            </w:pPr>
            <w:r>
              <w:rPr>
                <w:rFonts w:ascii="Arial" w:cs="Arial" w:eastAsia="Arial" w:hAnsi="Arial"/>
                <w:sz w:val="16"/>
                <w:szCs w:val="16"/>
                <w:color w:val="auto"/>
              </w:rPr>
              <w:t>a) The distribution of revenue by geographical area was as follows:</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10"/>
        </w:trPr>
        <w:tc>
          <w:tcPr>
            <w:tcW w:w="4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560" w:type="dxa"/>
            <w:vAlign w:val="bottom"/>
            <w:gridSpan w:val="3"/>
          </w:tcPr>
          <w:p>
            <w:pPr>
              <w:spacing w:after="0"/>
              <w:rPr>
                <w:sz w:val="9"/>
                <w:szCs w:val="9"/>
                <w:color w:val="auto"/>
              </w:rPr>
            </w:pPr>
          </w:p>
        </w:tc>
        <w:tc>
          <w:tcPr>
            <w:tcW w:w="800" w:type="dxa"/>
            <w:vAlign w:val="bottom"/>
          </w:tcPr>
          <w:p>
            <w:pPr>
              <w:spacing w:after="0"/>
              <w:rPr>
                <w:sz w:val="9"/>
                <w:szCs w:val="9"/>
                <w:color w:val="auto"/>
              </w:rPr>
            </w:pPr>
          </w:p>
        </w:tc>
        <w:tc>
          <w:tcPr>
            <w:tcW w:w="16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r>
      <w:tr>
        <w:trPr>
          <w:trHeight w:val="216"/>
        </w:trPr>
        <w:tc>
          <w:tcPr>
            <w:tcW w:w="49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560" w:type="dxa"/>
            <w:vAlign w:val="bottom"/>
            <w:tcBorders>
              <w:bottom w:val="single" w:sz="8" w:color="auto"/>
            </w:tcBorders>
            <w:gridSpan w:val="3"/>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860" w:type="dxa"/>
            <w:vAlign w:val="bottom"/>
            <w:tcBorders>
              <w:bottom w:val="single" w:sz="8" w:color="auto"/>
            </w:tcBorders>
            <w:shd w:val="clear" w:color="auto" w:fill="CCEEFF"/>
          </w:tcPr>
          <w:p>
            <w:pPr>
              <w:spacing w:after="0"/>
              <w:rPr>
                <w:sz w:val="18"/>
                <w:szCs w:val="18"/>
                <w:color w:val="auto"/>
              </w:rPr>
            </w:pPr>
          </w:p>
        </w:tc>
      </w:tr>
      <w:tr>
        <w:trPr>
          <w:trHeight w:val="156"/>
        </w:trPr>
        <w:tc>
          <w:tcPr>
            <w:tcW w:w="4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r>
      <w:tr>
        <w:trPr>
          <w:trHeight w:val="216"/>
        </w:trPr>
        <w:tc>
          <w:tcPr>
            <w:tcW w:w="49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4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auto"/>
              </w:rPr>
              <w:t>Ireland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702,858</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593,407</w:t>
            </w:r>
          </w:p>
        </w:tc>
        <w:tc>
          <w:tcPr>
            <w:tcW w:w="80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1,355,543</w:t>
            </w:r>
          </w:p>
        </w:tc>
        <w:tc>
          <w:tcPr>
            <w:tcW w:w="7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1,105,241</w:t>
            </w:r>
          </w:p>
        </w:tc>
      </w:tr>
      <w:tr>
        <w:trPr>
          <w:trHeight w:val="217"/>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384,214</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373,810</w:t>
            </w: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774,429</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788,033</w:t>
            </w:r>
          </w:p>
        </w:tc>
      </w:tr>
      <w:tr>
        <w:trPr>
          <w:trHeight w:val="215"/>
        </w:trPr>
        <w:tc>
          <w:tcPr>
            <w:tcW w:w="4960" w:type="dxa"/>
            <w:vAlign w:val="bottom"/>
          </w:tcPr>
          <w:p>
            <w:pPr>
              <w:ind w:left="20"/>
              <w:spacing w:after="0"/>
              <w:rPr>
                <w:sz w:val="20"/>
                <w:szCs w:val="20"/>
                <w:color w:val="auto"/>
              </w:rPr>
            </w:pPr>
            <w:r>
              <w:rPr>
                <w:rFonts w:ascii="Arial" w:cs="Arial" w:eastAsia="Arial" w:hAnsi="Arial"/>
                <w:sz w:val="16"/>
                <w:szCs w:val="16"/>
                <w:color w:val="auto"/>
              </w:rPr>
              <w:t>U.S.</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792,370</w:t>
            </w:r>
          </w:p>
        </w:tc>
        <w:tc>
          <w:tcPr>
            <w:tcW w:w="38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848,019</w:t>
            </w:r>
          </w:p>
        </w:tc>
        <w:tc>
          <w:tcPr>
            <w:tcW w:w="8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1,601,855</w:t>
            </w:r>
          </w:p>
        </w:tc>
        <w:tc>
          <w:tcPr>
            <w:tcW w:w="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1,692,423</w:t>
            </w:r>
          </w:p>
        </w:tc>
      </w:tr>
      <w:tr>
        <w:trPr>
          <w:trHeight w:val="216"/>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240,717</w:t>
            </w: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205,015</w:t>
            </w:r>
          </w:p>
        </w:tc>
        <w:tc>
          <w:tcPr>
            <w:tcW w:w="8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478,718</w:t>
            </w:r>
          </w:p>
        </w:tc>
        <w:tc>
          <w:tcPr>
            <w:tcW w:w="7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413,132</w:t>
            </w:r>
          </w:p>
        </w:tc>
      </w:tr>
      <w:tr>
        <w:trPr>
          <w:trHeight w:val="209"/>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2,120,159</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2,020,251</w:t>
            </w:r>
          </w:p>
        </w:tc>
        <w:tc>
          <w:tcPr>
            <w:tcW w:w="8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4,210,545</w:t>
            </w:r>
          </w:p>
        </w:tc>
        <w:tc>
          <w:tcPr>
            <w:tcW w:w="7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3,998,829</w:t>
            </w:r>
          </w:p>
        </w:tc>
      </w:tr>
      <w:tr>
        <w:trPr>
          <w:trHeight w:val="21"/>
        </w:trPr>
        <w:tc>
          <w:tcPr>
            <w:tcW w:w="4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b) The distribution of income from operations by geographical area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560" w:type="dxa"/>
            <w:vAlign w:val="bottom"/>
            <w:tcBorders>
              <w:bottom w:val="single" w:sz="8" w:color="auto"/>
            </w:tcBorders>
            <w:gridSpan w:val="3"/>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Six Months Ended</w:t>
            </w:r>
          </w:p>
        </w:tc>
        <w:tc>
          <w:tcPr>
            <w:tcW w:w="800" w:type="dxa"/>
            <w:vAlign w:val="bottom"/>
            <w:tcBorders>
              <w:bottom w:val="single" w:sz="8" w:color="auto"/>
            </w:tcBorders>
            <w:shd w:val="clear" w:color="auto" w:fill="CCEEFF"/>
          </w:tcPr>
          <w:p>
            <w:pPr>
              <w:spacing w:after="0"/>
              <w:rPr>
                <w:sz w:val="18"/>
                <w:szCs w:val="18"/>
                <w:color w:val="auto"/>
              </w:rPr>
            </w:pPr>
          </w:p>
        </w:tc>
      </w:tr>
      <w:tr>
        <w:trPr>
          <w:trHeight w:val="156"/>
        </w:trPr>
        <w:tc>
          <w:tcPr>
            <w:tcW w:w="4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r>
      <w:tr>
        <w:trPr>
          <w:trHeight w:val="216"/>
        </w:trPr>
        <w:tc>
          <w:tcPr>
            <w:tcW w:w="4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8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4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Ireland *</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108,381</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125,896</w:t>
            </w:r>
          </w:p>
        </w:tc>
        <w:tc>
          <w:tcPr>
            <w:tcW w:w="86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245,111</w:t>
            </w:r>
          </w:p>
        </w:tc>
        <w:tc>
          <w:tcPr>
            <w:tcW w:w="84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177,223</w:t>
            </w:r>
          </w:p>
        </w:tc>
      </w:tr>
      <w:tr>
        <w:trPr>
          <w:trHeight w:val="217"/>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39,629</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22,489</w:t>
            </w: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93,140</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82,255</w:t>
            </w: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U.S.</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62,656</w:t>
            </w:r>
          </w:p>
        </w:tc>
        <w:tc>
          <w:tcPr>
            <w:tcW w:w="46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55,744</w:t>
            </w:r>
          </w:p>
        </w:tc>
        <w:tc>
          <w:tcPr>
            <w:tcW w:w="860" w:type="dxa"/>
            <w:vAlign w:val="bottom"/>
          </w:tcPr>
          <w:p>
            <w:pPr>
              <w:spacing w:after="0"/>
              <w:rPr>
                <w:sz w:val="18"/>
                <w:szCs w:val="18"/>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139,555</w:t>
            </w:r>
          </w:p>
        </w:tc>
        <w:tc>
          <w:tcPr>
            <w:tcW w:w="8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143,833</w:t>
            </w:r>
          </w:p>
        </w:tc>
      </w:tr>
      <w:tr>
        <w:trPr>
          <w:trHeight w:val="216"/>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19,191</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5,355</w:t>
            </w:r>
          </w:p>
        </w:tc>
        <w:tc>
          <w:tcPr>
            <w:tcW w:w="8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37,548</w:t>
            </w:r>
          </w:p>
        </w:tc>
        <w:tc>
          <w:tcPr>
            <w:tcW w:w="8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22,962</w:t>
            </w:r>
          </w:p>
        </w:tc>
      </w:tr>
      <w:tr>
        <w:trPr>
          <w:trHeight w:val="21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229,857</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209,484</w:t>
            </w:r>
          </w:p>
        </w:tc>
        <w:tc>
          <w:tcPr>
            <w:tcW w:w="8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515,354</w:t>
            </w:r>
          </w:p>
        </w:tc>
        <w:tc>
          <w:tcPr>
            <w:tcW w:w="8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426,273</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 Includes the full amount of the amortization charge associated with the intangible asset acquired in the Merger.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 The distribution of long-lived assets (property, plant and equipment and operating right-of-use assets), net, by geographical area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shd w:val="clear" w:color="auto" w:fill="CCEEFF"/>
          </w:tcPr>
          <w:p>
            <w:pPr>
              <w:spacing w:after="0"/>
              <w:rPr>
                <w:sz w:val="16"/>
                <w:szCs w:val="16"/>
                <w:color w:val="auto"/>
              </w:rPr>
            </w:pPr>
          </w:p>
        </w:tc>
        <w:tc>
          <w:tcPr>
            <w:tcW w:w="40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June 30,</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4740" w:type="dxa"/>
            <w:vAlign w:val="bottom"/>
            <w:tcBorders>
              <w:bottom w:val="single" w:sz="8" w:color="auto"/>
            </w:tcBorders>
            <w:shd w:val="clear" w:color="auto" w:fill="CCEEFF"/>
          </w:tcPr>
          <w:p>
            <w:pPr>
              <w:spacing w:after="0"/>
              <w:rPr>
                <w:sz w:val="18"/>
                <w:szCs w:val="18"/>
                <w:color w:val="auto"/>
              </w:rPr>
            </w:pPr>
          </w:p>
        </w:tc>
        <w:tc>
          <w:tcPr>
            <w:tcW w:w="40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47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44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40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206,141</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199,051</w:t>
            </w:r>
          </w:p>
        </w:tc>
      </w:tr>
      <w:tr>
        <w:trPr>
          <w:trHeight w:val="215"/>
        </w:trPr>
        <w:tc>
          <w:tcPr>
            <w:tcW w:w="474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40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90,097</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94,046</w:t>
            </w:r>
          </w:p>
        </w:tc>
      </w:tr>
      <w:tr>
        <w:trPr>
          <w:trHeight w:val="21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40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152,706</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159,245</w:t>
            </w:r>
          </w:p>
        </w:tc>
      </w:tr>
      <w:tr>
        <w:trPr>
          <w:trHeight w:val="21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40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54,682</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49,175</w:t>
            </w:r>
          </w:p>
        </w:tc>
      </w:tr>
      <w:tr>
        <w:trPr>
          <w:trHeight w:val="235"/>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503,626</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501,517</w:t>
            </w:r>
          </w:p>
        </w:tc>
      </w:tr>
      <w:tr>
        <w:trPr>
          <w:trHeight w:val="20"/>
        </w:trPr>
        <w:tc>
          <w:tcPr>
            <w:tcW w:w="4740" w:type="dxa"/>
            <w:vAlign w:val="bottom"/>
            <w:tcBorders>
              <w:top w:val="single" w:sz="8" w:color="CCEEFF"/>
              <w:bottom w:val="single" w:sz="8" w:color="auto"/>
            </w:tcBorders>
          </w:tcPr>
          <w:p>
            <w:pPr>
              <w:spacing w:after="0" w:line="20" w:lineRule="exact"/>
              <w:rPr>
                <w:sz w:val="1"/>
                <w:szCs w:val="1"/>
                <w:color w:val="auto"/>
              </w:rPr>
            </w:pPr>
          </w:p>
        </w:tc>
        <w:tc>
          <w:tcPr>
            <w:tcW w:w="40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Subsequent events</w:t>
      </w:r>
    </w:p>
    <w:p>
      <w:pPr>
        <w:spacing w:after="0" w:line="24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has evaluated subsequent events from the balance sheet date through to the date at which the financial statements were available to be issued. The Company has determined that there are no items to disclose.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ICON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2023. The consolidated financial statements have been prepared in accordance with accounting principles generally accepted in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are a CRO providing outsourced development services on a global basis to pharmaceutical, biotechnology, medical device and government and public health organizations.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 service” solution. At June 30, 2024, we employed approximately 41,100 employees in 97 locations in 55 countries. During the three months ended June 30, 2024 we derived 37.4%, 51.3% and 11.3% of our revenue in the United States, Europe and Rest of World respectively (during the period ended June 30, 2023: 42.0%, 47.9% and 10.1% respectively).</w:t>
      </w:r>
    </w:p>
    <w:p>
      <w:pPr>
        <w:spacing w:after="0" w:line="19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0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1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 xml:space="preserve">Our unsatisfied performance obligation comprises our assessment of contracted revenue yet to be earned from projects awarded by clients. At June 30, 2024 we had unsatisfied performance obligations of approximately $15.8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4 - Accounts receivable, unbilled revenue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unearned revenue or payments on account (contract liabilities) </w:t>
      </w:r>
      <w:r>
        <w:rPr>
          <w:rFonts w:ascii="Arial" w:cs="Arial" w:eastAsia="Arial" w:hAnsi="Arial"/>
          <w:sz w:val="16"/>
          <w:szCs w:val="16"/>
          <w:color w:val="auto"/>
        </w:rPr>
        <w:t>for further details). We believe that our unsatisfied performance obligations as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205"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jc w:val="both"/>
        <w:ind w:firstLine="648"/>
        <w:spacing w:after="0" w:line="259" w:lineRule="auto"/>
        <w:rPr>
          <w:sz w:val="20"/>
          <w:szCs w:val="20"/>
          <w:color w:val="auto"/>
        </w:rPr>
      </w:pPr>
      <w:r>
        <w:rPr>
          <w:rFonts w:ascii="Arial" w:cs="Arial" w:eastAsia="Arial" w:hAnsi="Arial"/>
          <w:sz w:val="16"/>
          <w:szCs w:val="16"/>
          <w:color w:val="auto"/>
        </w:rPr>
        <w:t>In addition to translation exposures, we are also subject to transaction exposures where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Results</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following tables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June 30, 2024</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60" w:type="dxa"/>
            <w:vAlign w:val="bottom"/>
            <w:shd w:val="clear" w:color="auto" w:fill="CCEEFF"/>
          </w:tcPr>
          <w:p>
            <w:pPr>
              <w:spacing w:after="0"/>
              <w:rPr>
                <w:sz w:val="16"/>
                <w:szCs w:val="16"/>
                <w:color w:val="auto"/>
              </w:rPr>
            </w:pPr>
          </w:p>
        </w:tc>
        <w:tc>
          <w:tcPr>
            <w:tcW w:w="2460" w:type="dxa"/>
            <w:vAlign w:val="bottom"/>
            <w:shd w:val="clear" w:color="auto" w:fill="CCEEFF"/>
          </w:tcPr>
          <w:p>
            <w:pPr>
              <w:jc w:val="center"/>
              <w:ind w:left="539"/>
              <w:spacing w:after="0"/>
              <w:rPr>
                <w:sz w:val="20"/>
                <w:szCs w:val="20"/>
                <w:color w:val="auto"/>
              </w:rPr>
            </w:pPr>
            <w:r>
              <w:rPr>
                <w:rFonts w:ascii="Arial" w:cs="Arial" w:eastAsia="Arial" w:hAnsi="Arial"/>
                <w:sz w:val="16"/>
                <w:szCs w:val="16"/>
                <w:b w:val="1"/>
                <w:bCs w:val="1"/>
                <w:color w:val="auto"/>
              </w:rPr>
              <w:t>Three Months Ended</w:t>
            </w:r>
          </w:p>
        </w:tc>
        <w:tc>
          <w:tcPr>
            <w:tcW w:w="8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6"/>
        </w:trPr>
        <w:tc>
          <w:tcPr>
            <w:tcW w:w="6560" w:type="dxa"/>
            <w:vAlign w:val="bottom"/>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r>
      <w:tr>
        <w:trPr>
          <w:trHeight w:val="209"/>
        </w:trPr>
        <w:tc>
          <w:tcPr>
            <w:tcW w:w="65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2024</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 to 2024</w:t>
            </w:r>
          </w:p>
        </w:tc>
      </w:tr>
      <w:tr>
        <w:trPr>
          <w:trHeight w:val="156"/>
        </w:trPr>
        <w:tc>
          <w:tcPr>
            <w:tcW w:w="6560" w:type="dxa"/>
            <w:vAlign w:val="bottom"/>
            <w:shd w:val="clear" w:color="auto" w:fill="CCEEFF"/>
          </w:tcPr>
          <w:p>
            <w:pPr>
              <w:spacing w:after="0"/>
              <w:rPr>
                <w:sz w:val="13"/>
                <w:szCs w:val="13"/>
                <w:color w:val="auto"/>
              </w:rPr>
            </w:pPr>
          </w:p>
        </w:tc>
        <w:tc>
          <w:tcPr>
            <w:tcW w:w="2460" w:type="dxa"/>
            <w:vAlign w:val="bottom"/>
            <w:shd w:val="clear" w:color="auto" w:fill="CCEEFF"/>
          </w:tcPr>
          <w:p>
            <w:pPr>
              <w:jc w:val="center"/>
              <w:ind w:left="559"/>
              <w:spacing w:after="0" w:line="155" w:lineRule="exact"/>
              <w:rPr>
                <w:sz w:val="20"/>
                <w:szCs w:val="20"/>
                <w:color w:val="auto"/>
              </w:rPr>
            </w:pPr>
            <w:r>
              <w:rPr>
                <w:rFonts w:ascii="Arial" w:cs="Arial" w:eastAsia="Arial" w:hAnsi="Arial"/>
                <w:sz w:val="16"/>
                <w:szCs w:val="16"/>
                <w:b w:val="1"/>
                <w:bCs w:val="1"/>
                <w:color w:val="auto"/>
              </w:rPr>
              <w:t>Percentage of Revenue</w:t>
            </w:r>
          </w:p>
        </w:tc>
        <w:tc>
          <w:tcPr>
            <w:tcW w:w="800" w:type="dxa"/>
            <w:vAlign w:val="bottom"/>
            <w:shd w:val="clear" w:color="auto" w:fill="CCEEFF"/>
          </w:tcPr>
          <w:p>
            <w:pPr>
              <w:spacing w:after="0"/>
              <w:rPr>
                <w:sz w:val="13"/>
                <w:szCs w:val="13"/>
                <w:color w:val="auto"/>
              </w:rPr>
            </w:pPr>
          </w:p>
        </w:tc>
        <w:tc>
          <w:tcPr>
            <w:tcW w:w="1420" w:type="dxa"/>
            <w:vAlign w:val="bottom"/>
            <w:shd w:val="clear" w:color="auto" w:fill="CCEEFF"/>
          </w:tcPr>
          <w:p>
            <w:pPr>
              <w:jc w:val="center"/>
              <w:ind w:right="79"/>
              <w:spacing w:after="0" w:line="155" w:lineRule="exact"/>
              <w:rPr>
                <w:sz w:val="20"/>
                <w:szCs w:val="20"/>
                <w:color w:val="auto"/>
              </w:rPr>
            </w:pPr>
            <w:r>
              <w:rPr>
                <w:rFonts w:ascii="Arial" w:cs="Arial" w:eastAsia="Arial" w:hAnsi="Arial"/>
                <w:sz w:val="16"/>
                <w:szCs w:val="16"/>
                <w:b w:val="1"/>
                <w:bCs w:val="1"/>
                <w:color w:val="auto"/>
                <w:w w:val="99"/>
              </w:rPr>
              <w:t>Percentage</w:t>
            </w:r>
          </w:p>
        </w:tc>
      </w:tr>
      <w:tr>
        <w:trPr>
          <w:trHeight w:val="162"/>
        </w:trPr>
        <w:tc>
          <w:tcPr>
            <w:tcW w:w="656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right="39"/>
              <w:spacing w:after="0" w:line="162" w:lineRule="exact"/>
              <w:rPr>
                <w:sz w:val="20"/>
                <w:szCs w:val="20"/>
                <w:color w:val="auto"/>
              </w:rPr>
            </w:pPr>
            <w:r>
              <w:rPr>
                <w:rFonts w:ascii="Arial" w:cs="Arial" w:eastAsia="Arial" w:hAnsi="Arial"/>
                <w:sz w:val="16"/>
                <w:szCs w:val="16"/>
                <w:b w:val="1"/>
                <w:bCs w:val="1"/>
                <w:color w:val="auto"/>
              </w:rPr>
              <w:t>Increase/</w:t>
            </w:r>
          </w:p>
        </w:tc>
      </w:tr>
      <w:tr>
        <w:trPr>
          <w:trHeight w:val="216"/>
        </w:trPr>
        <w:tc>
          <w:tcPr>
            <w:tcW w:w="65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79"/>
              <w:spacing w:after="0"/>
              <w:rPr>
                <w:sz w:val="20"/>
                <w:szCs w:val="20"/>
                <w:color w:val="auto"/>
              </w:rPr>
            </w:pPr>
            <w:r>
              <w:rPr>
                <w:rFonts w:ascii="Arial" w:cs="Arial" w:eastAsia="Arial" w:hAnsi="Arial"/>
                <w:sz w:val="16"/>
                <w:szCs w:val="16"/>
                <w:b w:val="1"/>
                <w:bCs w:val="1"/>
                <w:color w:val="auto"/>
              </w:rPr>
              <w:t>(Decrease)</w:t>
            </w: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Revenue</w:t>
            </w:r>
          </w:p>
        </w:tc>
        <w:tc>
          <w:tcPr>
            <w:tcW w:w="2460" w:type="dxa"/>
            <w:vAlign w:val="bottom"/>
          </w:tcPr>
          <w:p>
            <w:pPr>
              <w:jc w:val="right"/>
              <w:ind w:right="839"/>
              <w:spacing w:after="0"/>
              <w:rPr>
                <w:sz w:val="20"/>
                <w:szCs w:val="20"/>
                <w:color w:val="auto"/>
              </w:rPr>
            </w:pPr>
            <w:r>
              <w:rPr>
                <w:rFonts w:ascii="Arial" w:cs="Arial" w:eastAsia="Arial" w:hAnsi="Arial"/>
                <w:sz w:val="16"/>
                <w:szCs w:val="16"/>
                <w:color w:val="auto"/>
              </w:rPr>
              <w:t>100.0 %</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100.0 %</w:t>
            </w:r>
          </w:p>
        </w:tc>
        <w:tc>
          <w:tcPr>
            <w:tcW w:w="1420" w:type="dxa"/>
            <w:vAlign w:val="bottom"/>
          </w:tcPr>
          <w:p>
            <w:pPr>
              <w:jc w:val="right"/>
              <w:spacing w:after="0"/>
              <w:rPr>
                <w:sz w:val="20"/>
                <w:szCs w:val="20"/>
                <w:color w:val="auto"/>
              </w:rPr>
            </w:pPr>
            <w:r>
              <w:rPr>
                <w:rFonts w:ascii="Arial" w:cs="Arial" w:eastAsia="Arial" w:hAnsi="Arial"/>
                <w:sz w:val="16"/>
                <w:szCs w:val="16"/>
                <w:color w:val="auto"/>
              </w:rPr>
              <w:t>4.9 %</w:t>
            </w:r>
          </w:p>
        </w:tc>
      </w:tr>
      <w:tr>
        <w:trPr>
          <w:trHeight w:val="271"/>
        </w:trPr>
        <w:tc>
          <w:tcPr>
            <w:tcW w:w="656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7"/>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 costs</w:t>
            </w:r>
          </w:p>
        </w:tc>
        <w:tc>
          <w:tcPr>
            <w:tcW w:w="246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70.4 %</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70.8 %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Selling, general and administrative</w:t>
            </w:r>
          </w:p>
        </w:tc>
        <w:tc>
          <w:tcPr>
            <w:tcW w:w="2460" w:type="dxa"/>
            <w:vAlign w:val="bottom"/>
          </w:tcPr>
          <w:p>
            <w:pPr>
              <w:jc w:val="right"/>
              <w:ind w:right="839"/>
              <w:spacing w:after="0"/>
              <w:rPr>
                <w:sz w:val="20"/>
                <w:szCs w:val="20"/>
                <w:color w:val="auto"/>
              </w:rPr>
            </w:pPr>
            <w:r>
              <w:rPr>
                <w:rFonts w:ascii="Arial" w:cs="Arial" w:eastAsia="Arial" w:hAnsi="Arial"/>
                <w:sz w:val="16"/>
                <w:szCs w:val="16"/>
                <w:color w:val="auto"/>
              </w:rPr>
              <w:t>9.2 %</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9.2 %</w:t>
            </w:r>
          </w:p>
        </w:tc>
        <w:tc>
          <w:tcPr>
            <w:tcW w:w="142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217"/>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w:t>
            </w:r>
          </w:p>
        </w:tc>
        <w:tc>
          <w:tcPr>
            <w:tcW w:w="246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1.6 %</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15"/>
        </w:trPr>
        <w:tc>
          <w:tcPr>
            <w:tcW w:w="656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2460" w:type="dxa"/>
            <w:vAlign w:val="bottom"/>
          </w:tcPr>
          <w:p>
            <w:pPr>
              <w:jc w:val="right"/>
              <w:ind w:right="839"/>
              <w:spacing w:after="0"/>
              <w:rPr>
                <w:sz w:val="20"/>
                <w:szCs w:val="20"/>
                <w:color w:val="auto"/>
              </w:rPr>
            </w:pPr>
            <w:r>
              <w:rPr>
                <w:rFonts w:ascii="Arial" w:cs="Arial" w:eastAsia="Arial" w:hAnsi="Arial"/>
                <w:sz w:val="16"/>
                <w:szCs w:val="16"/>
                <w:color w:val="auto"/>
              </w:rPr>
              <w:t>5.5 %</w:t>
            </w:r>
          </w:p>
        </w:tc>
        <w:tc>
          <w:tcPr>
            <w:tcW w:w="800" w:type="dxa"/>
            <w:vAlign w:val="bottom"/>
          </w:tcPr>
          <w:p>
            <w:pPr>
              <w:jc w:val="right"/>
              <w:ind w:right="99"/>
              <w:spacing w:after="0"/>
              <w:rPr>
                <w:sz w:val="20"/>
                <w:szCs w:val="20"/>
                <w:color w:val="auto"/>
              </w:rPr>
            </w:pPr>
            <w:r>
              <w:rPr>
                <w:rFonts w:ascii="Arial" w:cs="Arial" w:eastAsia="Arial" w:hAnsi="Arial"/>
                <w:sz w:val="16"/>
                <w:szCs w:val="16"/>
                <w:color w:val="auto"/>
              </w:rPr>
              <w:t>5.7 %</w:t>
            </w:r>
          </w:p>
        </w:tc>
        <w:tc>
          <w:tcPr>
            <w:tcW w:w="142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7"/>
        </w:trPr>
        <w:tc>
          <w:tcPr>
            <w:tcW w:w="6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Transaction and integration related</w:t>
            </w:r>
          </w:p>
        </w:tc>
        <w:tc>
          <w:tcPr>
            <w:tcW w:w="246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0.3 %</w:t>
            </w:r>
          </w:p>
        </w:tc>
        <w:tc>
          <w:tcPr>
            <w:tcW w:w="8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15"/>
        </w:trPr>
        <w:tc>
          <w:tcPr>
            <w:tcW w:w="65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Restructuring</w:t>
            </w:r>
          </w:p>
        </w:tc>
        <w:tc>
          <w:tcPr>
            <w:tcW w:w="24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2.2 %</w:t>
            </w: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1.8 %</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28.4 %</w:t>
            </w:r>
          </w:p>
        </w:tc>
      </w:tr>
      <w:tr>
        <w:trPr>
          <w:trHeight w:val="235"/>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46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10.8 %</w:t>
            </w:r>
          </w:p>
        </w:tc>
        <w:tc>
          <w:tcPr>
            <w:tcW w:w="8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10.4 %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0"/>
        </w:trPr>
        <w:tc>
          <w:tcPr>
            <w:tcW w:w="656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Six Months Ended June 30, 2024</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5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2023 to 2024</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80" w:type="dxa"/>
            <w:vAlign w:val="bottom"/>
            <w:gridSpan w:val="2"/>
            <w:shd w:val="clear" w:color="auto" w:fill="CCEEFF"/>
          </w:tcPr>
          <w:p>
            <w:pPr>
              <w:jc w:val="center"/>
              <w:spacing w:after="0" w:line="155" w:lineRule="exact"/>
              <w:rPr>
                <w:sz w:val="20"/>
                <w:szCs w:val="20"/>
                <w:color w:val="auto"/>
              </w:rPr>
            </w:pPr>
            <w:r>
              <w:rPr>
                <w:rFonts w:ascii="Arial" w:cs="Arial" w:eastAsia="Arial" w:hAnsi="Arial"/>
                <w:sz w:val="16"/>
                <w:szCs w:val="16"/>
                <w:b w:val="1"/>
                <w:bCs w:val="1"/>
                <w:color w:val="auto"/>
              </w:rPr>
              <w:t>Percentage of Revenue</w:t>
            </w:r>
          </w:p>
        </w:tc>
        <w:tc>
          <w:tcPr>
            <w:tcW w:w="10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center"/>
              <w:ind w:right="360"/>
              <w:spacing w:after="0" w:line="155" w:lineRule="exact"/>
              <w:rPr>
                <w:sz w:val="20"/>
                <w:szCs w:val="20"/>
                <w:color w:val="auto"/>
              </w:rPr>
            </w:pPr>
            <w:r>
              <w:rPr>
                <w:rFonts w:ascii="Arial" w:cs="Arial" w:eastAsia="Arial" w:hAnsi="Arial"/>
                <w:sz w:val="16"/>
                <w:szCs w:val="16"/>
                <w:b w:val="1"/>
                <w:bCs w:val="1"/>
                <w:color w:val="auto"/>
                <w:w w:val="99"/>
              </w:rPr>
              <w:t>Percentage</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320"/>
              <w:spacing w:after="0" w:line="162"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Revenue</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100.0 %</w:t>
            </w:r>
          </w:p>
        </w:tc>
        <w:tc>
          <w:tcPr>
            <w:tcW w:w="8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100.0 %</w:t>
            </w:r>
          </w:p>
        </w:tc>
        <w:tc>
          <w:tcPr>
            <w:tcW w:w="1200" w:type="dxa"/>
            <w:vAlign w:val="bottom"/>
          </w:tcPr>
          <w:p>
            <w:pPr>
              <w:jc w:val="right"/>
              <w:spacing w:after="0"/>
              <w:rPr>
                <w:sz w:val="20"/>
                <w:szCs w:val="20"/>
                <w:color w:val="auto"/>
              </w:rPr>
            </w:pPr>
            <w:r>
              <w:rPr>
                <w:rFonts w:ascii="Arial" w:cs="Arial" w:eastAsia="Arial" w:hAnsi="Arial"/>
                <w:sz w:val="16"/>
                <w:szCs w:val="16"/>
                <w:color w:val="auto"/>
              </w:rPr>
              <w:t>5.3 %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shd w:val="clear" w:color="auto" w:fill="CCEEFF"/>
          </w:tcPr>
          <w:p>
            <w:pPr>
              <w:spacing w:after="0"/>
              <w:rPr>
                <w:sz w:val="23"/>
                <w:szCs w:val="23"/>
                <w:color w:val="auto"/>
              </w:rPr>
            </w:pPr>
          </w:p>
        </w:tc>
        <w:tc>
          <w:tcPr>
            <w:tcW w:w="52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Costs and expenses:</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Direct costs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70.4 %</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70.6 %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8.9 %</w:t>
            </w:r>
          </w:p>
        </w:tc>
        <w:tc>
          <w:tcPr>
            <w:tcW w:w="8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9.8 %</w:t>
            </w:r>
          </w:p>
        </w:tc>
        <w:tc>
          <w:tcPr>
            <w:tcW w:w="1200" w:type="dxa"/>
            <w:vAlign w:val="bottom"/>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1.6 %</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1.5 %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6"/>
                <w:szCs w:val="16"/>
                <w:color w:val="auto"/>
              </w:rPr>
              <w:t>Amortization</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5.5 %</w:t>
            </w:r>
          </w:p>
        </w:tc>
        <w:tc>
          <w:tcPr>
            <w:tcW w:w="82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5.7 %</w:t>
            </w:r>
          </w:p>
        </w:tc>
        <w:tc>
          <w:tcPr>
            <w:tcW w:w="1200" w:type="dxa"/>
            <w:vAlign w:val="bottom"/>
          </w:tcPr>
          <w:p>
            <w:pPr>
              <w:jc w:val="right"/>
              <w:spacing w:after="0"/>
              <w:rPr>
                <w:sz w:val="20"/>
                <w:szCs w:val="20"/>
                <w:color w:val="auto"/>
              </w:rPr>
            </w:pPr>
            <w:r>
              <w:rPr>
                <w:rFonts w:ascii="Arial" w:cs="Arial" w:eastAsia="Arial" w:hAnsi="Arial"/>
                <w:sz w:val="16"/>
                <w:szCs w:val="16"/>
                <w:color w:val="auto"/>
              </w:rPr>
              <w:t>1.6 %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and integration related</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0.3 %</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0.6 %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auto"/>
            </w:tcBorders>
          </w:tcPr>
          <w:p>
            <w:pPr>
              <w:spacing w:after="0"/>
              <w:rPr>
                <w:sz w:val="18"/>
                <w:szCs w:val="18"/>
                <w:color w:val="auto"/>
              </w:rPr>
            </w:pPr>
          </w:p>
        </w:tc>
        <w:tc>
          <w:tcPr>
            <w:tcW w:w="52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Restructuring</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1.1 %</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1.1 %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12.2 %</w:t>
            </w:r>
          </w:p>
        </w:tc>
        <w:tc>
          <w:tcPr>
            <w:tcW w:w="8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10.7 %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5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2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Revenue</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4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540" w:type="dxa"/>
            <w:vAlign w:val="bottom"/>
            <w:gridSpan w:val="3"/>
            <w:shd w:val="clear" w:color="auto" w:fill="CCEEFF"/>
          </w:tcPr>
          <w:p>
            <w:pPr>
              <w:ind w:left="280"/>
              <w:spacing w:after="0" w:line="162" w:lineRule="exact"/>
              <w:rPr>
                <w:sz w:val="20"/>
                <w:szCs w:val="20"/>
                <w:color w:val="auto"/>
              </w:rPr>
            </w:pPr>
            <w:r>
              <w:rPr>
                <w:rFonts w:ascii="Arial" w:cs="Arial" w:eastAsia="Arial" w:hAnsi="Arial"/>
                <w:sz w:val="16"/>
                <w:szCs w:val="16"/>
                <w:b w:val="1"/>
                <w:bCs w:val="1"/>
                <w:color w:val="auto"/>
              </w:rPr>
              <w:t>Three Months Ended</w:t>
            </w:r>
          </w:p>
        </w:tc>
        <w:tc>
          <w:tcPr>
            <w:tcW w:w="8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Change</w:t>
            </w:r>
          </w:p>
        </w:tc>
        <w:tc>
          <w:tcPr>
            <w:tcW w:w="12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2,120,159 $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2,020,251</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99,908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Revenue for the three months ended June 30, 2024 increased by $99.9 million, or 4.9%, to $2,120.2 million, compared to $2,020.3 million for the three months ended June 30, 2023. Revenue increased by 5.3% in constant currency terms. The increase in revenue for the three months ended June 30, 2024 is due to continued organic growth across the Company's markets.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During the three months ended June 30, 2024, we derived 37.4%, 51.3% and 11.3% of our revenue in the United States, Europe and Rest of World respectively. Revenues from our top five customers amounted to $523.5 million in the three months ended June 30, 2024, compared to $529.8 million for the three months ended June 30, 2023 or 24.7% and 26.2% respectively. New customer accounts are continually added across the full portfolio of large pharma customers, mid-tier pharma customers and biotech customers.</w:t>
      </w:r>
    </w:p>
    <w:p>
      <w:pPr>
        <w:spacing w:after="0" w:line="20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Revenue in Ireland increased by $109.5 million for the three months ended June 30, 2024, to $702.9 million, compared to $593.4 million for the three months ended June 30, 2023. Revenue in Ireland during the period ended June 30, 2024 increased by 18.4% compared to an overall increase in Group revenue of 4.9%. Revenue in Ireland is principally a function of our global contracting model.</w:t>
      </w:r>
    </w:p>
    <w:p>
      <w:pPr>
        <w:spacing w:after="0" w:line="2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Revenue in our Rest of Europe region increased by $10.4 million or 2.8%, to $384.2 million, compared to $373.8 million for the three months ended June 30, 2023. Revenue in the U.S. region decreased by $55.6 million or 6.6%, to $792.4 million, compared to $848.0 million for the three months ended June 30, 2023. Revenue in the Rest of World ('Other') region increased by $35.7 million or 17.4%, to $240.7 million, compared to $205.0 million for the three months ended June 30,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520" w:type="dxa"/>
            <w:vAlign w:val="bottom"/>
            <w:gridSpan w:val="2"/>
            <w:shd w:val="clear" w:color="auto" w:fill="CCEEFF"/>
          </w:tcPr>
          <w:p>
            <w:pPr>
              <w:jc w:val="center"/>
              <w:ind w:right="319"/>
              <w:spacing w:after="0"/>
              <w:rPr>
                <w:sz w:val="20"/>
                <w:szCs w:val="20"/>
                <w:color w:val="auto"/>
              </w:rPr>
            </w:pPr>
            <w:r>
              <w:rPr>
                <w:rFonts w:ascii="Arial" w:cs="Arial" w:eastAsia="Arial" w:hAnsi="Arial"/>
                <w:sz w:val="16"/>
                <w:szCs w:val="16"/>
                <w:b w:val="1"/>
                <w:bCs w:val="1"/>
                <w:color w:val="auto"/>
              </w:rPr>
              <w:t>Six Months Ended</w:t>
            </w:r>
          </w:p>
        </w:tc>
        <w:tc>
          <w:tcPr>
            <w:tcW w:w="460" w:type="dxa"/>
            <w:vAlign w:val="bottom"/>
            <w:shd w:val="clear" w:color="auto" w:fill="CCEEFF"/>
          </w:tcPr>
          <w:p>
            <w:pPr>
              <w:spacing w:after="0"/>
              <w:rPr>
                <w:sz w:val="16"/>
                <w:szCs w:val="16"/>
                <w:color w:val="auto"/>
              </w:rPr>
            </w:pPr>
          </w:p>
        </w:tc>
        <w:tc>
          <w:tcPr>
            <w:tcW w:w="176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center"/>
              <w:ind w:left="479"/>
              <w:spacing w:after="0"/>
              <w:rPr>
                <w:sz w:val="20"/>
                <w:szCs w:val="20"/>
                <w:color w:val="auto"/>
              </w:rPr>
            </w:pPr>
            <w:r>
              <w:rPr>
                <w:rFonts w:ascii="Arial" w:cs="Arial" w:eastAsia="Arial" w:hAnsi="Arial"/>
                <w:sz w:val="16"/>
                <w:szCs w:val="16"/>
                <w:b w:val="1"/>
                <w:bCs w:val="1"/>
                <w:color w:val="auto"/>
                <w:w w:val="99"/>
              </w:rPr>
              <w:t>June 30,</w:t>
            </w:r>
          </w:p>
        </w:tc>
        <w:tc>
          <w:tcPr>
            <w:tcW w:w="9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4,210,545 $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3,998,829</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211,716</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Revenue for the six months ended June 30, 2024 increased by $211.7 million, or 5.3%, to $4,210.5 million, compared to $3,998.8 million for the six months ended June 30, 2023. Revenue increased by 5.4% in constant currency terms. The increase in revenue for the six months ended June 30, 2024 is due to continued organic growth across the Company's markets.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jc w:val="both"/>
        <w:ind w:firstLine="648"/>
        <w:spacing w:after="0" w:line="261" w:lineRule="auto"/>
        <w:rPr>
          <w:sz w:val="20"/>
          <w:szCs w:val="20"/>
          <w:color w:val="auto"/>
        </w:rPr>
      </w:pPr>
      <w:r>
        <w:rPr>
          <w:rFonts w:ascii="Arial" w:cs="Arial" w:eastAsia="Arial" w:hAnsi="Arial"/>
          <w:sz w:val="16"/>
          <w:szCs w:val="16"/>
          <w:color w:val="auto"/>
        </w:rPr>
        <w:t>During the six months ended June 30, 2024 we derived approximately 38.0%, 50.6% and 11.4% of our revenue in the United States, Europe and Rest of World, respectively. During the six months ended June 30, 2024, $1,067.5 million or 25.4% of our revenues were derived from our top 5 customers (six months ended June 30, 2023: $1,092.2 million or 27.3%), $1,695.9 million or 40.3% of our revenues were derived from our top 10 customers (six months ended June 30, 2023: $1,656.1 million or 41.4%) and $2,582.1 million or 61.3% of our revenues were derived from our top 25 customers (six months ended June 30, 2023: $2,485.2 million or 62.1%). New customer accounts are continually added across the full portfolio of large pharma customers, mid-tier pharma customers and biotech customers.</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Revenue in Ireland for the six months ended June 30, 2024 increased to $1,355.5 million compared to $1,105.2 million for the six months ended June 30, 2023. Revenue in Ireland is principally a function of the Company’s global transfer pricing model (see </w:t>
      </w:r>
      <w:r>
        <w:rPr>
          <w:rFonts w:ascii="Arial" w:cs="Arial" w:eastAsia="Arial" w:hAnsi="Arial"/>
          <w:sz w:val="16"/>
          <w:szCs w:val="16"/>
          <w:i w:val="1"/>
          <w:iCs w:val="1"/>
          <w:color w:val="auto"/>
        </w:rPr>
        <w:t>note 16 - Business segment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geographical information </w:t>
      </w:r>
      <w:r>
        <w:rPr>
          <w:rFonts w:ascii="Arial" w:cs="Arial" w:eastAsia="Arial" w:hAnsi="Arial"/>
          <w:sz w:val="16"/>
          <w:szCs w:val="16"/>
          <w:color w:val="auto"/>
        </w:rPr>
        <w:t>for further details). Revenue in our Rest of Europe region decreased to $774.4 million compared to $788.0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2023. Revenue in the Rest of World region increased to $478.7 million compared to $413.1 million for the six months ended June 30, 2023. Revenue in the U.S. region decreased to $1,601.9 million compared to $1,692.4 million for the six months ended June 30, 2023.</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120" w:type="dxa"/>
            <w:vAlign w:val="bottom"/>
            <w:gridSpan w:val="4"/>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6"/>
        </w:trPr>
        <w:tc>
          <w:tcPr>
            <w:tcW w:w="2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10"/>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1,493,600</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1,429,540</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64,060</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2,964,967</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2,825,086</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139,881</w:t>
            </w:r>
          </w:p>
        </w:tc>
      </w:tr>
      <w:tr>
        <w:trPr>
          <w:trHeight w:val="215"/>
        </w:trPr>
        <w:tc>
          <w:tcPr>
            <w:tcW w:w="21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70.4 %</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70.8 %</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70.4 %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70.6 %</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5.0 %</w:t>
            </w:r>
          </w:p>
        </w:tc>
      </w:tr>
    </w:tbl>
    <w:p>
      <w:pPr>
        <w:spacing w:after="0" w:line="31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Direct costs for the three months ended June 30, 2024 increased by $64.1 million, or 4.5%, to $1,493.6 million compared to $1,429.5 million for the three months ended June 30, 2023. Direct costs consist primarily of investigator and other reimbursable costs, compensation, associated fringe benefits and share based compensation expense for project-related employees and other direct project driven costs. The increase in direct costs arose due to an increase in personnel related costs, third party investigator/other reimbursable costs and other direct project driven costs. As a percentage of revenue, direct costs have decreased to 70.4% of revenue during the three months ended June 30, 2024 compared to 70.8% for the three months ended June 30, 2023.</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Direct costs for the six months ended June 30, 2024 increased by $139.9 million, or 5.0%, to $2,965.0 million compared to $2,825.1 million for the six months ended June 30, 2023. The increase in direct costs arose due to an increase in personnel related costs, third party investigator/other reimbursable costs, laboratories, and other direct project driven costs. As a percentage of revenue, direct costs have decreased to 70.4% compared to 70.6% for the six months ended June 30, 2023.</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60" w:type="dxa"/>
            <w:vAlign w:val="bottom"/>
            <w:gridSpan w:val="4"/>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Selling, general and</w:t>
            </w:r>
          </w:p>
        </w:tc>
        <w:tc>
          <w:tcPr>
            <w:tcW w:w="40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194,458</w:t>
            </w: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187,806</w:t>
            </w:r>
          </w:p>
        </w:tc>
        <w:tc>
          <w:tcPr>
            <w:tcW w:w="48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6,652</w:t>
            </w: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371,808</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387,812</w:t>
            </w:r>
          </w:p>
        </w:tc>
        <w:tc>
          <w:tcPr>
            <w:tcW w:w="42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(16,004)</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administrative</w:t>
            </w:r>
          </w:p>
        </w:tc>
        <w:tc>
          <w:tcPr>
            <w:tcW w:w="4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9.2 %</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9.2 %</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3.5 %</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9.8 %</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Selling, general and administrative expenses for the three months ended June 30, 2024 increased by $6.7 million, or 3.5%, to $194.5 million, compared to $187.8 million for the three months ended June 30, 2023. Selling, general and administrative expenses comprise primarily of compensation, related fringe benefits and routine share based compensation expense for non-project-related employees, recruitment expenditure, professional service costs, advertising costs and all costs related to facilities and information systems. As a percentage of revenue, selling, general and administrative expenses was 9.2% during the three months ended June 30, 2024, in line with 9.2% of revenue for the three months ended June 30, 2023. The movement in selling, general and administrative expenses primarily relates to an increase in facilities costs, foreign exchange movements, marketing costs and general overhead costs, offset by decreases in professional costs and personnel costs.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ind w:firstLine="648"/>
        <w:spacing w:after="0" w:line="265" w:lineRule="auto"/>
        <w:rPr>
          <w:sz w:val="20"/>
          <w:szCs w:val="20"/>
          <w:color w:val="auto"/>
        </w:rPr>
      </w:pPr>
      <w:r>
        <w:rPr>
          <w:rFonts w:ascii="Arial" w:cs="Arial" w:eastAsia="Arial" w:hAnsi="Arial"/>
          <w:sz w:val="16"/>
          <w:szCs w:val="16"/>
          <w:color w:val="auto"/>
        </w:rPr>
        <w:t>Selling, general and administrative expenses for the six months ended June 30, 2024 decreased by $16.0 million, or 4.1%, to $371.8 million compared to $387.8 million for the six months ended June 30, 2023. As a percentage of revenue, selling, general and administrative expenses have decreased to 8.9% compared to 9.8% for the six months ended June 30, 2023. The movement in selling, general and administrative expenses primarily relates to an increase in facilities costs, marketing costs and professional costs offset by decreases in personnel costs, general overheads costs and foreign exchange movements.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60" w:type="dxa"/>
            <w:vAlign w:val="bottom"/>
            <w:gridSpan w:val="4"/>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16"/>
        </w:trPr>
        <w:tc>
          <w:tcPr>
            <w:tcW w:w="22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r>
      <w:tr>
        <w:trPr>
          <w:trHeight w:val="210"/>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33,146</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30,442</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2,704</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65,829</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60,890</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4,939</w:t>
            </w:r>
          </w:p>
        </w:tc>
      </w:tr>
      <w:tr>
        <w:trPr>
          <w:trHeight w:val="215"/>
        </w:trPr>
        <w:tc>
          <w:tcPr>
            <w:tcW w:w="22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1.5 %</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8.9 %</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1.6 %</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1.5 %</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217"/>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116,489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114,617</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1,872</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232,987</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229,295</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3,692</w:t>
            </w:r>
          </w:p>
        </w:tc>
      </w:tr>
      <w:tr>
        <w:trPr>
          <w:trHeight w:val="215"/>
        </w:trPr>
        <w:tc>
          <w:tcPr>
            <w:tcW w:w="22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5.7 %</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1.6 %</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5.5 %</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5.7 %</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1.6 %</w:t>
            </w:r>
          </w:p>
        </w:tc>
      </w:tr>
    </w:tbl>
    <w:p>
      <w:pPr>
        <w:spacing w:after="0" w:line="3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depreciation expense for the three months ended June 30, 2024 increased by $2.7 million, or 8.9%, to $33.1 million compared to $30.4 million for the three months ended June 30, 2023. The depreciation charge reflects investments in facilities, information systems and equipment supporting the Company’s continued growth. As a percentage of revenue, the depreciation expense increased to 1.6% of revenues, for the three months ended June 30, 2024 compared to 1.5% for the three months ended June 30, 2023. The depreciation expense for the six months ended June 30, 2024 increased by $4.9 million, or 8.1%, to $65.8 million compared to $60.9 million for the six months ended June 30, 2023. As a percentage of revenue the depreciation expense was 1.6%, which increased from 1.5% for the six months ended June 30, 2023. The depreciation charge has increased mainly due to additional investment in technology assets.</w:t>
      </w:r>
    </w:p>
    <w:p>
      <w:pPr>
        <w:spacing w:after="0" w:line="2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Amortization expense for the three months ended June 30, 2024 increased by $1.9 million, or 1.6%, to $116.5 million compared to $114.6 million for the three months ended June 30, 2023. The amortization expense represents the amortization of intangible assets acquired in business combinations. As a percentage of revenue, the amortization expense decreased to 5.5% for the three months ended June 30, 2024, compared to 5.7% for the three months ended June 30, 2023. The amortization expense for the six months ended June 30, 2024 increased by $3.7 million, or 1.6%, to $233.0 million compared to $229.3 million for the six months ended June 30, 2023. As a percentage of revenue, the amortization expense was 5.5%, which decreased from 5.7% for the six months ended June 30, 2023.</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transaction and integration related expenses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980" w:type="dxa"/>
            <w:vAlign w:val="bottom"/>
            <w:gridSpan w:val="4"/>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2"/>
        </w:trPr>
        <w:tc>
          <w:tcPr>
            <w:tcW w:w="22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Transaction and integration</w:t>
            </w: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6,820</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12,701</w:t>
            </w:r>
          </w:p>
        </w:tc>
        <w:tc>
          <w:tcPr>
            <w:tcW w:w="46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(5,881)</w:t>
            </w:r>
          </w:p>
        </w:tc>
        <w:tc>
          <w:tcPr>
            <w:tcW w:w="46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13,811</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24,083</w:t>
            </w:r>
          </w:p>
        </w:tc>
        <w:tc>
          <w:tcPr>
            <w:tcW w:w="42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(10,272)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w:t>
            </w:r>
          </w:p>
        </w:tc>
        <w:tc>
          <w:tcPr>
            <w:tcW w:w="4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0.3 %</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0.6 %</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(46.3)%</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0.6 %</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1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45,789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35,661</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10,128</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45,789</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45,390</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5"/>
        </w:trPr>
        <w:tc>
          <w:tcPr>
            <w:tcW w:w="22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2.2 %</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1.8 %</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28.4 %</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1.1 %</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1.1 %</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During the three and six months ended June 30, 2024, the Company incurred $6.8 million and $13.8 million, respectively, for transaction and integration-related expenses. The charge includes costs associated with professional fees and integration activities.</w:t>
      </w:r>
    </w:p>
    <w:p>
      <w:pPr>
        <w:spacing w:after="0" w:line="19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During the three and six months ended June 30, 2024 the Company has undertaken a restructuring program aimed at realigning its workforce as well as reviewing its global office footprint and optimizing its locations to best fit the requirements of the Company. This program has resulted in a restructuring charge of $45.8 million. The restructuring plan reflected a workforce reduction of $31.7 million and an office consolidation program to optimize the Company's office footprint of $14.1 million.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Three Months Ended</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16"/>
        </w:trPr>
        <w:tc>
          <w:tcPr>
            <w:tcW w:w="65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r>
      <w:tr>
        <w:trPr>
          <w:trHeight w:val="20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6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229,857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209,484</w:t>
            </w: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20,373</w:t>
            </w: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10.8 %</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10.4 %</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9.7 %</w:t>
            </w:r>
          </w:p>
        </w:tc>
      </w:tr>
    </w:tbl>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operations increased by $20.4 million or 9.7% to $229.9 million compared to $209.5 million for the three months ended June 30, 2023.</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 income from operations increased to 10.8% compared to 10.4% of revenue for the three months ended June 30, 2023.</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operations in Ireland decreased to $108.4 million compared to $125.9 million for three months ended June 30, 2023.</w:t>
      </w:r>
    </w:p>
    <w:p>
      <w:pPr>
        <w:spacing w:after="0" w:line="26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In the Rest of Europe region, income from operations increased to $39.6 million compared to $22.5 million for the three months ended June 30, 2023. As a percentage of revenues, income from operations in the Rest of Europe region increased to 10.3% compared to 6.0% for the period ended June 30, 2023.</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the U.S. region, income from operations increased to $62.7 million compared to $55.7 million for the period ended June 30, 2023. As a percentage of revenues in the U.S. region, income from operations in the U.S. region increased to 7.9% compared to 6.6% for the period ended June 30, 2023.</w:t>
      </w:r>
    </w:p>
    <w:p>
      <w:pPr>
        <w:spacing w:after="0" w:line="3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other regions, income from operations increased to $19.2 million compared to $5.4 million for the period ended June 30, 2023. As percentage of revenue, income from operations in the other regions increased to 8.0% compared to 2.6% for the period ended June 30,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6"/>
        </w:trPr>
        <w:tc>
          <w:tcPr>
            <w:tcW w:w="65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1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Income from operations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515,354</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426,273</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89,081</w:t>
            </w: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12.2 %</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10.7 %</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20.9 %</w:t>
            </w:r>
          </w:p>
        </w:tc>
      </w:tr>
    </w:tbl>
    <w:p>
      <w:pPr>
        <w:spacing w:after="0" w:line="3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Income from operations for the six months ended June 30, 2024 increased by $89.1 million or 20.9% to $515.4 million compared to $426.3 million for the six months ended June 30, 2023. As a percentage of revenue, income from operations increased to 12.2% compared to 10.7% of revenue for the six months ended June 30, 2023.</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Income from operations in Ireland increased to $245.1 million compared to $177.2 million for the six months ended June 30, 2023. Income from operations in Ireland and other geographic regions are reflective of the Company’s global transfer pricing model.</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Rest of Europe region, income from operations increased to $93.1 million compared to $82.3 million for the six months ended June 30, 2023. As a percentage of revenues in the Rest of Europe region, income from operations in the Rest of Europe region increased to 12.0% compared to 10.4% for the six months ended June 30, 2023.</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U.S. region, income from operations decreased to $139.6 million compared to $143.8 million, for the six months ended June 30, 2023. As a percentage of revenues in the US region, income from operations in the U.S. region increased to 8.7% compared to 8.5% for the six months ended June 30, 2023.</w:t>
      </w:r>
    </w:p>
    <w:p>
      <w:pPr>
        <w:spacing w:after="0" w:line="15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other regions, income from operations increased to $37.5 million compared to $23.0 million for the six months ended June 30, 2023. As percentage of revenues in other regions, income from operations in other regions increased to 7.8% compared to 5.6% for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20" w:type="dxa"/>
            <w:vAlign w:val="bottom"/>
            <w:gridSpan w:val="3"/>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80" w:type="dxa"/>
            <w:vAlign w:val="bottom"/>
            <w:gridSpan w:val="3"/>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Six Months Ended</w:t>
            </w:r>
          </w:p>
        </w:tc>
        <w:tc>
          <w:tcPr>
            <w:tcW w:w="32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288</w:t>
            </w:r>
          </w:p>
        </w:tc>
        <w:tc>
          <w:tcPr>
            <w:tcW w:w="9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30.3 %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3,167</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1,146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56.7 %</w:t>
            </w:r>
          </w:p>
        </w:tc>
        <w:tc>
          <w:tcPr>
            <w:tcW w:w="0" w:type="dxa"/>
            <w:vAlign w:val="bottom"/>
          </w:tcPr>
          <w:p>
            <w:pPr>
              <w:spacing w:after="0"/>
              <w:rPr>
                <w:sz w:val="1"/>
                <w:szCs w:val="1"/>
                <w:color w:val="auto"/>
              </w:rPr>
            </w:pPr>
          </w:p>
        </w:tc>
      </w:tr>
      <w:tr>
        <w:trPr>
          <w:trHeight w:val="215"/>
        </w:trPr>
        <w:tc>
          <w:tcPr>
            <w:tcW w:w="21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(60,840)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(85,206)</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79"/>
              <w:spacing w:after="0"/>
              <w:rPr>
                <w:sz w:val="20"/>
                <w:szCs w:val="20"/>
                <w:color w:val="auto"/>
              </w:rPr>
            </w:pPr>
            <w:r>
              <w:rPr>
                <w:rFonts w:ascii="Arial" w:cs="Arial" w:eastAsia="Arial" w:hAnsi="Arial"/>
                <w:sz w:val="16"/>
                <w:szCs w:val="16"/>
                <w:color w:val="auto"/>
              </w:rPr>
              <w:t>24,366</w:t>
            </w:r>
          </w:p>
        </w:tc>
        <w:tc>
          <w:tcPr>
            <w:tcW w:w="720" w:type="dxa"/>
            <w:vAlign w:val="bottom"/>
          </w:tcPr>
          <w:p>
            <w:pPr>
              <w:jc w:val="right"/>
              <w:spacing w:after="0"/>
              <w:rPr>
                <w:sz w:val="20"/>
                <w:szCs w:val="20"/>
                <w:color w:val="auto"/>
              </w:rPr>
            </w:pPr>
            <w:r>
              <w:rPr>
                <w:rFonts w:ascii="Arial" w:cs="Arial" w:eastAsia="Arial" w:hAnsi="Arial"/>
                <w:sz w:val="16"/>
                <w:szCs w:val="16"/>
                <w:color w:val="auto"/>
              </w:rPr>
              <w:t>(28.6)%</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(132,505)</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(171,757)</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79"/>
              <w:spacing w:after="0"/>
              <w:rPr>
                <w:sz w:val="20"/>
                <w:szCs w:val="20"/>
                <w:color w:val="auto"/>
              </w:rPr>
            </w:pPr>
            <w:r>
              <w:rPr>
                <w:rFonts w:ascii="Arial" w:cs="Arial" w:eastAsia="Arial" w:hAnsi="Arial"/>
                <w:sz w:val="16"/>
                <w:szCs w:val="16"/>
                <w:color w:val="auto"/>
              </w:rPr>
              <w:t>39,252</w:t>
            </w:r>
          </w:p>
        </w:tc>
        <w:tc>
          <w:tcPr>
            <w:tcW w:w="72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Interest expense for the three months ended June 30, 2024 decreased to $60.8 million, compared to $85.2 million for the three months ended June 30, 2023. The decrease in the year reflects significant repayments of the Company's loan facilities in 2023 and in the three months to June 30, 2024, the repricing of the senior secured term loan facility and senior secured revolving credit facility in March 2024, the impact of reduced interest rates on the New Notes issued in May 2024 and the closure of the 2022 Swap and 2022 Caps. Interest income for the three months ended June 30, 2024 increased to $1.2 million compared to $0.9 million for the three months ended June 30, 2023.</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Interest expense for the six months ended June 30, 2024 decreased to $132.5 million, compared to $171.8 million for the six months ended June 30, 2023. The decrease in the year reflects significant repayments of the Company's loan facilities in 2023 and in the six months to June 30, 2024, the repricing of the senior secured term loan facility and senior secured revolving credit facility in March 2024, the impact of reduced interest rates on the New Notes issued in May 2024 and the closure of the 2022 Swap and 2022 Caps. Interest income for the six months ended June 30, 2024 increased to $3.2 million, compared to $2.0 million for the six months ended June 30, 2023.</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center"/>
              <w:ind w:left="17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Change</w:t>
            </w:r>
          </w:p>
        </w:tc>
        <w:tc>
          <w:tcPr>
            <w:tcW w:w="46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b w:val="1"/>
                <w:bCs w:val="1"/>
                <w:color w:val="auto"/>
              </w:rPr>
              <w:t>Six Months Ended</w:t>
            </w: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gridSpan w:val="2"/>
            <w:shd w:val="clear" w:color="auto" w:fill="CCEEFF"/>
          </w:tcPr>
          <w:p>
            <w:pPr>
              <w:jc w:val="center"/>
              <w:ind w:left="179"/>
              <w:spacing w:after="0"/>
              <w:rPr>
                <w:sz w:val="20"/>
                <w:szCs w:val="20"/>
                <w:color w:val="auto"/>
              </w:rPr>
            </w:pPr>
            <w:r>
              <w:rPr>
                <w:rFonts w:ascii="Arial" w:cs="Arial" w:eastAsia="Arial" w:hAnsi="Arial"/>
                <w:sz w:val="16"/>
                <w:szCs w:val="16"/>
                <w:b w:val="1"/>
                <w:bCs w:val="1"/>
                <w:color w:val="auto"/>
                <w:w w:val="99"/>
              </w:rPr>
              <w:t>June 30,</w:t>
            </w:r>
          </w:p>
        </w:tc>
        <w:tc>
          <w:tcPr>
            <w:tcW w:w="6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2"/>
            <w:shd w:val="clear" w:color="auto" w:fill="CCEEFF"/>
          </w:tcPr>
          <w:p>
            <w:pPr>
              <w:jc w:val="center"/>
              <w:ind w:left="199"/>
              <w:spacing w:after="0"/>
              <w:rPr>
                <w:sz w:val="20"/>
                <w:szCs w:val="20"/>
                <w:color w:val="auto"/>
              </w:rPr>
            </w:pPr>
            <w:r>
              <w:rPr>
                <w:rFonts w:ascii="Arial" w:cs="Arial" w:eastAsia="Arial" w:hAnsi="Arial"/>
                <w:sz w:val="16"/>
                <w:szCs w:val="16"/>
                <w:b w:val="1"/>
                <w:bCs w:val="1"/>
                <w:color w:val="auto"/>
                <w:w w:val="99"/>
              </w:rPr>
              <w:t>June 30,</w:t>
            </w:r>
          </w:p>
        </w:tc>
        <w:tc>
          <w:tcPr>
            <w:tcW w:w="7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23,344</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9,629</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13,715</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51,668</w:t>
            </w:r>
          </w:p>
        </w:tc>
        <w:tc>
          <w:tcPr>
            <w:tcW w:w="7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23,902</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27,766</w:t>
            </w:r>
          </w:p>
        </w:tc>
        <w:tc>
          <w:tcPr>
            <w:tcW w:w="0" w:type="dxa"/>
            <w:vAlign w:val="bottom"/>
          </w:tcPr>
          <w:p>
            <w:pPr>
              <w:spacing w:after="0"/>
              <w:rPr>
                <w:sz w:val="1"/>
                <w:szCs w:val="1"/>
                <w:color w:val="auto"/>
              </w:rPr>
            </w:pP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13.7 %</w:t>
            </w:r>
          </w:p>
        </w:tc>
        <w:tc>
          <w:tcPr>
            <w:tcW w:w="8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7.7 %</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142.4 %</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13.4 %</w:t>
            </w:r>
          </w:p>
        </w:tc>
        <w:tc>
          <w:tcPr>
            <w:tcW w:w="7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9.3 %</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116.2 %</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Income tax expense increased to a $23.3 million charge compared to a $9.6 million charge for the three months ended June 30, 2023. The Company’s effective tax rate for the three months ended June 30, 2024 was 13.7% compared with 7.7% for the three months ended June 30, 2023 primarily due to changes in various tax laws.</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Income tax expense increased to a $51.7 million charge compared to a $23.9 million charge for the six months ended June 30, 2023. The Company’s effective tax rate for the six months ended June 30, 2024 was 13.4% compared with 9.3% for the six months ended June 30, 2023 primarily due to changes in various tax laws.</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With the exception of the foregoing, the Company’s effective tax rate remains principally a function of the distribution of pre-tax profits amongst the territories in which it operates.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6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CRO industry is generally not capital intensive. The Company’s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at the time the contract is entered into, with the balance paid in installments over the contract's duration, in some cases on the achievement of certain milestones. Therefore, cash receipts do not correspond to costs incurred and revenue recognized on contracts.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Balance</w:t>
            </w:r>
          </w:p>
        </w:tc>
        <w:tc>
          <w:tcPr>
            <w:tcW w:w="2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(Drawn</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Net cash</w:t>
            </w: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Other non-</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Effect of</w:t>
            </w:r>
          </w:p>
        </w:tc>
        <w:tc>
          <w:tcPr>
            <w:tcW w:w="1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Balance June</w:t>
            </w: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inflow/</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cash</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exchange</w:t>
            </w:r>
          </w:p>
        </w:tc>
        <w:tc>
          <w:tcPr>
            <w:tcW w:w="18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Down)/repaid</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(outflow)</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adjustments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rates</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30, 2024</w:t>
            </w: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378,102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136,650</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506,553</w:t>
            </w:r>
          </w:p>
        </w:tc>
        <w:tc>
          <w:tcPr>
            <w:tcW w:w="0" w:type="dxa"/>
            <w:vAlign w:val="bottom"/>
          </w:tcPr>
          <w:p>
            <w:pPr>
              <w:spacing w:after="0"/>
              <w:rPr>
                <w:sz w:val="1"/>
                <w:szCs w:val="1"/>
                <w:color w:val="auto"/>
              </w:rPr>
            </w:pPr>
          </w:p>
        </w:tc>
      </w:tr>
      <w:tr>
        <w:trPr>
          <w:trHeight w:val="162"/>
        </w:trPr>
        <w:tc>
          <w:tcPr>
            <w:tcW w:w="2940" w:type="dxa"/>
            <w:vAlign w:val="bottom"/>
          </w:tcPr>
          <w:p>
            <w:pPr>
              <w:ind w:left="20"/>
              <w:spacing w:after="0" w:line="162" w:lineRule="exact"/>
              <w:rPr>
                <w:sz w:val="20"/>
                <w:szCs w:val="20"/>
                <w:color w:val="auto"/>
              </w:rPr>
            </w:pPr>
            <w:r>
              <w:rPr>
                <w:rFonts w:ascii="Arial" w:cs="Arial" w:eastAsia="Arial" w:hAnsi="Arial"/>
                <w:sz w:val="16"/>
                <w:szCs w:val="16"/>
                <w:color w:val="auto"/>
              </w:rPr>
              <w:t>Senior Secured Credit Facilities, New</w:t>
            </w:r>
          </w:p>
        </w:tc>
        <w:tc>
          <w:tcPr>
            <w:tcW w:w="4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(3,775,589)</w:t>
            </w: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345,402</w:t>
            </w:r>
          </w:p>
        </w:tc>
        <w:tc>
          <w:tcPr>
            <w:tcW w:w="3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11,679</w:t>
            </w: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(19,411)</w:t>
            </w:r>
          </w:p>
        </w:tc>
        <w:tc>
          <w:tcPr>
            <w:tcW w:w="3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(3,437,919)</w:t>
            </w:r>
          </w:p>
        </w:tc>
        <w:tc>
          <w:tcPr>
            <w:tcW w:w="0" w:type="dxa"/>
            <w:vAlign w:val="bottom"/>
          </w:tcPr>
          <w:p>
            <w:pPr>
              <w:spacing w:after="0"/>
              <w:rPr>
                <w:sz w:val="1"/>
                <w:szCs w:val="1"/>
                <w:color w:val="auto"/>
              </w:rPr>
            </w:pPr>
          </w:p>
        </w:tc>
      </w:tr>
      <w:tr>
        <w:trPr>
          <w:trHeight w:val="215"/>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Notes &amp; 2026 Notes</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94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color w:val="auto"/>
              </w:rPr>
              <w:t>Net cash and cash equivalents and</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(3,397,487)</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345,402</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148,329</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(19,411)</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(8,199)</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(2,931,366)</w:t>
            </w:r>
          </w:p>
        </w:tc>
        <w:tc>
          <w:tcPr>
            <w:tcW w:w="0" w:type="dxa"/>
            <w:vAlign w:val="bottom"/>
          </w:tcPr>
          <w:p>
            <w:pPr>
              <w:spacing w:after="0"/>
              <w:rPr>
                <w:sz w:val="1"/>
                <w:szCs w:val="1"/>
                <w:color w:val="auto"/>
              </w:rPr>
            </w:pPr>
          </w:p>
        </w:tc>
      </w:tr>
      <w:tr>
        <w:trPr>
          <w:trHeight w:val="235"/>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cash and cash equivalents at June 30, 2024 amounted to $506.6 million compared with $378.1 million at December 31, 2023.</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New Notes</w:t>
      </w:r>
    </w:p>
    <w:p>
      <w:pPr>
        <w:spacing w:after="0" w:line="2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On May 8, 2024, ICON Investments Six Designated Activity Company (the "Issuer"), a wholly- owned subsidiary of ICON plc, issued $2 billion senior secured notes ("the New Notes"). The New Notes were issued in aggregate principal amounts of: $750 million 5.809% Senior Secured Notes due 2027 (the "2027 Notes"), $750 million 5.849% Senior Secured Notes due 2029 (the "2029 Notes") and $500 million 6.000% Senior Secured Notes due 2034 (the "2034 Notes").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paid an underwriting discount of $6.8 million on the New Notes being: 0.250% of the principal amount of the 2027 Notes, 0.350% of the principal amount of the 2029 Notes and 0.450% of the 2034 Notes. Further, the 2034 Notes were issued at a discount of $0.5 million.</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Interest on the New Notes is payable on May 8 and November 8 of each year, commencing on November 8, 2024. Unless previously redeemed, the 2027 Notes will mature on May 8, 2027, the 2029 Notes will mature on May 8, 2029 and the 2034 Notes will mature on May 8, 2034.</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New Notes are guaranteed on a senior secured basis by ICON and its existing and future wholly owned subsidiaries, in each case that guarantee the obligations under our Senior Secured Credit Facilities and the 2026 Notes. The New Notes are the senior secured obligation of the Issuer and the Guarantors and rank equally in right of payment to all of the Issuer’s and Guarantors’ existing and future senior debt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rank equally in priority with the liens on the collateral securing borrowings and guarantees under the Senior Secured Credit Facilities, the 2026 Notes and any other future pari passu first lien indebtedness.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On July 1, 2021, the Company completed the acquisition of PRA Health Sciences, Inc. ("PRA") by means of a merger whereby Indigo Merger Sub, Inc., a Delaware corporation and subsidiary of ICON, merged with and into PRA, the parent of the PRA Health Sciences ("the Merger"). In conjunction with the completion of the Merger, on July 1, 2021, ICON entered into a credit agreement providing for a senior secured term loan facility of $5,515 million and a senior secured revolving loan facility in an initial aggregate principal amount of $300 million (the "Senior Secured Credit Facilities"). On May 2, 2023, the Company agreed with its lenders to increase the aggregate principal amount of the senior secured revolving loan facility from $300 million to $500 million.</w:t>
      </w:r>
    </w:p>
    <w:p>
      <w:pPr>
        <w:spacing w:after="0" w:line="2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USD Term SOFR and a Term SOFR Adjustment depending on the interest period chosen plus an applicable margin which is dependent on the Company's net leverage ratio. At June 30, 2024, the applicable margin is 2.0% (which reflects the Third Amendment). The senior secured term loan facility is subject to a floor of 0.50%.</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jc w:val="both"/>
        <w:ind w:firstLine="648"/>
        <w:spacing w:after="0" w:line="261" w:lineRule="auto"/>
        <w:rPr>
          <w:sz w:val="20"/>
          <w:szCs w:val="20"/>
          <w:color w:val="auto"/>
        </w:rPr>
      </w:pPr>
      <w:r>
        <w:rPr>
          <w:rFonts w:ascii="Arial" w:cs="Arial" w:eastAsia="Arial" w:hAnsi="Arial"/>
          <w:sz w:val="16"/>
          <w:szCs w:val="16"/>
          <w:color w:val="auto"/>
        </w:rPr>
        <w:t>Reflecting the Third Amendment, the interest rate margin applicable to borrowings under the revolving loan facility will be, at the option of the borrower, either (i) the applicable base rate plus an applicable margin of 0.45%, 0.10% or –% based on the Company’s current corporate family rating assigned by S&amp;P of BB (or lower), BB+ or BBB- (or higher), respectively, or (ii) Term SOFR plus a Term SOFR Adjustment on the interest period chosen plus an applicable margin of 1.45%, 1.10%, 0.85%, 0.65%, or 0.50% based on the Company’s current corporate family rating assigned by S&amp;P of BB (or lower), BB+, BBB-, BBB or BBB+ (or higher), respectively. In addition, lenders under the revolving loan facility are entitled to commitment fees as a percentage of the applicable margin at the time of drawing and utilization fees dependent on the proportion of the facility drawn.</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Borrowers’ (as defined in the Senior Secured Credit Facility)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will have a first-priority lien on such assets, which will rank pari passu with the lien securing the 2026 Notes and the New Notes subject to other permitted liens. The Company is permitted to make prepayments on the senior secured term loan without penalty.</w:t>
      </w:r>
    </w:p>
    <w:p>
      <w:pPr>
        <w:spacing w:after="0" w:line="199"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Principal repayments, comprising mandatory and voluntary repayments, during the six months ended June 30, 2024 and year ended December 31, 2023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Principal repayments</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5820" w:type="dxa"/>
            <w:vAlign w:val="bottom"/>
          </w:tcPr>
          <w:p>
            <w:pPr>
              <w:ind w:left="20"/>
              <w:spacing w:after="0"/>
              <w:rPr>
                <w:sz w:val="20"/>
                <w:szCs w:val="20"/>
                <w:color w:val="auto"/>
              </w:rPr>
            </w:pPr>
            <w:r>
              <w:rPr>
                <w:rFonts w:ascii="Arial" w:cs="Arial" w:eastAsia="Arial" w:hAnsi="Arial"/>
                <w:sz w:val="16"/>
                <w:szCs w:val="16"/>
                <w:color w:val="auto"/>
              </w:rPr>
              <w:t>Quarter 1, 2023</w:t>
            </w:r>
          </w:p>
        </w:tc>
        <w:tc>
          <w:tcPr>
            <w:tcW w:w="4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250,000</w:t>
            </w:r>
          </w:p>
        </w:tc>
      </w:tr>
      <w:tr>
        <w:trPr>
          <w:trHeight w:val="217"/>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2, 2023</w:t>
            </w:r>
          </w:p>
        </w:tc>
        <w:tc>
          <w:tcPr>
            <w:tcW w:w="4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5"/>
        </w:trPr>
        <w:tc>
          <w:tcPr>
            <w:tcW w:w="5820" w:type="dxa"/>
            <w:vAlign w:val="bottom"/>
          </w:tcPr>
          <w:p>
            <w:pPr>
              <w:ind w:left="20"/>
              <w:spacing w:after="0"/>
              <w:rPr>
                <w:sz w:val="20"/>
                <w:szCs w:val="20"/>
                <w:color w:val="auto"/>
              </w:rPr>
            </w:pPr>
            <w:r>
              <w:rPr>
                <w:rFonts w:ascii="Arial" w:cs="Arial" w:eastAsia="Arial" w:hAnsi="Arial"/>
                <w:sz w:val="16"/>
                <w:szCs w:val="16"/>
                <w:color w:val="auto"/>
              </w:rPr>
              <w:t>Quarter 3, 2023</w:t>
            </w:r>
          </w:p>
        </w:tc>
        <w:tc>
          <w:tcPr>
            <w:tcW w:w="4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6"/>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Quarter 4, 2023</w:t>
            </w:r>
          </w:p>
        </w:tc>
        <w:tc>
          <w:tcPr>
            <w:tcW w:w="4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r>
      <w:tr>
        <w:trPr>
          <w:trHeight w:val="20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repayments in 2023</w:t>
            </w:r>
          </w:p>
        </w:tc>
        <w:tc>
          <w:tcPr>
            <w:tcW w:w="4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950,000</w:t>
            </w: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1, 2024</w:t>
            </w:r>
          </w:p>
        </w:tc>
        <w:tc>
          <w:tcPr>
            <w:tcW w:w="4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r>
      <w:tr>
        <w:trPr>
          <w:trHeight w:val="21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Quarter 2, 2024</w:t>
            </w:r>
          </w:p>
        </w:tc>
        <w:tc>
          <w:tcPr>
            <w:tcW w:w="4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2,014,882</w:t>
            </w:r>
          </w:p>
        </w:tc>
      </w:tr>
      <w:tr>
        <w:trPr>
          <w:trHeight w:val="234"/>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repayments in 2024</w:t>
            </w:r>
          </w:p>
        </w:tc>
        <w:tc>
          <w:tcPr>
            <w:tcW w:w="4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2,289,882</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voluntary repayment made during the quarter resulted in an accelerated charge associated with previously capitalized fees of $14.9 million (June 30, 2023: $1.2 million).</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During the six months ended June 30, 2024, the Company drew down $193.0 million of the senior secured revolving loan facility and repaid $248.0 million as shown below. As at June 30, 2024, $nil (December 31, 2023: $55.0 million) was drawn under the senior secured revolving loan facility.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Drawdown</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Repayment</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Closing Balance</w:t>
            </w:r>
          </w:p>
        </w:tc>
      </w:tr>
      <w:tr>
        <w:trPr>
          <w:trHeight w:val="210"/>
        </w:trPr>
        <w:tc>
          <w:tcPr>
            <w:tcW w:w="4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1, 2023</w:t>
            </w:r>
          </w:p>
        </w:tc>
        <w:tc>
          <w:tcPr>
            <w:tcW w:w="24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Quarter 2, 2023</w:t>
            </w:r>
          </w:p>
        </w:tc>
        <w:tc>
          <w:tcPr>
            <w:tcW w:w="2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80,000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Quarter 3, 2023</w:t>
            </w:r>
          </w:p>
        </w:tc>
        <w:tc>
          <w:tcPr>
            <w:tcW w:w="2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r>
      <w:tr>
        <w:trPr>
          <w:trHeight w:val="215"/>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Quarter 4, 2023</w:t>
            </w:r>
          </w:p>
        </w:tc>
        <w:tc>
          <w:tcPr>
            <w:tcW w:w="2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65,000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85,000</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55,000</w:t>
            </w:r>
          </w:p>
        </w:tc>
      </w:tr>
      <w:tr>
        <w:trPr>
          <w:trHeight w:val="209"/>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drawdown/repayments in 2023</w:t>
            </w:r>
          </w:p>
        </w:tc>
        <w:tc>
          <w:tcPr>
            <w:tcW w:w="2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315,000</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Quarter 1, 2024</w:t>
            </w:r>
          </w:p>
        </w:tc>
        <w:tc>
          <w:tcPr>
            <w:tcW w:w="2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55,000</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6"/>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Quarter 2, 2024</w:t>
            </w:r>
          </w:p>
        </w:tc>
        <w:tc>
          <w:tcPr>
            <w:tcW w:w="2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143,000</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193,000</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drawdown/repayments in 2024</w:t>
            </w:r>
          </w:p>
        </w:tc>
        <w:tc>
          <w:tcPr>
            <w:tcW w:w="2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248,000</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2026 Notes</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(the "2026 Notes") in a private offering (the “Offering”). The 2026 Notes will mature on July 15, 2026.</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has contractual liabilities for lease arrangements of $203.7 million which will be predominantly settled over the next five year period through cash payments.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Cash flows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60"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Net cash provided by operating activities increased by $166.3 million to $545.7 million for the six months ended June 30, 2024 as compared to net cash provided by operating activities of $379.4 million for the six months ended June 30, 2023. The increase in net cash provided by operating activities of $166.3 million is primarily due to an increase in underlying operating activity.</w:t>
      </w:r>
    </w:p>
    <w:p>
      <w:pPr>
        <w:spacing w:after="0" w:line="17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Investments in net receivables (accounts receivable, unbilled services and unearned revenue) increased by $110.3 million during the six months ended June 30, 2024, increasing from $1,087.8 million at December 31, 2023 to $1,198.1 million at June 30, 2024. The number of days’ revenue outstanding at June 30, 2024 was 51 days (March 31, 2024: 49 days, December 31, 2023: 47 days, September 30, 2023: 49 days, June 30, 2023: 52 days). A decrease in the number of days’ revenue outstanding during a period will result in cash inflows to the Company while an increase in days revenue outstanding will lead to cash outflows.</w:t>
      </w:r>
    </w:p>
    <w:p>
      <w:pPr>
        <w:spacing w:after="0" w:line="2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Cash generated from working capital and days’ revenue outstanding may be positively or negatively impacted by, amongst others, the scheduling of contractual milestones over a study or trial duration, the achievement of a particular milestone during the period, the timing of receipt of invoices from third parties for reimbursable costs and the timing of cash receipts from customers.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Further, credit terms negotiated between the Company and its customers also impacts cash inflows and days' revenue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Net cash used in investing activities was $73.6 million for the six months ended June 30, 2024 compared to net cash used in investing activities of $68.7 million for the six months ended June 30, 2023. Net cash used in investing activities during the six months ended June 30, 2024 was primarily related to cash outflows of $63.4 million for capital expenditures made mainly relating to investment in facilities and IT infrastructure, $7.8 million in relation to acquisition of HumanFirst and $5.6 million in relation to investments in long-term equity.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Net cash used in financing activities during the six months ended June 30, 2024 amounted to $335.5 million compared to net cash used in financing activities of $329.8 million for the six months ended June 30, 2023. During the six months ended June 30, 2024, the Company made a net repayment of $345.4 million on external financing (See the C</w:t>
      </w:r>
      <w:r>
        <w:rPr>
          <w:rFonts w:ascii="Arial" w:cs="Arial" w:eastAsia="Arial" w:hAnsi="Arial"/>
          <w:sz w:val="16"/>
          <w:szCs w:val="16"/>
          <w:i w:val="1"/>
          <w:iCs w:val="1"/>
          <w:color w:val="auto"/>
        </w:rPr>
        <w:t>ondensed Consolidated Statements of Cash Flows</w:t>
      </w:r>
      <w:r>
        <w:rPr>
          <w:rFonts w:ascii="Arial" w:cs="Arial" w:eastAsia="Arial" w:hAnsi="Arial"/>
          <w:sz w:val="16"/>
          <w:szCs w:val="16"/>
          <w:color w:val="auto"/>
        </w:rPr>
        <w:t xml:space="preserve"> for further details). In addition, see </w:t>
      </w:r>
      <w:r>
        <w:rPr>
          <w:rFonts w:ascii="Arial" w:cs="Arial" w:eastAsia="Arial" w:hAnsi="Arial"/>
          <w:sz w:val="16"/>
          <w:szCs w:val="16"/>
          <w:i w:val="1"/>
          <w:iCs w:val="1"/>
          <w:color w:val="auto"/>
        </w:rPr>
        <w:t>Cash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equivalents and net borrowings </w:t>
      </w:r>
      <w:r>
        <w:rPr>
          <w:rFonts w:ascii="Arial" w:cs="Arial" w:eastAsia="Arial" w:hAnsi="Arial"/>
          <w:sz w:val="16"/>
          <w:szCs w:val="16"/>
          <w:color w:val="auto"/>
        </w:rPr>
        <w:t>section within this document for further details on the New Notes issued in May 2024 and the use of proceeds. This net</w:t>
      </w:r>
      <w:r>
        <w:rPr>
          <w:rFonts w:ascii="Arial" w:cs="Arial" w:eastAsia="Arial" w:hAnsi="Arial"/>
          <w:sz w:val="16"/>
          <w:szCs w:val="16"/>
          <w:i w:val="1"/>
          <w:iCs w:val="1"/>
          <w:color w:val="auto"/>
        </w:rPr>
        <w:t xml:space="preserve"> </w:t>
      </w:r>
      <w:r>
        <w:rPr>
          <w:rFonts w:ascii="Arial" w:cs="Arial" w:eastAsia="Arial" w:hAnsi="Arial"/>
          <w:sz w:val="16"/>
          <w:szCs w:val="16"/>
          <w:color w:val="auto"/>
        </w:rPr>
        <w:t>repayment was offset by $21.6 million received by the Company from the exercise of equity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inflow</w:t>
      </w:r>
    </w:p>
    <w:p>
      <w:pPr>
        <w:spacing w:after="0" w:line="26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As a result of these cash flows, cash and cash equivalents increased by $128.5 million for the six months ended June 30, 2024 compared to a decrease of $18.6 million for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Summarized financial information of issuers and guarantors</w:t>
      </w:r>
    </w:p>
    <w:p>
      <w:pPr>
        <w:spacing w:after="0" w:line="24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In connection with the offering of the New Notes by one of our subsidiaries, ICON Investments Six Designated Activity Company (the "Issuer"), disclosures required by Rule 13-01 (a)(1) through (3) of Regulation S-X are provided below.</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New Notes are guaranteed on a senior secured basis by ICON and its existing and future wholly owned subsidiaries organized in the United States, Ireland and the Grand Duchy of Luxembourg (“Luxembourg”), in each case that guarantee the obligations under our Senior Secured Credit Facilities and the 2026 Notes (the “Subsidiary Guarantors” and, collectively with ICON, the “Guarantors”).</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New Notes are the senior secured obligations of the Issuer and the Guarantors and the New Notes rank equally in right of payment to all of the Issuer’s and Guarantors’ existing and future senior debt (including the Senior Secured Credit Facilities and the 2026 Notes) and senior in right of payment to all of the Issuer’s and Guarantors’ existing and future subordinated debt. The New Notes and the guarantees are secured on a first-lien basis by substantially all of the existing and future assets of the Issuer and the guarantors that also secure the Issuer’s and the guarantors’ obligations under the Senior Secured Credit Facilities and the 2026 Notes on a pari passu basis, subject to permitted liens, and the liens on the collateral securing the New Notes (the “Collateral”) rank equally in priority with the liens on the collateral securing borrowings and guarantees under the Senior Secured Credit Facilities, the 2026 Notes and any other future pari passu first lien indebtedness. The New Notes and the guarantees are effectively senior to any of the Issuer’s and the guarantors’ existing and future unsecured indebtedness to the extent of the value of the assets securing the New Notes and the guarantees. The New Notes and the guarantees are structurally subordinated to all existing and future indebtedness and other liabilities of ICON’s subsidiaries that will not guarantee the New Notes, which includes all of ICON’s subsidiaries organized outside the United States, Ireland and Luxembourg and any other subsidiaries that do not guarantee the Senior Secured Credit Facilities or the 2026 Notes.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New Notes are, jointly and severally, unconditionally, guaranteed on a senior secured basis by ICON and its existing and future wholly owned subsidiaries organized in a covered jurisdiction that guarantee the obligations under the Senior Secured Credit Facilities and the 2026 Notes. The obligations of each Guarantor under its note guarantee are limited as necessary to prevent the relevant note guarantee from constituting a fraudulent conveyance, fraudulent transfer or unlawful financial assistance under applicable law, or otherwise to reflect limitations under applicable law. By virtue of these limitations, the obligations of a Guarantor under its note guarantee could be significantly less than amounts payable with respect to the notes of any series or a Guarantor may have effectively no obligations under its respective note guarantee. ICON may, at any time, cause a subsidiary to become a Guarantor by executing and delivering a supplemental indenture providing for the Guarantee of payment of the applicable series of notes by such subsidiary on the basis provided in the applicable indenture.</w:t>
      </w:r>
    </w:p>
    <w:p>
      <w:pPr>
        <w:spacing w:after="0" w:line="20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Any Guarantor will be automatically and unconditionally released from all obligations under its note guarantee, and such note guarantee shall thereupon terminate and be discharged and of no further force and effect:</w:t>
      </w:r>
    </w:p>
    <w:p>
      <w:pPr>
        <w:spacing w:after="0" w:line="197" w:lineRule="exact"/>
        <w:rPr>
          <w:sz w:val="20"/>
          <w:szCs w:val="20"/>
          <w:color w:val="auto"/>
        </w:rPr>
      </w:pPr>
    </w:p>
    <w:p>
      <w:pPr>
        <w:jc w:val="both"/>
        <w:ind w:left="660" w:right="20" w:hanging="328"/>
        <w:spacing w:after="0" w:line="241"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concurrently with any sale, exchange, disposition or transfer (by merger or otherwise) described in the preliminary prospectus supplement for the offering of New Notes, of any capital stock, or all or substantially all assets of such Guarantor following which such Guarantor is no longer a subsidiary of ICON or ceases to be organized in a covered jurisdiction;</w:t>
      </w:r>
    </w:p>
    <w:p>
      <w:pPr>
        <w:spacing w:after="0" w:line="1" w:lineRule="exact"/>
        <w:rPr>
          <w:rFonts w:ascii="Arial" w:cs="Arial" w:eastAsia="Arial" w:hAnsi="Arial"/>
          <w:sz w:val="16"/>
          <w:szCs w:val="16"/>
          <w:color w:val="auto"/>
        </w:rPr>
      </w:pPr>
    </w:p>
    <w:p>
      <w:pPr>
        <w:ind w:left="640" w:hanging="308"/>
        <w:spacing w:after="0" w:line="228"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to all Guarantors (other than ICON), at the time of any collateral release event;</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legal defeasance, covenant defeasance or satisfaction and discharge of the indenture governing the New Notes;</w:t>
      </w:r>
    </w:p>
    <w:p>
      <w:pPr>
        <w:spacing w:after="0" w:line="5" w:lineRule="exact"/>
        <w:rPr>
          <w:rFonts w:ascii="Arial" w:cs="Arial" w:eastAsia="Arial" w:hAnsi="Arial"/>
          <w:sz w:val="16"/>
          <w:szCs w:val="16"/>
          <w:color w:val="auto"/>
        </w:rPr>
      </w:pPr>
    </w:p>
    <w:p>
      <w:pPr>
        <w:ind w:left="660" w:hanging="328"/>
        <w:spacing w:after="0" w:line="237"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the merger, amalgamation or consolidation of any Guarantor into ICON, the Issuer or another Guarantor or upon the liquidation, dissolution or winding up of such Guarantor;</w:t>
      </w:r>
    </w:p>
    <w:p>
      <w:pPr>
        <w:spacing w:after="0" w:line="1" w:lineRule="exact"/>
        <w:rPr>
          <w:rFonts w:ascii="Arial" w:cs="Arial" w:eastAsia="Arial" w:hAnsi="Arial"/>
          <w:sz w:val="16"/>
          <w:szCs w:val="16"/>
          <w:color w:val="auto"/>
        </w:rPr>
      </w:pPr>
    </w:p>
    <w:p>
      <w:pPr>
        <w:ind w:left="660" w:hanging="328"/>
        <w:spacing w:after="0" w:line="237"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release of such Guarantor from its guarantee under the Senior Secured Credit Facilities (except in the case of a release from the repayment in full of the Senior Secured Credit Facilities); or</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such Guarantor becoming an excluded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Summarized Combined Financial Information</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Summarized financial information (the "SFI"), as defined under Rule 1-02 (bb) of Regulation S-X, is provided below for the Issuer and Guarantor entities, collectively, the "Obligor Group" as of June 30, 2024 and December 31, 2023, and for the six months ended June 30, 2024 and the year ended December 31, 2023. The SFI is presented on a combined basis with intercompany transactions and balances among the entities included in the Obligor Group eliminated. The Obligor Group SFI excludes investments in non-guarantor entities.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(Unaudited)</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(Unaudited)</w:t>
            </w:r>
          </w:p>
        </w:tc>
      </w:tr>
      <w:tr>
        <w:trPr>
          <w:trHeight w:val="216"/>
        </w:trPr>
        <w:tc>
          <w:tcPr>
            <w:tcW w:w="83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155"/>
        </w:trPr>
        <w:tc>
          <w:tcPr>
            <w:tcW w:w="8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8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r>
      <w:tr>
        <w:trPr>
          <w:trHeight w:val="209"/>
        </w:trPr>
        <w:tc>
          <w:tcPr>
            <w:tcW w:w="8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3,834,472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7,444,520</w:t>
            </w:r>
          </w:p>
        </w:tc>
      </w:tr>
      <w:tr>
        <w:trPr>
          <w:trHeight w:val="215"/>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costs and expenses (a)</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3,441,846</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6,683,520</w:t>
            </w:r>
          </w:p>
        </w:tc>
      </w:tr>
      <w:tr>
        <w:trPr>
          <w:trHeight w:val="234"/>
        </w:trPr>
        <w:tc>
          <w:tcPr>
            <w:tcW w:w="8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 (a)</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392,626</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761,000</w:t>
            </w:r>
          </w:p>
        </w:tc>
      </w:tr>
      <w:tr>
        <w:trPr>
          <w:trHeight w:val="20"/>
        </w:trPr>
        <w:tc>
          <w:tcPr>
            <w:tcW w:w="8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 (b)</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169,564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356,467</w:t>
            </w:r>
          </w:p>
        </w:tc>
      </w:tr>
      <w:tr>
        <w:trPr>
          <w:trHeight w:val="21"/>
        </w:trPr>
        <w:tc>
          <w:tcPr>
            <w:tcW w:w="8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hanging="8"/>
        <w:spacing w:after="0" w:line="256" w:lineRule="auto"/>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amortization of intangible assets of $227.7 million for the six months ended June 30, 2024 and $452.8 million for the year ended December 31, 2023.</w:t>
      </w:r>
    </w:p>
    <w:p>
      <w:pPr>
        <w:spacing w:after="0" w:line="1" w:lineRule="exact"/>
        <w:rPr>
          <w:rFonts w:ascii="Arial" w:cs="Arial" w:eastAsia="Arial" w:hAnsi="Arial"/>
          <w:sz w:val="16"/>
          <w:szCs w:val="16"/>
          <w:color w:val="auto"/>
        </w:rPr>
      </w:pPr>
    </w:p>
    <w:p>
      <w:pPr>
        <w:ind w:left="340" w:right="20" w:hanging="8"/>
        <w:spacing w:after="0" w:line="283" w:lineRule="auto"/>
        <w:tabs>
          <w:tab w:leader="none" w:pos="617"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net intercompany interest expense of $69.7 million for the six months ended June 30, 2024 and $130.0 million for the year ended December 31, 2023.</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(Unaudited)</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(Unaudited)</w:t>
            </w:r>
          </w:p>
        </w:tc>
      </w:tr>
      <w:tr>
        <w:trPr>
          <w:trHeight w:val="155"/>
        </w:trPr>
        <w:tc>
          <w:tcPr>
            <w:tcW w:w="8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r>
      <w:tr>
        <w:trPr>
          <w:trHeight w:val="216"/>
        </w:trPr>
        <w:tc>
          <w:tcPr>
            <w:tcW w:w="8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r>
      <w:tr>
        <w:trPr>
          <w:trHeight w:val="210"/>
        </w:trPr>
        <w:tc>
          <w:tcPr>
            <w:tcW w:w="8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79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3,174,317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2,941,492</w:t>
            </w: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 (c)</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62,830,981</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61,347,045</w:t>
            </w:r>
          </w:p>
        </w:tc>
      </w:tr>
      <w:tr>
        <w:trPr>
          <w:trHeight w:val="215"/>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Intercompany receivables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1,411,299</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1,052,855</w:t>
            </w:r>
          </w:p>
        </w:tc>
      </w:tr>
      <w:tr>
        <w:trPr>
          <w:trHeight w:val="235"/>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67,416,597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65,341,392</w:t>
            </w:r>
          </w:p>
        </w:tc>
      </w:tr>
      <w:tr>
        <w:trPr>
          <w:trHeight w:val="20"/>
        </w:trPr>
        <w:tc>
          <w:tcPr>
            <w:tcW w:w="83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2,515,624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2,514,633</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4,514,419</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4,799,554</w:t>
            </w:r>
          </w:p>
        </w:tc>
      </w:tr>
      <w:tr>
        <w:trPr>
          <w:trHeight w:val="216"/>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Intercompany payables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5,036,253</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4,618,868</w:t>
            </w:r>
          </w:p>
        </w:tc>
      </w:tr>
      <w:tr>
        <w:trPr>
          <w:trHeight w:val="21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12,066,296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11,933,055</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 Non-current assets include each Guarantor's investment in obligor subsidiaries, on a combined aggregated basis.</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context of security for the New Notes, the combined financial information of entities whose securities are pledged as collateral (the "Pledgor Group") was determined to be materially consistent with the consolidated financial information of the ICON group (ICON and all of its subsidiaries) for the periods presented above, and as such, summarized combined financial information has not been presented for the Pledgor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Legal proceedings</w:t>
      </w:r>
    </w:p>
    <w:p>
      <w:pPr>
        <w:spacing w:after="0" w:line="235"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are not party to any material pending legal proceedings, and we do not expect any litigation which could have a material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4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Certain statements contained herein are forward looking statements,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industry prospects, future business, future results of operations or financial condition, our ability to integrate the businesses we have acquired into our existing operations,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Such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exchange rate fluctuations, inflation and rising labor costs and other factors. Forward-looking statements speak only as of the date they are made and we do not undertake any obligation to update publicly any forward-looking statement, either as a result of new information, future events or otherwise. Please also refer to the Form 20-F filed on February 23, 2024 for risks and uncertainties facing the Company.</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Exhibits of ICON plc and subsidiaries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Exhibit</w:t>
            </w:r>
          </w:p>
        </w:tc>
        <w:tc>
          <w:tcPr>
            <w:tcW w:w="9680" w:type="dxa"/>
            <w:vAlign w:val="bottom"/>
            <w:vMerge w:val="restart"/>
            <w:shd w:val="clear" w:color="auto" w:fill="CCEEFF"/>
          </w:tcPr>
          <w:p>
            <w:pPr>
              <w:ind w:left="40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Number</w:t>
            </w:r>
          </w:p>
        </w:tc>
        <w:tc>
          <w:tcPr>
            <w:tcW w:w="9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540" w:type="dxa"/>
            <w:vAlign w:val="bottom"/>
            <w:gridSpan w:val="4"/>
            <w:shd w:val="clear" w:color="auto" w:fill="CCEEFF"/>
          </w:tcPr>
          <w:p>
            <w:pPr>
              <w:ind w:left="20"/>
              <w:spacing w:after="0" w:line="175" w:lineRule="exact"/>
              <w:rPr>
                <w:sz w:val="20"/>
                <w:szCs w:val="20"/>
                <w:color w:val="auto"/>
              </w:rPr>
            </w:pPr>
            <w:r>
              <w:rPr>
                <w:rFonts w:ascii="Arial" w:cs="Arial" w:eastAsia="Arial" w:hAnsi="Arial"/>
                <w:sz w:val="16"/>
                <w:szCs w:val="16"/>
                <w:color w:val="0000FF"/>
              </w:rPr>
              <w:t>22.</w:t>
            </w:r>
            <w:r>
              <w:rPr>
                <w:rFonts w:ascii="Arial" w:cs="Arial" w:eastAsia="Arial" w:hAnsi="Arial"/>
                <w:sz w:val="16"/>
                <w:szCs w:val="16"/>
                <w:u w:val="single" w:color="auto"/>
                <w:color w:val="0000FF"/>
              </w:rPr>
              <w:t>1*</w:t>
            </w:r>
          </w:p>
        </w:tc>
        <w:tc>
          <w:tcPr>
            <w:tcW w:w="9680" w:type="dxa"/>
            <w:vAlign w:val="bottom"/>
            <w:shd w:val="clear" w:color="auto" w:fill="CCEEFF"/>
          </w:tcPr>
          <w:p>
            <w:pPr>
              <w:ind w:left="400"/>
              <w:spacing w:after="0" w:line="175" w:lineRule="exact"/>
              <w:rPr>
                <w:sz w:val="20"/>
                <w:szCs w:val="20"/>
                <w:color w:val="auto"/>
              </w:rPr>
            </w:pPr>
            <w:r>
              <w:rPr>
                <w:rFonts w:ascii="Arial" w:cs="Arial" w:eastAsia="Arial" w:hAnsi="Arial"/>
                <w:sz w:val="16"/>
                <w:szCs w:val="16"/>
                <w:color w:val="auto"/>
              </w:rPr>
              <w:t>List of Subsidiary Guarantors and Issuer of Guaranteed Debt Securities and Affiliates Whose Securities Collateralize Securities</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968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of ICON Investments Six Designated Activity Company.</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9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0" w:type="dxa"/>
            <w:vAlign w:val="bottom"/>
            <w:gridSpan w:val="3"/>
            <w:shd w:val="clear" w:color="auto" w:fill="CCEEFF"/>
          </w:tcPr>
          <w:p>
            <w:pPr>
              <w:ind w:left="20"/>
              <w:spacing w:after="0" w:line="175" w:lineRule="exact"/>
              <w:rPr>
                <w:rFonts w:ascii="Arial" w:cs="Arial" w:eastAsia="Arial" w:hAnsi="Arial"/>
                <w:sz w:val="16"/>
                <w:szCs w:val="16"/>
                <w:color w:val="0000FF"/>
              </w:rPr>
            </w:pPr>
            <w:hyperlink r:id="rId49">
              <w:r>
                <w:rPr>
                  <w:rFonts w:ascii="Arial" w:cs="Arial" w:eastAsia="Arial" w:hAnsi="Arial"/>
                  <w:sz w:val="16"/>
                  <w:szCs w:val="16"/>
                  <w:color w:val="0000FF"/>
                </w:rPr>
                <w:t>99.</w:t>
              </w:r>
              <w:r>
                <w:rPr>
                  <w:rFonts w:ascii="Arial" w:cs="Arial" w:eastAsia="Arial" w:hAnsi="Arial"/>
                  <w:sz w:val="16"/>
                  <w:szCs w:val="16"/>
                  <w:u w:val="single" w:color="auto"/>
                  <w:color w:val="0000FF"/>
                </w:rPr>
                <w:t>1</w:t>
              </w:r>
            </w:hyperlink>
          </w:p>
        </w:tc>
        <w:tc>
          <w:tcPr>
            <w:tcW w:w="1140" w:type="dxa"/>
            <w:vAlign w:val="bottom"/>
            <w:shd w:val="clear" w:color="auto" w:fill="CCEEFF"/>
          </w:tcPr>
          <w:p>
            <w:pPr>
              <w:spacing w:after="0"/>
              <w:rPr>
                <w:sz w:val="15"/>
                <w:szCs w:val="15"/>
                <w:color w:val="auto"/>
              </w:rPr>
            </w:pPr>
          </w:p>
        </w:tc>
        <w:tc>
          <w:tcPr>
            <w:tcW w:w="9680" w:type="dxa"/>
            <w:vAlign w:val="bottom"/>
            <w:shd w:val="clear" w:color="auto" w:fill="CCEEFF"/>
          </w:tcPr>
          <w:p>
            <w:pPr>
              <w:ind w:left="400"/>
              <w:spacing w:after="0" w:line="175" w:lineRule="exact"/>
              <w:rPr>
                <w:sz w:val="20"/>
                <w:szCs w:val="20"/>
                <w:color w:val="auto"/>
              </w:rPr>
            </w:pPr>
            <w:r>
              <w:rPr>
                <w:rFonts w:ascii="Arial" w:cs="Arial" w:eastAsia="Arial" w:hAnsi="Arial"/>
                <w:sz w:val="16"/>
                <w:szCs w:val="16"/>
                <w:color w:val="auto"/>
              </w:rPr>
              <w:t>Third Amendment to Credit Agreement, dated as of March 14, 2024, by and among various subsidiaries of ICON plc, Citibank,</w:t>
            </w:r>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9680" w:type="dxa"/>
            <w:vAlign w:val="bottom"/>
            <w:tcBorders>
              <w:top w:val="single" w:sz="8" w:color="CCEEFF"/>
            </w:tcBorders>
            <w:shd w:val="clear" w:color="auto" w:fill="CCEEFF"/>
          </w:tcPr>
          <w:p>
            <w:pPr>
              <w:ind w:left="400"/>
              <w:spacing w:after="0" w:line="168" w:lineRule="exact"/>
              <w:rPr>
                <w:sz w:val="20"/>
                <w:szCs w:val="20"/>
                <w:color w:val="auto"/>
              </w:rPr>
            </w:pPr>
            <w:r>
              <w:rPr>
                <w:rFonts w:ascii="Arial" w:cs="Arial" w:eastAsia="Arial" w:hAnsi="Arial"/>
                <w:sz w:val="16"/>
                <w:szCs w:val="16"/>
                <w:color w:val="auto"/>
              </w:rPr>
              <w:t>N.A., as administrative agent and swingline lender, and various revolving lenders (incorporated by reference to exhibit 99.1 to the</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96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Form 6-K (File No. 333-08704) filed on April 25, 2024).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6"/>
                <w:szCs w:val="16"/>
                <w:color w:val="auto"/>
              </w:rPr>
              <w:t>* Filed herewith</w:t>
            </w:r>
          </w:p>
        </w:tc>
        <w:tc>
          <w:tcPr>
            <w:tcW w:w="9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277"/>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6314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680" w:right="1720" w:hanging="7883"/>
        <w:spacing w:after="0" w:line="280" w:lineRule="auto"/>
        <w:tabs>
          <w:tab w:leader="none" w:pos="6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July 25, 2024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20"/>
          </w:cols>
          <w:pgMar w:left="320" w:top="1138"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GUARANTORS AND ISSUER OF GUARANTEED SECURITIES AND AFFILIATES WHOSE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COLLATERALIZE SECURITIES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INVESTMENTS SIX DESIGNATED ACTIVITY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subsidiaries of ICON plc, (the “Company”) are guarantors of ICON Investments Six Designated Activity Company’s (the “Issuer”) 5.809%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 due 2027, 5.849% Senior Secured Notes due 2029 and 6.000% Senior Secured Notes due 2034</w:t>
      </w:r>
      <w:r>
        <w:rPr>
          <w:rFonts w:ascii="Times New Roman" w:cs="Times New Roman" w:eastAsia="Times New Roman" w:hAnsi="Times New Roman"/>
          <w:sz w:val="19"/>
          <w:szCs w:val="19"/>
          <w:color w:val="auto"/>
        </w:rPr>
        <w: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w:t>
            </w:r>
          </w:p>
        </w:tc>
        <w:tc>
          <w:tcPr>
            <w:tcW w:w="0" w:type="dxa"/>
            <w:vAlign w:val="bottom"/>
          </w:tcPr>
          <w:p>
            <w:pPr>
              <w:spacing w:after="0"/>
              <w:rPr>
                <w:sz w:val="1"/>
                <w:szCs w:val="1"/>
                <w:color w:val="auto"/>
              </w:rPr>
            </w:pPr>
          </w:p>
        </w:tc>
      </w:tr>
      <w:tr>
        <w:trPr>
          <w:trHeight w:val="176"/>
        </w:trPr>
        <w:tc>
          <w:tcPr>
            <w:tcW w:w="8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INCORPORATION OR</w:t>
            </w:r>
          </w:p>
        </w:tc>
        <w:tc>
          <w:tcPr>
            <w:tcW w:w="0" w:type="dxa"/>
            <w:vAlign w:val="bottom"/>
          </w:tcPr>
          <w:p>
            <w:pPr>
              <w:spacing w:after="0"/>
              <w:rPr>
                <w:sz w:val="1"/>
                <w:szCs w:val="1"/>
                <w:color w:val="auto"/>
              </w:rPr>
            </w:pPr>
          </w:p>
        </w:tc>
      </w:tr>
      <w:tr>
        <w:trPr>
          <w:trHeight w:val="243"/>
        </w:trPr>
        <w:tc>
          <w:tcPr>
            <w:tcW w:w="8260" w:type="dxa"/>
            <w:vAlign w:val="bottom"/>
            <w:gridSpan w:val="2"/>
            <w:vMerge w:val="continue"/>
          </w:tcPr>
          <w:p>
            <w:pPr>
              <w:spacing w:after="0"/>
              <w:rPr>
                <w:sz w:val="21"/>
                <w:szCs w:val="21"/>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0" w:type="dxa"/>
            <w:vAlign w:val="bottom"/>
          </w:tcPr>
          <w:p>
            <w:pPr>
              <w:spacing w:after="0"/>
              <w:rPr>
                <w:sz w:val="1"/>
                <w:szCs w:val="1"/>
                <w:color w:val="auto"/>
              </w:rPr>
            </w:pPr>
          </w:p>
        </w:tc>
      </w:tr>
      <w:tr>
        <w:trPr>
          <w:trHeight w:val="218"/>
        </w:trPr>
        <w:tc>
          <w:tcPr>
            <w:tcW w:w="6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ICON Global Treasury Unlimited Company</w:t>
            </w:r>
          </w:p>
        </w:tc>
        <w:tc>
          <w:tcPr>
            <w:tcW w:w="1320" w:type="dxa"/>
            <w:vAlign w:val="bottom"/>
          </w:tcPr>
          <w:p>
            <w:pPr>
              <w:spacing w:after="0"/>
              <w:rPr>
                <w:sz w:val="18"/>
                <w:szCs w:val="18"/>
                <w:color w:val="auto"/>
              </w:rPr>
            </w:pPr>
          </w:p>
        </w:tc>
        <w:tc>
          <w:tcPr>
            <w:tcW w:w="29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DOCS Resourcing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International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Property Development (Ireland)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Accellacare Limited</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Investments Four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Luxembourg S.à r.l.</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Early Phase Services,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Beacon Bioscience,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Laboratory Services,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MolecularMD Corp.</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US Holdings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PriceSpective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DOCS Global,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Accellacare US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North Carolina</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Clinical Resource Network,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Illinois</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Investments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PRA Health Sciences,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Source Healthcare Analytics,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Symphony Health Solutions Corporation</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Virginia</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PRA Holdings, Inc.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PRA International,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RPS Global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RPS Parent Holding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Roy RPS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CRN Holdings, LLC</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All issued and outstanding equity securities of the following subsidiaries of the Company, subject to the limitations set forth below, collateralize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Issuer’s 5.809% Senior Secured Notes due 2027, 5.849% Senior Secured Notes due 2029 and 6.000% Senior Secured Notes due 2034: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NAME (STATE OR OTHER JURISDICTION OF</w:t>
            </w:r>
          </w:p>
        </w:tc>
        <w:tc>
          <w:tcPr>
            <w:tcW w:w="478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w:t>
            </w:r>
          </w:p>
        </w:tc>
        <w:tc>
          <w:tcPr>
            <w:tcW w:w="0" w:type="dxa"/>
            <w:vAlign w:val="bottom"/>
          </w:tcPr>
          <w:p>
            <w:pPr>
              <w:spacing w:after="0"/>
              <w:rPr>
                <w:sz w:val="1"/>
                <w:szCs w:val="1"/>
                <w:color w:val="auto"/>
              </w:rPr>
            </w:pPr>
          </w:p>
        </w:tc>
      </w:tr>
      <w:tr>
        <w:trPr>
          <w:trHeight w:val="24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780" w:type="dxa"/>
            <w:vAlign w:val="bottom"/>
            <w:gridSpan w:val="2"/>
            <w:vMerge w:val="continue"/>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PLEDGED</w:t>
            </w:r>
          </w:p>
        </w:tc>
        <w:tc>
          <w:tcPr>
            <w:tcW w:w="0" w:type="dxa"/>
            <w:vAlign w:val="bottom"/>
          </w:tcPr>
          <w:p>
            <w:pPr>
              <w:spacing w:after="0"/>
              <w:rPr>
                <w:sz w:val="1"/>
                <w:szCs w:val="1"/>
                <w:color w:val="auto"/>
              </w:rPr>
            </w:pPr>
          </w:p>
        </w:tc>
      </w:tr>
      <w:tr>
        <w:trPr>
          <w:trHeight w:val="169"/>
        </w:trPr>
        <w:tc>
          <w:tcPr>
            <w:tcW w:w="4480" w:type="dxa"/>
            <w:vAlign w:val="bottom"/>
            <w:tcBorders>
              <w:top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ICON Investments Six Designated Activity Company</w:t>
            </w:r>
          </w:p>
        </w:tc>
        <w:tc>
          <w:tcPr>
            <w:tcW w:w="480" w:type="dxa"/>
            <w:vAlign w:val="bottom"/>
          </w:tcPr>
          <w:p>
            <w:pPr>
              <w:spacing w:after="0"/>
              <w:rPr>
                <w:sz w:val="14"/>
                <w:szCs w:val="14"/>
                <w:color w:val="auto"/>
              </w:rPr>
            </w:pPr>
          </w:p>
        </w:tc>
        <w:tc>
          <w:tcPr>
            <w:tcW w:w="4480" w:type="dxa"/>
            <w:vAlign w:val="bottom"/>
            <w:tcBorders>
              <w:top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ICON plc</w:t>
            </w:r>
          </w:p>
        </w:tc>
        <w:tc>
          <w:tcPr>
            <w:tcW w:w="300" w:type="dxa"/>
            <w:vAlign w:val="bottom"/>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Investments Four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Holdings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48"/>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2"/>
        </w:trPr>
        <w:tc>
          <w:tcPr>
            <w:tcW w:w="49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ICON Clinical Global Holdings Unlimited Company</w:t>
            </w:r>
          </w:p>
        </w:tc>
        <w:tc>
          <w:tcPr>
            <w:tcW w:w="478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color w:val="auto"/>
              </w:rPr>
              <w:t>ICON plc</w:t>
            </w:r>
          </w:p>
        </w:tc>
        <w:tc>
          <w:tcPr>
            <w:tcW w:w="1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Investments Five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DOCS Resourcing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International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International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International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80"/>
        </w:trPr>
        <w:tc>
          <w:tcPr>
            <w:tcW w:w="49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Clinical Research Property Holdings (Ireland)</w:t>
            </w:r>
          </w:p>
        </w:tc>
        <w:tc>
          <w:tcPr>
            <w:tcW w:w="47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plc</w:t>
            </w: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Limited (Ireland)</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(LR) Limited (United Kingdom)</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80"/>
        </w:trPr>
        <w:tc>
          <w:tcPr>
            <w:tcW w:w="49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Holdings Clinical Research International Limited</w:t>
            </w:r>
          </w:p>
        </w:tc>
        <w:tc>
          <w:tcPr>
            <w:tcW w:w="47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Holdings Unlimited Company</w:t>
            </w: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(Ireland)</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Accellacare Limited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Global Treasury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Global Treasury Unlimited Company (Ireland)</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Luxembourg S.à r.l.(Luxembourg)</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Luxembourg S.à r.l. (Luxembourg)</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Luxembourg S.à r.l. (Luxembourg)</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plc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80"/>
        </w:trPr>
        <w:tc>
          <w:tcPr>
            <w:tcW w:w="49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Early Phase Services, LLC (f/k/a Healthcare</w:t>
            </w:r>
          </w:p>
        </w:tc>
        <w:tc>
          <w:tcPr>
            <w:tcW w:w="47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Discoveries, LLC) (Texas)</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Beacon Bioscience, Inc.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US Holdings Inc.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80"/>
        </w:trPr>
        <w:tc>
          <w:tcPr>
            <w:tcW w:w="496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Laboratory Services, Inc. (f/k/a ICON Central</w:t>
            </w:r>
          </w:p>
        </w:tc>
        <w:tc>
          <w:tcPr>
            <w:tcW w:w="47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ICON US Holdings Inc.</w:t>
            </w:r>
          </w:p>
        </w:tc>
        <w:tc>
          <w:tcPr>
            <w:tcW w:w="15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Laboratories, Inc.) (Delaware)</w:t>
            </w:r>
          </w:p>
        </w:tc>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96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color w:val="auto"/>
              </w:rPr>
              <w:t>MolecularMD Corp. (Delaware)</w:t>
            </w:r>
          </w:p>
        </w:tc>
        <w:tc>
          <w:tcPr>
            <w:tcW w:w="47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color w:val="auto"/>
              </w:rPr>
              <w:t>ICON Laboratory Services, Inc. (f/k/a ICON Central</w:t>
            </w:r>
          </w:p>
        </w:tc>
        <w:tc>
          <w:tcPr>
            <w:tcW w:w="15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Laboratories, Inc.)</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US Holdings Inc.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Operational Financing Unlimited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0"/>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PriceSpective LLC (Delaware)</w:t>
            </w:r>
          </w:p>
        </w:tc>
        <w:tc>
          <w:tcPr>
            <w:tcW w:w="47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17" w:right="339" w:bottom="1440" w:gutter="0" w:footer="0" w:header="0"/>
        </w:sectPr>
      </w:pPr>
    </w:p>
    <w:bookmarkStart w:id="44" w:name="page45"/>
    <w:bookmarkEnd w:id="44"/>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CRN Holdings,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Investments,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ICON Luxembourg S.à r.l</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5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Clinical Resource Network, LLC (d/b/a Symphony Clinical</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CRN Holdings,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Research) (Illinois)</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5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DOCS Global, Inc. (New Jersey)</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Accellacare US Inc. (North Carolina)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RPS Bermuda, Ltd. (Bermuda)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Services de Recherche Pharmaceutique Srl (Canada)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Health Sciences Colombia Ltda. (Colombia)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Hungary Research and</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Development Ltd. (Hungary)</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Italy S.r.l. (Italy)</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Mexico S. de R.L. de</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 V. (Mexico)</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84"/>
        </w:trPr>
        <w:tc>
          <w:tcPr>
            <w:tcW w:w="4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Pharmaceutical Research Associates Mexico S. de R.L. de</w:t>
            </w:r>
          </w:p>
        </w:tc>
        <w:tc>
          <w:tcPr>
            <w:tcW w:w="44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PRA International, LLC</w:t>
            </w:r>
          </w:p>
        </w:tc>
        <w:tc>
          <w:tcPr>
            <w:tcW w:w="1540" w:type="dxa"/>
            <w:vAlign w:val="bottom"/>
          </w:tcPr>
          <w:p>
            <w:pPr>
              <w:jc w:val="center"/>
              <w:ind w:left="1030"/>
              <w:spacing w:after="0" w:line="184"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 V. (Mexico)</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84"/>
        </w:trPr>
        <w:tc>
          <w:tcPr>
            <w:tcW w:w="4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ReSearch Pharmaceutical Services Netherlands B.V.</w:t>
            </w:r>
          </w:p>
        </w:tc>
        <w:tc>
          <w:tcPr>
            <w:tcW w:w="44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line="184"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RPS Perú S.A.C. (Peru)</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Research Pharmaceutical Services Puerto Rico, Inc. (Puerto</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Rico)</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184"/>
        </w:trPr>
        <w:tc>
          <w:tcPr>
            <w:tcW w:w="46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Pharmaceutical Research Associates Romania S.R.L.</w:t>
            </w:r>
          </w:p>
        </w:tc>
        <w:tc>
          <w:tcPr>
            <w:tcW w:w="44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4"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(Romania)</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España, S.A.U. (Spain)</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International Sweden AB (Sweden)</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RPS Research (Thailand) Co., Ltd. (Thailand)</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Sterling Synergy Systems Limited (United Kingdom)</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ClinStar LLC (California)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Nextrials, Inc. (California)</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Care Innovations,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CRI NewCo,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International Medical Technical Consultants, LLC</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Parallel 6,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180"/>
        </w:trPr>
        <w:tc>
          <w:tcPr>
            <w:tcW w:w="4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PRA Early Development Research, Inc. (f/k/a Pharma Bio-</w:t>
            </w:r>
          </w:p>
        </w:tc>
        <w:tc>
          <w:tcPr>
            <w:tcW w:w="44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Research USA, Inc.) (Delaware)</w:t>
            </w:r>
          </w:p>
        </w:tc>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Health Sciences,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ICON US Holdings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Holdings,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PRA Health Sciences,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PRA Receivables,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Inc.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Roy RPS Holdings,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ReSearch Pharmaceutical Services,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Pharmaceutical Services,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Source Healthcare Analytics,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Symphony Health Solutions Corporation</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Sunset Hills, LLC (Delaware)</w:t>
            </w: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bl>
    <w:p>
      <w:pPr>
        <w:sectPr>
          <w:pgSz w:w="11900" w:h="16838" w:orient="portrait"/>
          <w:cols w:equalWidth="0" w:num="1">
            <w:col w:w="10620"/>
          </w:cols>
          <w:pgMar w:left="400" w:top="1440" w:right="879" w:bottom="1440" w:gutter="0" w:footer="0" w:header="0"/>
        </w:sectPr>
      </w:pPr>
    </w:p>
    <w:bookmarkStart w:id="45" w:name="page46"/>
    <w:bookmarkEnd w:id="45"/>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Symphony Health Solutions Corporation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Research Associates, Inc. (Virginia)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PRA International,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PRA International,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PRA Holdings,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Roy RPS Holdings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RPS Parent Holding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RPS Global Holdings,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PRA Holdings,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RPS Parent Holding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RPS Global Holdings,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180"/>
        </w:trPr>
        <w:tc>
          <w:tcPr>
            <w:tcW w:w="45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ICON Government and Public Health Solutions, Inc.</w:t>
            </w:r>
          </w:p>
        </w:tc>
        <w:tc>
          <w:tcPr>
            <w:tcW w:w="4520" w:type="dxa"/>
            <w:vAlign w:val="bottom"/>
          </w:tcPr>
          <w:p>
            <w:pPr>
              <w:ind w:left="400"/>
              <w:spacing w:after="0" w:line="181" w:lineRule="exact"/>
              <w:rPr>
                <w:sz w:val="20"/>
                <w:szCs w:val="20"/>
                <w:color w:val="auto"/>
              </w:rPr>
            </w:pPr>
            <w:r>
              <w:rPr>
                <w:rFonts w:ascii="Times New Roman" w:cs="Times New Roman" w:eastAsia="Times New Roman" w:hAnsi="Times New Roman"/>
                <w:sz w:val="18"/>
                <w:szCs w:val="18"/>
                <w:color w:val="auto"/>
              </w:rPr>
              <w:t>ICON US Holdings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c>
          <w:tcPr>
            <w:tcW w:w="45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Bristol, LLC (Tennessee)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Charleston, LLC (South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Charlotte, LLC (North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Christie Clinic, LLC (Illinois)</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Hickory, LLC (North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Raleigh, LLC (North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Rocky Mount, LLC (North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Salisbury, LLC (North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Wilmington, LLC (North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Accellacare of Winston-Salem, LLC (North Carolina)</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Accellacare US Inc.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Averion Europe GmbH (Germany)</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CHC Group,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PubsHub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Global Pharmaceutical Strategies Group,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MMMM Group,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Tennessee,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ADDPLAN, Inc.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LP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LP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Tennessee,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03"/>
        </w:trPr>
        <w:tc>
          <w:tcPr>
            <w:tcW w:w="4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CRN North America, LLC (d/b/a Symphony Clinical</w:t>
            </w:r>
          </w:p>
        </w:tc>
        <w:tc>
          <w:tcPr>
            <w:tcW w:w="4520" w:type="dxa"/>
            <w:vAlign w:val="bottom"/>
          </w:tcPr>
          <w:p>
            <w:pPr>
              <w:ind w:left="400"/>
              <w:spacing w:after="0" w:line="202" w:lineRule="exact"/>
              <w:rPr>
                <w:sz w:val="20"/>
                <w:szCs w:val="20"/>
                <w:color w:val="auto"/>
              </w:rPr>
            </w:pPr>
            <w:r>
              <w:rPr>
                <w:rFonts w:ascii="Times New Roman" w:cs="Times New Roman" w:eastAsia="Times New Roman" w:hAnsi="Times New Roman"/>
                <w:sz w:val="18"/>
                <w:szCs w:val="18"/>
                <w:color w:val="auto"/>
              </w:rPr>
              <w:t>CRN Holdings, LLC</w:t>
            </w:r>
          </w:p>
        </w:tc>
        <w:tc>
          <w:tcPr>
            <w:tcW w:w="1540" w:type="dxa"/>
            <w:vAlign w:val="bottom"/>
          </w:tcPr>
          <w:p>
            <w:pPr>
              <w:jc w:val="center"/>
              <w:ind w:left="1030"/>
              <w:spacing w:after="0" w:line="202" w:lineRule="exact"/>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Staffing) (Delaware)</w:t>
            </w:r>
          </w:p>
        </w:tc>
        <w:tc>
          <w:tcPr>
            <w:tcW w:w="45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Symphony Clinical Research Sp. Z O O. (Poland)</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CRN Holdings,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65%</w:t>
            </w:r>
          </w:p>
        </w:tc>
      </w:tr>
      <w:tr>
        <w:trPr>
          <w:trHeight w:val="180"/>
        </w:trPr>
        <w:tc>
          <w:tcPr>
            <w:tcW w:w="45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ICON Clinical Research Holdings (U.K.) Limited (United</w:t>
            </w:r>
          </w:p>
        </w:tc>
        <w:tc>
          <w:tcPr>
            <w:tcW w:w="4520" w:type="dxa"/>
            <w:vAlign w:val="bottom"/>
          </w:tcPr>
          <w:p>
            <w:pPr>
              <w:ind w:left="400"/>
              <w:spacing w:after="0" w:line="181" w:lineRule="exact"/>
              <w:rPr>
                <w:sz w:val="20"/>
                <w:szCs w:val="20"/>
                <w:color w:val="auto"/>
              </w:rPr>
            </w:pPr>
            <w:r>
              <w:rPr>
                <w:rFonts w:ascii="Times New Roman" w:cs="Times New Roman" w:eastAsia="Times New Roman" w:hAnsi="Times New Roman"/>
                <w:sz w:val="18"/>
                <w:szCs w:val="18"/>
                <w:color w:val="auto"/>
              </w:rPr>
              <w:t>Pharmaceutical Research Associates, Inc.</w:t>
            </w:r>
          </w:p>
        </w:tc>
        <w:tc>
          <w:tcPr>
            <w:tcW w:w="1540" w:type="dxa"/>
            <w:vAlign w:val="bottom"/>
          </w:tcPr>
          <w:p>
            <w:pPr>
              <w:jc w:val="center"/>
              <w:ind w:left="1030"/>
              <w:spacing w:after="0" w:line="181" w:lineRule="exact"/>
              <w:rPr>
                <w:sz w:val="20"/>
                <w:szCs w:val="20"/>
                <w:color w:val="auto"/>
              </w:rPr>
            </w:pPr>
            <w:r>
              <w:rPr>
                <w:rFonts w:ascii="Times New Roman" w:cs="Times New Roman" w:eastAsia="Times New Roman" w:hAnsi="Times New Roman"/>
                <w:sz w:val="18"/>
                <w:szCs w:val="18"/>
                <w:color w:val="auto"/>
              </w:rPr>
              <w:t>65%</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Kingdom)</w:t>
            </w:r>
          </w:p>
        </w:tc>
        <w:tc>
          <w:tcPr>
            <w:tcW w:w="45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Oncacare Limited (Ireland)</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Limited</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Biotel Research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HumanFirst LLC (Delaware)</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Clinical Research LLC</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52"/>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ICON Clinical Research Holdings (Ireland) Unlimited</w:t>
            </w:r>
          </w:p>
        </w:tc>
        <w:tc>
          <w:tcPr>
            <w:tcW w:w="45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ICON Holdings Unlimited Company</w:t>
            </w:r>
          </w:p>
        </w:tc>
        <w:tc>
          <w:tcPr>
            <w:tcW w:w="15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Company (Ireland)</w:t>
            </w:r>
          </w:p>
        </w:tc>
        <w:tc>
          <w:tcPr>
            <w:tcW w:w="452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0620"/>
      </w:cols>
      <w:pgMar w:left="400" w:top="144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endash "/>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49" Type="http://schemas.openxmlformats.org/officeDocument/2006/relationships/hyperlink" Target="https://www.sec.gov/Archives/edgar/data/1060955/000106095524000028/ex991icon-amendmentno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2024-07-25T16:09:13Z</dcterms:created>
  <dcterms:modified xsi:type="dcterms:W3CDTF">2024-07-25T16:09:13Z</dcterms:modified>
</cp:coreProperties>
</file>