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April 27,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5360"/>
        <w:spacing w:after="0" w:line="435" w:lineRule="auto"/>
        <w:rPr>
          <w:sz w:val="20"/>
          <w:szCs w:val="20"/>
          <w:color w:val="auto"/>
        </w:rPr>
      </w:pPr>
      <w:r>
        <w:rPr>
          <w:rFonts w:ascii="Arial" w:cs="Arial" w:eastAsia="Arial" w:hAnsi="Arial"/>
          <w:sz w:val="22"/>
          <w:szCs w:val="22"/>
          <w:b w:val="1"/>
          <w:bCs w:val="1"/>
          <w:color w:val="auto"/>
        </w:rPr>
        <w:t>ICON Reports Solid First Quarter, with EPS up 6% Year on Year Highlights – First Quarter Fiscal 2010</w:t>
      </w:r>
    </w:p>
    <w:p>
      <w:pPr>
        <w:spacing w:after="0" w:line="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First quarter net revenues were $219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Income from operations was $26.8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 of 12.2%.</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Diluted earnings per share increased by 2 cent on last year to 37c.</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new business wins in the quarter of $265m, representing a book-to-bill ratio of 1.2.</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DUBLIN--(BUSINESS WIRE)--April 27, 2010--ICON (NASDAQ:ICLR)(ISIN:IE0005711209), a global provider of outsourced development services to the pharmaceutical, biotechnology and medical device industries, today reported its financial results for the first quarter ended March 31, 2010.</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Net revenues for the quarter were $219 million, in line with net revenues of $219.8 million for the comparative quarter last year.</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was $26.8 million or 12.2% of revenue, compared to $26.9 million or 12.2% for the same quarter last year.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Net income was $22.2 million or 37 cents per share on a diluted basis, compared with $20.9 million or 35 cents per share last year.</w:t>
      </w:r>
    </w:p>
    <w:p>
      <w:pPr>
        <w:spacing w:after="0" w:line="22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33 days at March 31, 2010, compared to 33 days at December 31, 2009.</w:t>
      </w:r>
    </w:p>
    <w:p>
      <w:pPr>
        <w:spacing w:after="0" w:line="173"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For the quarter ended March 31, 2010, cash provided from operating activities was $16.8 million and capital expenditure was $9.5 million. As a result, the company’s net cash, amounted to $200 million at March 31, 2010, compared to net cash of $194 million at December 31, 2009.</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“As expected, 2010 has started solidly.” commented CEO Peter Gray. “Following lower booking levels and higher cancellations last year, we had indicated in our February guidance that we believed growth would re-emerge in the second half of 2010. While remaining cautious, with net bookings of $265 million for the quarter, and a pipeline of new opportunities that continues to solidify, we believe the conditions for a return to growth are coming into place. We are pleased with our continued good cash generation and are confident we have the balance sheet to support our growth plans.”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company also announced that Mr. Ted Roberts, who has served as a non-executive director of the company since February</w:t>
      </w:r>
    </w:p>
    <w:p>
      <w:pPr>
        <w:spacing w:after="0" w:line="48" w:lineRule="exact"/>
        <w:rPr>
          <w:sz w:val="20"/>
          <w:szCs w:val="20"/>
          <w:color w:val="auto"/>
        </w:rPr>
      </w:pPr>
    </w:p>
    <w:p>
      <w:pPr>
        <w:jc w:val="both"/>
        <w:ind w:right="40"/>
        <w:spacing w:after="0" w:line="197" w:lineRule="auto"/>
        <w:rPr>
          <w:sz w:val="20"/>
          <w:szCs w:val="20"/>
          <w:color w:val="auto"/>
        </w:rPr>
      </w:pPr>
      <w:r>
        <w:rPr>
          <w:rFonts w:ascii="Arial" w:cs="Arial" w:eastAsia="Arial" w:hAnsi="Arial"/>
          <w:sz w:val="22"/>
          <w:szCs w:val="22"/>
          <w:color w:val="auto"/>
        </w:rPr>
        <w:t>1998, retired at a meeting of the board held on April 19</w:t>
      </w:r>
      <w:r>
        <w:rPr>
          <w:rFonts w:ascii="Arial" w:cs="Arial" w:eastAsia="Arial" w:hAnsi="Arial"/>
          <w:sz w:val="36"/>
          <w:szCs w:val="36"/>
          <w:color w:val="auto"/>
          <w:vertAlign w:val="superscript"/>
        </w:rPr>
        <w:t>th</w:t>
      </w:r>
      <w:r>
        <w:rPr>
          <w:rFonts w:ascii="Arial" w:cs="Arial" w:eastAsia="Arial" w:hAnsi="Arial"/>
          <w:sz w:val="22"/>
          <w:szCs w:val="22"/>
          <w:color w:val="auto"/>
        </w:rPr>
        <w:t>. Mr. Declan McKeon was elected to succeed him at the same meeting and will also serve on the audit committee.</w:t>
      </w:r>
    </w:p>
    <w:p>
      <w:pPr>
        <w:spacing w:after="0" w:line="186" w:lineRule="exact"/>
        <w:rPr>
          <w:sz w:val="20"/>
          <w:szCs w:val="20"/>
          <w:color w:val="auto"/>
        </w:rPr>
      </w:pPr>
    </w:p>
    <w:p>
      <w:pPr>
        <w:jc w:val="both"/>
        <w:ind w:right="60"/>
        <w:spacing w:after="0" w:line="252" w:lineRule="auto"/>
        <w:rPr>
          <w:sz w:val="20"/>
          <w:szCs w:val="20"/>
          <w:color w:val="auto"/>
        </w:rPr>
      </w:pPr>
      <w:r>
        <w:rPr>
          <w:rFonts w:ascii="Arial" w:cs="Arial" w:eastAsia="Arial" w:hAnsi="Arial"/>
          <w:sz w:val="21"/>
          <w:szCs w:val="21"/>
          <w:color w:val="auto"/>
        </w:rPr>
        <w:t>Dr. Bruce Given, chairman of the ICON plc board, commented “We are extremely grateful for the outstanding contribution Ted has provided to the ICON board over the last twelve years. Ted’s experience, built up over 40 years in the pharmaceutical industry, was a great benefit to the company as it emerged in the public markets and developed into the leading CRO it is today. His wisdom and support have been a significant factor in fostering that success.”</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Declan McKeon was a partner in PricewaterhouseCoopers (PwC) from 1986-2007. Declan’s roles included leadership of the audit and business advisory team for PwC Ireland, membership on the PwC Europe audit and business advisory services executive and market sector lead for consumer and industrial products. Declan remains a consultant to PwC and sits on the audit committee of the Royal College of Surgeons in Ireland. Declan holds a Bachelor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560"/>
        <w:spacing w:after="0" w:line="251" w:lineRule="auto"/>
        <w:rPr>
          <w:sz w:val="20"/>
          <w:szCs w:val="20"/>
          <w:color w:val="auto"/>
        </w:rPr>
      </w:pPr>
      <w:r>
        <w:rPr>
          <w:rFonts w:ascii="Arial" w:cs="Arial" w:eastAsia="Arial" w:hAnsi="Arial"/>
          <w:sz w:val="22"/>
          <w:szCs w:val="22"/>
          <w:color w:val="auto"/>
        </w:rPr>
        <w:t>and Masters in Business Studies from University College Dublin and is a Fellow of The Institute of Chartered Accountants in Ireland.</w:t>
      </w:r>
    </w:p>
    <w:p>
      <w:pPr>
        <w:spacing w:after="0" w:line="174"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“We are delighted that Declan is joining our board” commented Dr,.Given, “The breath of his industry experience, gained while a partner with PWC, will enable him to bring fresh perspectives on our market and will complement the strengths and talents of our existing board members.”</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first quarter conference call today, April 27, 2010 at 9:30 EST [14:30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financial information presented herein has been prepared in accordance with U.S. GAAP.</w:t>
      </w:r>
    </w:p>
    <w:p>
      <w:pPr>
        <w:spacing w:after="0" w:line="206"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69 locations in 39 countries and has approximately 7,300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Three Months ended March 31, 2010 and March 31, 2009</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40" w:type="dxa"/>
            <w:vAlign w:val="bottom"/>
            <w:gridSpan w:val="4"/>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15"/>
                <w:szCs w:val="15"/>
                <w:color w:val="auto"/>
              </w:rPr>
            </w:pPr>
          </w:p>
        </w:tc>
        <w:tc>
          <w:tcPr>
            <w:tcW w:w="2840" w:type="dxa"/>
            <w:vAlign w:val="bottom"/>
            <w:gridSpan w:val="4"/>
          </w:tcPr>
          <w:p>
            <w:pPr>
              <w:ind w:left="116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Gross Revenue</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309,551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318,538</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Reimbursable expenses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90,439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98,707</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Net Revenue</w:t>
            </w:r>
          </w:p>
        </w:tc>
        <w:tc>
          <w:tcPr>
            <w:tcW w:w="1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219,112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Costs and expenses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color w:val="auto"/>
              </w:rPr>
              <w:t>Direct costs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131,318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124,168</w:t>
            </w:r>
          </w:p>
        </w:tc>
        <w:tc>
          <w:tcPr>
            <w:tcW w:w="0" w:type="dxa"/>
            <w:vAlign w:val="bottom"/>
          </w:tcPr>
          <w:p>
            <w:pPr>
              <w:spacing w:after="0"/>
              <w:rPr>
                <w:sz w:val="1"/>
                <w:szCs w:val="1"/>
                <w:color w:val="auto"/>
              </w:rPr>
            </w:pPr>
          </w:p>
        </w:tc>
      </w:tr>
      <w:tr>
        <w:trPr>
          <w:trHeight w:val="176"/>
        </w:trPr>
        <w:tc>
          <w:tcPr>
            <w:tcW w:w="762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52,294</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61,258</w:t>
            </w:r>
          </w:p>
        </w:tc>
        <w:tc>
          <w:tcPr>
            <w:tcW w:w="0" w:type="dxa"/>
            <w:vAlign w:val="bottom"/>
          </w:tcPr>
          <w:p>
            <w:pPr>
              <w:spacing w:after="0"/>
              <w:rPr>
                <w:sz w:val="1"/>
                <w:szCs w:val="1"/>
                <w:color w:val="auto"/>
              </w:rPr>
            </w:pPr>
          </w:p>
        </w:tc>
      </w:tr>
      <w:tr>
        <w:trPr>
          <w:trHeight w:val="182"/>
        </w:trPr>
        <w:tc>
          <w:tcPr>
            <w:tcW w:w="76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8,722</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7,490</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 costs and expenses</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192,334</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Income from operations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26,778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26,915</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Net interest expense</w:t>
            </w:r>
          </w:p>
        </w:tc>
        <w:tc>
          <w:tcPr>
            <w:tcW w:w="180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Income before provision for income taxes</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26,586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20" w:type="dxa"/>
            <w:vAlign w:val="bottom"/>
          </w:tcPr>
          <w:p>
            <w:pPr>
              <w:ind w:left="180"/>
              <w:spacing w:after="0"/>
              <w:rPr>
                <w:sz w:val="20"/>
                <w:szCs w:val="20"/>
                <w:color w:val="auto"/>
              </w:rPr>
            </w:pPr>
            <w:r>
              <w:rPr>
                <w:rFonts w:ascii="Arial" w:cs="Arial" w:eastAsia="Arial" w:hAnsi="Arial"/>
                <w:sz w:val="14"/>
                <w:szCs w:val="14"/>
                <w:color w:val="auto"/>
              </w:rPr>
              <w:t>Provision for income taxes</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4,387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174"/>
        </w:trPr>
        <w:tc>
          <w:tcPr>
            <w:tcW w:w="7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Net income</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20" w:type="dxa"/>
            <w:vAlign w:val="bottom"/>
            <w:vMerge w:val="continue"/>
          </w:tcPr>
          <w:p>
            <w:pPr>
              <w:spacing w:after="0"/>
              <w:rPr>
                <w:sz w:val="14"/>
                <w:szCs w:val="14"/>
                <w:color w:val="auto"/>
              </w:rPr>
            </w:pPr>
          </w:p>
        </w:tc>
        <w:tc>
          <w:tcPr>
            <w:tcW w:w="1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22,199</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0"/>
              <w:spacing w:after="0"/>
              <w:rPr>
                <w:sz w:val="20"/>
                <w:szCs w:val="20"/>
                <w:color w:val="auto"/>
              </w:rPr>
            </w:pPr>
            <w:r>
              <w:rPr>
                <w:rFonts w:ascii="Arial" w:cs="Arial" w:eastAsia="Arial" w:hAnsi="Arial"/>
                <w:sz w:val="14"/>
                <w:szCs w:val="14"/>
                <w:color w:val="auto"/>
              </w:rPr>
              <w:t>Net income per ordinary share</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620" w:type="dxa"/>
            <w:vAlign w:val="bottom"/>
          </w:tcPr>
          <w:p>
            <w:pPr>
              <w:ind w:left="180"/>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$0.38</w:t>
            </w: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62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339"/>
        </w:trPr>
        <w:tc>
          <w:tcPr>
            <w:tcW w:w="7620" w:type="dxa"/>
            <w:vAlign w:val="bottom"/>
          </w:tcPr>
          <w:p>
            <w:pPr>
              <w:ind w:left="180"/>
              <w:spacing w:after="0"/>
              <w:rPr>
                <w:sz w:val="20"/>
                <w:szCs w:val="20"/>
                <w:color w:val="auto"/>
              </w:rPr>
            </w:pPr>
            <w:r>
              <w:rPr>
                <w:rFonts w:ascii="Arial" w:cs="Arial" w:eastAsia="Arial" w:hAnsi="Arial"/>
                <w:sz w:val="14"/>
                <w:szCs w:val="14"/>
                <w:color w:val="auto"/>
              </w:rPr>
              <w:t>Weighted average number of ordinary shares</w:t>
            </w:r>
          </w:p>
        </w:tc>
        <w:tc>
          <w:tcPr>
            <w:tcW w:w="1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180"/>
              <w:spacing w:after="0"/>
              <w:rPr>
                <w:sz w:val="20"/>
                <w:szCs w:val="20"/>
                <w:color w:val="auto"/>
              </w:rPr>
            </w:pPr>
            <w:r>
              <w:rPr>
                <w:rFonts w:ascii="Arial" w:cs="Arial" w:eastAsia="Arial" w:hAnsi="Arial"/>
                <w:sz w:val="14"/>
                <w:szCs w:val="14"/>
                <w:color w:val="auto"/>
              </w:rPr>
              <w:t>Basic</w:t>
            </w:r>
          </w:p>
        </w:tc>
        <w:tc>
          <w:tcPr>
            <w:tcW w:w="1800" w:type="dxa"/>
            <w:vAlign w:val="bottom"/>
          </w:tcPr>
          <w:p>
            <w:pPr>
              <w:jc w:val="right"/>
              <w:spacing w:after="0"/>
              <w:rPr>
                <w:sz w:val="20"/>
                <w:szCs w:val="20"/>
                <w:color w:val="auto"/>
              </w:rPr>
            </w:pPr>
            <w:r>
              <w:rPr>
                <w:rFonts w:ascii="Arial" w:cs="Arial" w:eastAsia="Arial" w:hAnsi="Arial"/>
                <w:sz w:val="14"/>
                <w:szCs w:val="14"/>
                <w:color w:val="auto"/>
              </w:rPr>
              <w:t>59,122,650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58,537,795</w:t>
            </w:r>
          </w:p>
        </w:tc>
        <w:tc>
          <w:tcPr>
            <w:tcW w:w="0" w:type="dxa"/>
            <w:vAlign w:val="bottom"/>
          </w:tcPr>
          <w:p>
            <w:pPr>
              <w:spacing w:after="0"/>
              <w:rPr>
                <w:sz w:val="1"/>
                <w:szCs w:val="1"/>
                <w:color w:val="auto"/>
              </w:rPr>
            </w:pPr>
          </w:p>
        </w:tc>
      </w:tr>
      <w:tr>
        <w:trPr>
          <w:trHeight w:val="351"/>
        </w:trPr>
        <w:tc>
          <w:tcPr>
            <w:tcW w:w="7620" w:type="dxa"/>
            <w:vAlign w:val="bottom"/>
          </w:tcPr>
          <w:p>
            <w:pPr>
              <w:ind w:left="180"/>
              <w:spacing w:after="0"/>
              <w:rPr>
                <w:sz w:val="20"/>
                <w:szCs w:val="20"/>
                <w:color w:val="auto"/>
              </w:rPr>
            </w:pPr>
            <w:r>
              <w:rPr>
                <w:rFonts w:ascii="Arial" w:cs="Arial" w:eastAsia="Arial" w:hAnsi="Arial"/>
                <w:sz w:val="14"/>
                <w:szCs w:val="14"/>
                <w:color w:val="auto"/>
              </w:rPr>
              <w:t>Diluted</w:t>
            </w:r>
          </w:p>
        </w:tc>
        <w:tc>
          <w:tcPr>
            <w:tcW w:w="1800" w:type="dxa"/>
            <w:vAlign w:val="bottom"/>
          </w:tcPr>
          <w:p>
            <w:pPr>
              <w:jc w:val="right"/>
              <w:spacing w:after="0"/>
              <w:rPr>
                <w:sz w:val="20"/>
                <w:szCs w:val="20"/>
                <w:color w:val="auto"/>
              </w:rPr>
            </w:pPr>
            <w:r>
              <w:rPr>
                <w:rFonts w:ascii="Arial" w:cs="Arial" w:eastAsia="Arial" w:hAnsi="Arial"/>
                <w:sz w:val="14"/>
                <w:szCs w:val="14"/>
                <w:color w:val="auto"/>
              </w:rPr>
              <w:t>60,313,774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59,771,335</w:t>
            </w:r>
          </w:p>
        </w:tc>
        <w:tc>
          <w:tcPr>
            <w:tcW w:w="0" w:type="dxa"/>
            <w:vAlign w:val="bottom"/>
          </w:tcPr>
          <w:p>
            <w:pPr>
              <w:spacing w:after="0"/>
              <w:rPr>
                <w:sz w:val="1"/>
                <w:szCs w:val="1"/>
                <w:color w:val="auto"/>
              </w:rPr>
            </w:pPr>
          </w:p>
        </w:tc>
      </w:tr>
      <w:tr>
        <w:trPr>
          <w:trHeight w:val="309"/>
        </w:trPr>
        <w:tc>
          <w:tcPr>
            <w:tcW w:w="76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2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2010 and December 31, 2009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6820" w:type="dxa"/>
            <w:vAlign w:val="bottom"/>
          </w:tcPr>
          <w:p>
            <w:pPr>
              <w:jc w:val="right"/>
              <w:ind w:right="588"/>
              <w:spacing w:after="0"/>
              <w:rPr>
                <w:sz w:val="20"/>
                <w:szCs w:val="20"/>
                <w:color w:val="auto"/>
              </w:rPr>
            </w:pPr>
            <w:r>
              <w:rPr>
                <w:rFonts w:ascii="Arial" w:cs="Arial" w:eastAsia="Arial" w:hAnsi="Arial"/>
                <w:sz w:val="14"/>
                <w:szCs w:val="14"/>
                <w:b w:val="1"/>
                <w:bCs w:val="1"/>
                <w:color w:val="auto"/>
              </w:rPr>
              <w:t>March 31,</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080" w:type="dxa"/>
            <w:vAlign w:val="bottom"/>
          </w:tcPr>
          <w:p>
            <w:pPr>
              <w:spacing w:after="0"/>
              <w:rPr>
                <w:sz w:val="15"/>
                <w:szCs w:val="15"/>
                <w:color w:val="auto"/>
              </w:rPr>
            </w:pPr>
          </w:p>
        </w:tc>
        <w:tc>
          <w:tcPr>
            <w:tcW w:w="68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2010</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r>
      <w:tr>
        <w:trPr>
          <w:trHeight w:val="180"/>
        </w:trPr>
        <w:tc>
          <w:tcPr>
            <w:tcW w:w="3080" w:type="dxa"/>
            <w:vAlign w:val="bottom"/>
          </w:tcPr>
          <w:p>
            <w:pPr>
              <w:spacing w:after="0"/>
              <w:rPr>
                <w:sz w:val="15"/>
                <w:szCs w:val="15"/>
                <w:color w:val="auto"/>
              </w:rPr>
            </w:pPr>
          </w:p>
        </w:tc>
        <w:tc>
          <w:tcPr>
            <w:tcW w:w="6820" w:type="dxa"/>
            <w:vAlign w:val="bottom"/>
          </w:tcPr>
          <w:p>
            <w:pPr>
              <w:jc w:val="right"/>
              <w:ind w:right="588"/>
              <w:spacing w:after="0"/>
              <w:rPr>
                <w:sz w:val="20"/>
                <w:szCs w:val="20"/>
                <w:color w:val="auto"/>
              </w:rPr>
            </w:pPr>
            <w:r>
              <w:rPr>
                <w:rFonts w:ascii="Arial" w:cs="Arial" w:eastAsia="Arial" w:hAnsi="Arial"/>
                <w:sz w:val="14"/>
                <w:szCs w:val="14"/>
                <w:b w:val="1"/>
                <w:bCs w:val="1"/>
                <w:color w:val="auto"/>
              </w:rPr>
              <w:t>(Unaudited)</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199,744</w:t>
            </w:r>
          </w:p>
        </w:tc>
        <w:tc>
          <w:tcPr>
            <w:tcW w:w="1520" w:type="dxa"/>
            <w:vAlign w:val="bottom"/>
          </w:tcPr>
          <w:p>
            <w:pPr>
              <w:jc w:val="right"/>
              <w:spacing w:after="0"/>
              <w:rPr>
                <w:sz w:val="20"/>
                <w:szCs w:val="20"/>
                <w:color w:val="auto"/>
              </w:rPr>
            </w:pPr>
            <w:r>
              <w:rPr>
                <w:rFonts w:ascii="Arial" w:cs="Arial" w:eastAsia="Arial" w:hAnsi="Arial"/>
                <w:sz w:val="14"/>
                <w:szCs w:val="14"/>
                <w:color w:val="auto"/>
              </w:rPr>
              <w:t>194,028</w:t>
            </w:r>
          </w:p>
        </w:tc>
      </w:tr>
      <w:tr>
        <w:trPr>
          <w:trHeight w:val="344"/>
        </w:trPr>
        <w:tc>
          <w:tcPr>
            <w:tcW w:w="3080" w:type="dxa"/>
            <w:vAlign w:val="bottom"/>
          </w:tcPr>
          <w:p>
            <w:pPr>
              <w:spacing w:after="0"/>
              <w:rPr>
                <w:sz w:val="20"/>
                <w:szCs w:val="20"/>
                <w:color w:val="auto"/>
              </w:rPr>
            </w:pPr>
            <w:r>
              <w:rPr>
                <w:rFonts w:ascii="Arial" w:cs="Arial" w:eastAsia="Arial" w:hAnsi="Arial"/>
                <w:sz w:val="14"/>
                <w:szCs w:val="14"/>
                <w:color w:val="auto"/>
              </w:rPr>
              <w:t>Accounts receivable</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183,445</w:t>
            </w:r>
          </w:p>
        </w:tc>
        <w:tc>
          <w:tcPr>
            <w:tcW w:w="1520" w:type="dxa"/>
            <w:vAlign w:val="bottom"/>
          </w:tcPr>
          <w:p>
            <w:pPr>
              <w:jc w:val="right"/>
              <w:spacing w:after="0"/>
              <w:rPr>
                <w:sz w:val="20"/>
                <w:szCs w:val="20"/>
                <w:color w:val="auto"/>
              </w:rPr>
            </w:pPr>
            <w:r>
              <w:rPr>
                <w:rFonts w:ascii="Arial" w:cs="Arial" w:eastAsia="Arial" w:hAnsi="Arial"/>
                <w:sz w:val="14"/>
                <w:szCs w:val="14"/>
                <w:color w:val="auto"/>
              </w:rPr>
              <w:t>191,924</w:t>
            </w:r>
          </w:p>
        </w:tc>
      </w:tr>
      <w:tr>
        <w:trPr>
          <w:trHeight w:val="176"/>
        </w:trPr>
        <w:tc>
          <w:tcPr>
            <w:tcW w:w="3080" w:type="dxa"/>
            <w:vAlign w:val="bottom"/>
          </w:tcPr>
          <w:p>
            <w:pPr>
              <w:spacing w:after="0"/>
              <w:rPr>
                <w:sz w:val="20"/>
                <w:szCs w:val="20"/>
                <w:color w:val="auto"/>
              </w:rPr>
            </w:pPr>
            <w:r>
              <w:rPr>
                <w:rFonts w:ascii="Arial" w:cs="Arial" w:eastAsia="Arial" w:hAnsi="Arial"/>
                <w:sz w:val="14"/>
                <w:szCs w:val="14"/>
                <w:color w:val="auto"/>
              </w:rPr>
              <w:t>Unbilled revenue</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92,480</w:t>
            </w:r>
          </w:p>
        </w:tc>
        <w:tc>
          <w:tcPr>
            <w:tcW w:w="1520" w:type="dxa"/>
            <w:vAlign w:val="bottom"/>
          </w:tcPr>
          <w:p>
            <w:pPr>
              <w:jc w:val="right"/>
              <w:spacing w:after="0"/>
              <w:rPr>
                <w:sz w:val="20"/>
                <w:szCs w:val="20"/>
                <w:color w:val="auto"/>
              </w:rPr>
            </w:pPr>
            <w:r>
              <w:rPr>
                <w:rFonts w:ascii="Arial" w:cs="Arial" w:eastAsia="Arial" w:hAnsi="Arial"/>
                <w:sz w:val="14"/>
                <w:szCs w:val="14"/>
                <w:color w:val="auto"/>
              </w:rPr>
              <w:t>92,080</w:t>
            </w:r>
          </w:p>
        </w:tc>
      </w:tr>
      <w:tr>
        <w:trPr>
          <w:trHeight w:val="176"/>
        </w:trPr>
        <w:tc>
          <w:tcPr>
            <w:tcW w:w="3080" w:type="dxa"/>
            <w:vAlign w:val="bottom"/>
          </w:tcPr>
          <w:p>
            <w:pPr>
              <w:spacing w:after="0"/>
              <w:rPr>
                <w:sz w:val="20"/>
                <w:szCs w:val="20"/>
                <w:color w:val="auto"/>
              </w:rPr>
            </w:pPr>
            <w:r>
              <w:rPr>
                <w:rFonts w:ascii="Arial" w:cs="Arial" w:eastAsia="Arial" w:hAnsi="Arial"/>
                <w:sz w:val="14"/>
                <w:szCs w:val="14"/>
                <w:color w:val="auto"/>
              </w:rPr>
              <w:t>Payments on account</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(163,589)</w:t>
            </w:r>
          </w:p>
        </w:tc>
        <w:tc>
          <w:tcPr>
            <w:tcW w:w="1520" w:type="dxa"/>
            <w:vAlign w:val="bottom"/>
          </w:tcPr>
          <w:p>
            <w:pPr>
              <w:jc w:val="right"/>
              <w:spacing w:after="0"/>
              <w:rPr>
                <w:sz w:val="20"/>
                <w:szCs w:val="20"/>
                <w:color w:val="auto"/>
              </w:rPr>
            </w:pPr>
            <w:r>
              <w:rPr>
                <w:rFonts w:ascii="Arial" w:cs="Arial" w:eastAsia="Arial" w:hAnsi="Arial"/>
                <w:sz w:val="14"/>
                <w:szCs w:val="14"/>
                <w:color w:val="auto"/>
              </w:rPr>
              <w:t>(165,198)</w:t>
            </w: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Total</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112,336</w:t>
            </w:r>
          </w:p>
        </w:tc>
        <w:tc>
          <w:tcPr>
            <w:tcW w:w="1520" w:type="dxa"/>
            <w:vAlign w:val="bottom"/>
          </w:tcPr>
          <w:p>
            <w:pPr>
              <w:jc w:val="right"/>
              <w:spacing w:after="0"/>
              <w:rPr>
                <w:sz w:val="20"/>
                <w:szCs w:val="20"/>
                <w:color w:val="auto"/>
              </w:rPr>
            </w:pPr>
            <w:r>
              <w:rPr>
                <w:rFonts w:ascii="Arial" w:cs="Arial" w:eastAsia="Arial" w:hAnsi="Arial"/>
                <w:sz w:val="14"/>
                <w:szCs w:val="14"/>
                <w:color w:val="auto"/>
              </w:rPr>
              <w:t>118,806</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Working Capital</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260,553</w:t>
            </w:r>
          </w:p>
        </w:tc>
        <w:tc>
          <w:tcPr>
            <w:tcW w:w="1520" w:type="dxa"/>
            <w:vAlign w:val="bottom"/>
          </w:tcPr>
          <w:p>
            <w:pPr>
              <w:jc w:val="right"/>
              <w:spacing w:after="0"/>
              <w:rPr>
                <w:sz w:val="20"/>
                <w:szCs w:val="20"/>
                <w:color w:val="auto"/>
              </w:rPr>
            </w:pPr>
            <w:r>
              <w:rPr>
                <w:rFonts w:ascii="Arial" w:cs="Arial" w:eastAsia="Arial" w:hAnsi="Arial"/>
                <w:sz w:val="14"/>
                <w:szCs w:val="14"/>
                <w:color w:val="auto"/>
              </w:rPr>
              <w:t>235,906</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Total Assets</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897,101</w:t>
            </w:r>
          </w:p>
        </w:tc>
        <w:tc>
          <w:tcPr>
            <w:tcW w:w="1520" w:type="dxa"/>
            <w:vAlign w:val="bottom"/>
          </w:tcPr>
          <w:p>
            <w:pPr>
              <w:jc w:val="right"/>
              <w:spacing w:after="0"/>
              <w:rPr>
                <w:sz w:val="20"/>
                <w:szCs w:val="20"/>
                <w:color w:val="auto"/>
              </w:rPr>
            </w:pPr>
            <w:r>
              <w:rPr>
                <w:rFonts w:ascii="Arial" w:cs="Arial" w:eastAsia="Arial" w:hAnsi="Arial"/>
                <w:sz w:val="14"/>
                <w:szCs w:val="14"/>
                <w:color w:val="auto"/>
              </w:rPr>
              <w:t>908,398</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Shareholder's Equity</w:t>
            </w:r>
          </w:p>
        </w:tc>
        <w:tc>
          <w:tcPr>
            <w:tcW w:w="6820" w:type="dxa"/>
            <w:vAlign w:val="bottom"/>
          </w:tcPr>
          <w:p>
            <w:pPr>
              <w:jc w:val="right"/>
              <w:ind w:right="588"/>
              <w:spacing w:after="0"/>
              <w:rPr>
                <w:sz w:val="20"/>
                <w:szCs w:val="20"/>
                <w:color w:val="auto"/>
              </w:rPr>
            </w:pPr>
            <w:r>
              <w:rPr>
                <w:rFonts w:ascii="Arial" w:cs="Arial" w:eastAsia="Arial" w:hAnsi="Arial"/>
                <w:sz w:val="14"/>
                <w:szCs w:val="14"/>
                <w:color w:val="auto"/>
              </w:rPr>
              <w:t>584,981</w:t>
            </w:r>
          </w:p>
        </w:tc>
        <w:tc>
          <w:tcPr>
            <w:tcW w:w="1520" w:type="dxa"/>
            <w:vAlign w:val="bottom"/>
          </w:tcPr>
          <w:p>
            <w:pPr>
              <w:jc w:val="right"/>
              <w:spacing w:after="0"/>
              <w:rPr>
                <w:sz w:val="20"/>
                <w:szCs w:val="20"/>
                <w:color w:val="auto"/>
              </w:rPr>
            </w:pPr>
            <w:r>
              <w:rPr>
                <w:rFonts w:ascii="Arial" w:cs="Arial" w:eastAsia="Arial" w:hAnsi="Arial"/>
                <w:sz w:val="14"/>
                <w:szCs w:val="14"/>
                <w:color w:val="auto"/>
              </w:rPr>
              <w:t>572,246</w:t>
            </w:r>
          </w:p>
        </w:tc>
      </w:tr>
      <w:tr>
        <w:trPr>
          <w:trHeight w:val="527"/>
        </w:trPr>
        <w:tc>
          <w:tcPr>
            <w:tcW w:w="308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820" w:type="dxa"/>
            <w:vAlign w:val="bottom"/>
          </w:tcPr>
          <w:p>
            <w:pPr>
              <w:ind w:left="1200"/>
              <w:spacing w:after="0"/>
              <w:rPr>
                <w:sz w:val="20"/>
                <w:szCs w:val="20"/>
                <w:color w:val="auto"/>
              </w:rPr>
            </w:pPr>
            <w:r>
              <w:rPr>
                <w:rFonts w:ascii="Arial" w:cs="Arial" w:eastAsia="Arial" w:hAnsi="Arial"/>
                <w:sz w:val="14"/>
                <w:szCs w:val="14"/>
                <w:color w:val="auto"/>
              </w:rPr>
              <w:t>ICON plc</w:t>
            </w:r>
          </w:p>
        </w:tc>
        <w:tc>
          <w:tcPr>
            <w:tcW w:w="1520" w:type="dxa"/>
            <w:vAlign w:val="bottom"/>
          </w:tcPr>
          <w:p>
            <w:pPr>
              <w:spacing w:after="0"/>
              <w:rPr>
                <w:sz w:val="24"/>
                <w:szCs w:val="24"/>
                <w:color w:val="auto"/>
              </w:rPr>
            </w:pPr>
          </w:p>
        </w:tc>
      </w:tr>
      <w:tr>
        <w:trPr>
          <w:trHeight w:val="344"/>
        </w:trPr>
        <w:tc>
          <w:tcPr>
            <w:tcW w:w="308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820" w:type="dxa"/>
            <w:vAlign w:val="bottom"/>
          </w:tcPr>
          <w:p>
            <w:pPr>
              <w:ind w:left="1200"/>
              <w:spacing w:after="0"/>
              <w:rPr>
                <w:sz w:val="20"/>
                <w:szCs w:val="20"/>
                <w:color w:val="auto"/>
              </w:rPr>
            </w:pPr>
            <w:r>
              <w:rPr>
                <w:rFonts w:ascii="Arial" w:cs="Arial" w:eastAsia="Arial" w:hAnsi="Arial"/>
                <w:sz w:val="14"/>
                <w:szCs w:val="14"/>
                <w:color w:val="auto"/>
              </w:rPr>
              <w:t>Investor Relations 1-888-381-7923 or</w:t>
            </w:r>
          </w:p>
        </w:tc>
        <w:tc>
          <w:tcPr>
            <w:tcW w:w="152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6820" w:type="dxa"/>
            <w:vAlign w:val="bottom"/>
          </w:tcPr>
          <w:p>
            <w:pPr>
              <w:ind w:left="1200"/>
              <w:spacing w:after="0"/>
              <w:rPr>
                <w:sz w:val="20"/>
                <w:szCs w:val="20"/>
                <w:color w:val="auto"/>
              </w:rPr>
            </w:pPr>
            <w:r>
              <w:rPr>
                <w:rFonts w:ascii="Arial" w:cs="Arial" w:eastAsia="Arial" w:hAnsi="Arial"/>
                <w:sz w:val="14"/>
                <w:szCs w:val="14"/>
                <w:color w:val="auto"/>
              </w:rPr>
              <w:t>Ciaran Murray CFO + 353 1 291 2000</w:t>
            </w:r>
          </w:p>
        </w:tc>
        <w:tc>
          <w:tcPr>
            <w:tcW w:w="1520" w:type="dxa"/>
            <w:vAlign w:val="bottom"/>
          </w:tcPr>
          <w:p>
            <w:pPr>
              <w:spacing w:after="0"/>
              <w:rPr>
                <w:sz w:val="15"/>
                <w:szCs w:val="15"/>
                <w:color w:val="auto"/>
              </w:rPr>
            </w:pPr>
          </w:p>
        </w:tc>
      </w:tr>
    </w:tbl>
    <w:p>
      <w:pPr>
        <w:ind w:left="4280"/>
        <w:spacing w:after="0"/>
        <w:rPr>
          <w:sz w:val="20"/>
          <w:szCs w:val="20"/>
          <w:color w:val="auto"/>
        </w:rPr>
      </w:pPr>
      <w:r>
        <w:rPr>
          <w:rFonts w:ascii="Arial" w:cs="Arial" w:eastAsia="Arial" w:hAnsi="Arial"/>
          <w:sz w:val="14"/>
          <w:szCs w:val="14"/>
          <w:color w:val="auto"/>
        </w:rPr>
        <w:t>Brendan Brennan VP CorpFinance/IR + 353 291 2000</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All at ICON.</w:t>
      </w:r>
    </w:p>
    <w:p>
      <w:pPr>
        <w:spacing w:after="0" w:line="183" w:lineRule="exact"/>
        <w:rPr>
          <w:sz w:val="20"/>
          <w:szCs w:val="20"/>
          <w:color w:val="auto"/>
        </w:rPr>
      </w:pPr>
    </w:p>
    <w:p>
      <w:pPr>
        <w:ind w:left="4280"/>
        <w:spacing w:after="0"/>
        <w:rPr>
          <w:sz w:val="20"/>
          <w:szCs w:val="20"/>
          <w:color w:val="auto"/>
        </w:rPr>
      </w:pPr>
      <w:r>
        <w:rPr>
          <w:rFonts w:ascii="Arial" w:cs="Arial" w:eastAsia="Arial" w:hAnsi="Arial"/>
          <w:sz w:val="14"/>
          <w:szCs w:val="14"/>
          <w:u w:val="single" w:color="auto"/>
          <w:color w:val="auto"/>
        </w:rPr>
        <w:t>http://www.iconplc.com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CFO, + 353 –1-291-2000</w:t>
      </w:r>
    </w:p>
    <w:p>
      <w:pPr>
        <w:spacing w:after="0" w:line="230"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VP Corp Fin/IR, +353 1 291-2000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2019-12-10T17:17:55Z</dcterms:created>
  <dcterms:modified xsi:type="dcterms:W3CDTF">2019-12-10T17:17:55Z</dcterms:modified>
</cp:coreProperties>
</file>