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FORM 6-K</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Washington, D.C. 20549</w:t>
      </w:r>
    </w:p>
    <w:p>
      <w:pPr>
        <w:spacing w:after="0" w:line="200" w:lineRule="exact"/>
        <w:rPr>
          <w:sz w:val="24"/>
          <w:szCs w:val="24"/>
          <w:color w:val="auto"/>
        </w:rPr>
      </w:pPr>
    </w:p>
    <w:p>
      <w:pPr>
        <w:spacing w:after="0" w:line="270"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Report of Foreign Private Issuer</w:t>
      </w:r>
    </w:p>
    <w:p>
      <w:pPr>
        <w:jc w:val="center"/>
        <w:ind w:right="-19"/>
        <w:spacing w:after="0" w:line="226" w:lineRule="auto"/>
        <w:rPr>
          <w:sz w:val="20"/>
          <w:szCs w:val="20"/>
          <w:color w:val="auto"/>
        </w:rPr>
      </w:pPr>
      <w:r>
        <w:rPr>
          <w:rFonts w:ascii="Arial" w:cs="Arial" w:eastAsia="Arial" w:hAnsi="Arial"/>
          <w:sz w:val="14"/>
          <w:szCs w:val="14"/>
          <w:b w:val="1"/>
          <w:bCs w:val="1"/>
          <w:color w:val="auto"/>
        </w:rPr>
        <w:t>Pursuant to Rule 13a - 16 under</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the Securities Exchange Act of 1934</w:t>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For the month of July, 2008</w:t>
      </w:r>
    </w:p>
    <w:p>
      <w:pPr>
        <w:spacing w:after="0" w:line="217"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ICON plc</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(Registrant’s name)</w:t>
      </w:r>
    </w:p>
    <w:p>
      <w:pPr>
        <w:spacing w:after="0" w:line="218"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0-29714</w:t>
      </w:r>
    </w:p>
    <w:p>
      <w:pPr>
        <w:jc w:val="center"/>
        <w:ind w:right="-19"/>
        <w:spacing w:after="0"/>
        <w:rPr>
          <w:sz w:val="20"/>
          <w:szCs w:val="20"/>
          <w:color w:val="auto"/>
        </w:rPr>
      </w:pPr>
      <w:r>
        <w:rPr>
          <w:rFonts w:ascii="Arial" w:cs="Arial" w:eastAsia="Arial" w:hAnsi="Arial"/>
          <w:sz w:val="14"/>
          <w:szCs w:val="14"/>
          <w:color w:val="auto"/>
        </w:rPr>
        <w:t>(Commission file number)</w:t>
      </w:r>
    </w:p>
    <w:p>
      <w:pPr>
        <w:spacing w:after="0" w:line="218"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South County Business Park, Leopardstown, Dublin 18, Ireland.</w:t>
      </w:r>
    </w:p>
    <w:p>
      <w:pPr>
        <w:jc w:val="center"/>
        <w:ind w:right="-19"/>
        <w:spacing w:after="0"/>
        <w:rPr>
          <w:sz w:val="20"/>
          <w:szCs w:val="20"/>
          <w:color w:val="auto"/>
        </w:rPr>
      </w:pPr>
      <w:r>
        <w:rPr>
          <w:rFonts w:ascii="Arial" w:cs="Arial" w:eastAsia="Arial" w:hAnsi="Arial"/>
          <w:sz w:val="14"/>
          <w:szCs w:val="14"/>
          <w:color w:val="auto"/>
        </w:rPr>
        <w:t>(Address of principal executive offices)</w:t>
      </w:r>
    </w:p>
    <w:p>
      <w:pPr>
        <w:spacing w:after="0" w:line="200" w:lineRule="exact"/>
        <w:rPr>
          <w:sz w:val="24"/>
          <w:szCs w:val="24"/>
          <w:color w:val="auto"/>
        </w:rPr>
      </w:pPr>
    </w:p>
    <w:p>
      <w:pPr>
        <w:spacing w:after="0" w:line="262"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files or will file annual reports under cover Form 20-F or Form 40-F.</w:t>
      </w:r>
    </w:p>
    <w:p>
      <w:pPr>
        <w:spacing w:after="0" w:line="227" w:lineRule="exact"/>
        <w:rPr>
          <w:sz w:val="24"/>
          <w:szCs w:val="24"/>
          <w:color w:val="auto"/>
        </w:rPr>
      </w:pPr>
    </w:p>
    <w:p>
      <w:pPr>
        <w:ind w:left="4980"/>
        <w:spacing w:after="0"/>
        <w:rPr>
          <w:sz w:val="20"/>
          <w:szCs w:val="20"/>
          <w:color w:val="auto"/>
        </w:rPr>
      </w:pPr>
      <w:r>
        <w:rPr>
          <w:rFonts w:ascii="Arial" w:cs="Arial" w:eastAsia="Arial" w:hAnsi="Arial"/>
          <w:sz w:val="14"/>
          <w:szCs w:val="14"/>
          <w:color w:val="auto"/>
        </w:rPr>
        <w:t>Yes___</w:t>
      </w:r>
      <w:r>
        <w:rPr>
          <w:rFonts w:ascii="Arial" w:cs="Arial" w:eastAsia="Arial" w:hAnsi="Arial"/>
          <w:sz w:val="14"/>
          <w:szCs w:val="14"/>
          <w:b w:val="1"/>
          <w:bCs w:val="1"/>
          <w:u w:val="single" w:color="auto"/>
          <w:color w:val="auto"/>
        </w:rPr>
        <w:t>X</w:t>
      </w:r>
      <w:r>
        <w:rPr>
          <w:rFonts w:ascii="Arial" w:cs="Arial" w:eastAsia="Arial" w:hAnsi="Arial"/>
          <w:sz w:val="14"/>
          <w:szCs w:val="14"/>
          <w:color w:val="auto"/>
        </w:rPr>
        <w:t>___ No___</w:t>
      </w:r>
      <w:r>
        <w:rPr>
          <w:rFonts w:ascii="Arial" w:cs="Arial" w:eastAsia="Arial" w:hAnsi="Arial"/>
          <w:sz w:val="14"/>
          <w:szCs w:val="14"/>
          <w:b w:val="1"/>
          <w:bCs w:val="1"/>
          <w:color w:val="auto"/>
        </w:rPr>
        <w:t>_</w:t>
      </w:r>
      <w:r>
        <w:rPr>
          <w:rFonts w:ascii="Arial" w:cs="Arial" w:eastAsia="Arial" w:hAnsi="Arial"/>
          <w:sz w:val="14"/>
          <w:szCs w:val="14"/>
          <w:color w:val="auto"/>
        </w:rPr>
        <w:t>___</w:t>
      </w:r>
    </w:p>
    <w:p>
      <w:pPr>
        <w:spacing w:after="0" w:line="235"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submitting the Form 6-K in paper as permitted by Regulation S-T Rule 101(b)(1):</w:t>
      </w:r>
    </w:p>
    <w:p>
      <w:pPr>
        <w:spacing w:after="0" w:line="227" w:lineRule="exact"/>
        <w:rPr>
          <w:sz w:val="24"/>
          <w:szCs w:val="24"/>
          <w:color w:val="auto"/>
        </w:rPr>
      </w:pPr>
    </w:p>
    <w:p>
      <w:pPr>
        <w:ind w:left="5020"/>
        <w:spacing w:after="0"/>
        <w:rPr>
          <w:sz w:val="20"/>
          <w:szCs w:val="20"/>
          <w:color w:val="auto"/>
        </w:rPr>
      </w:pPr>
      <w:r>
        <w:rPr>
          <w:rFonts w:ascii="Arial" w:cs="Arial" w:eastAsia="Arial" w:hAnsi="Arial"/>
          <w:sz w:val="14"/>
          <w:szCs w:val="14"/>
          <w:color w:val="auto"/>
        </w:rPr>
        <w:t>Yes______ No___</w:t>
      </w:r>
      <w:r>
        <w:rPr>
          <w:rFonts w:ascii="Arial" w:cs="Arial" w:eastAsia="Arial" w:hAnsi="Arial"/>
          <w:sz w:val="14"/>
          <w:szCs w:val="14"/>
          <w:b w:val="1"/>
          <w:bCs w:val="1"/>
          <w:u w:val="single" w:color="auto"/>
          <w:color w:val="auto"/>
        </w:rPr>
        <w:t>X</w:t>
      </w:r>
      <w:r>
        <w:rPr>
          <w:rFonts w:ascii="Arial" w:cs="Arial" w:eastAsia="Arial" w:hAnsi="Arial"/>
          <w:sz w:val="14"/>
          <w:szCs w:val="14"/>
          <w:color w:val="auto"/>
        </w:rPr>
        <w:t>___</w:t>
      </w:r>
    </w:p>
    <w:p>
      <w:pPr>
        <w:spacing w:after="0" w:line="200" w:lineRule="exact"/>
        <w:rPr>
          <w:sz w:val="24"/>
          <w:szCs w:val="24"/>
          <w:color w:val="auto"/>
        </w:rPr>
      </w:pPr>
    </w:p>
    <w:p>
      <w:pPr>
        <w:spacing w:after="0" w:line="278"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submitting the Form 6-K in paper as permitted by Regulation S-T Rule 101(b)(7):</w:t>
      </w:r>
    </w:p>
    <w:p>
      <w:pPr>
        <w:spacing w:after="0" w:line="227" w:lineRule="exact"/>
        <w:rPr>
          <w:sz w:val="24"/>
          <w:szCs w:val="24"/>
          <w:color w:val="auto"/>
        </w:rPr>
      </w:pPr>
    </w:p>
    <w:p>
      <w:pPr>
        <w:ind w:left="5020"/>
        <w:spacing w:after="0"/>
        <w:rPr>
          <w:sz w:val="20"/>
          <w:szCs w:val="20"/>
          <w:color w:val="auto"/>
        </w:rPr>
      </w:pPr>
      <w:r>
        <w:rPr>
          <w:rFonts w:ascii="Arial" w:cs="Arial" w:eastAsia="Arial" w:hAnsi="Arial"/>
          <w:sz w:val="14"/>
          <w:szCs w:val="14"/>
          <w:color w:val="auto"/>
        </w:rPr>
        <w:t>Yes______ No___</w:t>
      </w:r>
      <w:r>
        <w:rPr>
          <w:rFonts w:ascii="Arial" w:cs="Arial" w:eastAsia="Arial" w:hAnsi="Arial"/>
          <w:sz w:val="14"/>
          <w:szCs w:val="14"/>
          <w:b w:val="1"/>
          <w:bCs w:val="1"/>
          <w:u w:val="single" w:color="auto"/>
          <w:color w:val="auto"/>
        </w:rPr>
        <w:t>X</w:t>
      </w:r>
      <w:r>
        <w:rPr>
          <w:rFonts w:ascii="Arial" w:cs="Arial" w:eastAsia="Arial" w:hAnsi="Arial"/>
          <w:sz w:val="14"/>
          <w:szCs w:val="14"/>
          <w:color w:val="auto"/>
        </w:rPr>
        <w:t>___</w:t>
      </w:r>
    </w:p>
    <w:p>
      <w:pPr>
        <w:spacing w:after="0" w:line="235" w:lineRule="exact"/>
        <w:rPr>
          <w:sz w:val="24"/>
          <w:szCs w:val="24"/>
          <w:color w:val="auto"/>
        </w:rPr>
      </w:pPr>
    </w:p>
    <w:p>
      <w:pPr>
        <w:spacing w:after="0" w:line="253" w:lineRule="auto"/>
        <w:rPr>
          <w:sz w:val="20"/>
          <w:szCs w:val="20"/>
          <w:color w:val="auto"/>
        </w:rPr>
      </w:pPr>
      <w:r>
        <w:rPr>
          <w:rFonts w:ascii="Arial" w:cs="Arial" w:eastAsia="Arial" w:hAnsi="Arial"/>
          <w:sz w:val="14"/>
          <w:szCs w:val="14"/>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97"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Yes___</w:t>
      </w:r>
      <w:r>
        <w:rPr>
          <w:rFonts w:ascii="Arial" w:cs="Arial" w:eastAsia="Arial" w:hAnsi="Arial"/>
          <w:sz w:val="14"/>
          <w:szCs w:val="14"/>
          <w:b w:val="1"/>
          <w:bCs w:val="1"/>
          <w:color w:val="auto"/>
        </w:rPr>
        <w:t>_</w:t>
      </w:r>
      <w:r>
        <w:rPr>
          <w:rFonts w:ascii="Arial" w:cs="Arial" w:eastAsia="Arial" w:hAnsi="Arial"/>
          <w:sz w:val="14"/>
          <w:szCs w:val="14"/>
          <w:color w:val="auto"/>
        </w:rPr>
        <w:t>___ No___</w:t>
      </w:r>
      <w:r>
        <w:rPr>
          <w:rFonts w:ascii="Arial" w:cs="Arial" w:eastAsia="Arial" w:hAnsi="Arial"/>
          <w:sz w:val="14"/>
          <w:szCs w:val="14"/>
          <w:b w:val="1"/>
          <w:bCs w:val="1"/>
          <w:u w:val="single" w:color="auto"/>
          <w:color w:val="auto"/>
        </w:rPr>
        <w:t>X</w:t>
      </w:r>
      <w:r>
        <w:rPr>
          <w:rFonts w:ascii="Arial" w:cs="Arial" w:eastAsia="Arial" w:hAnsi="Arial"/>
          <w:sz w:val="14"/>
          <w:szCs w:val="14"/>
          <w:color w:val="auto"/>
        </w:rPr>
        <w:t>___</w:t>
      </w:r>
    </w:p>
    <w:p>
      <w:pPr>
        <w:spacing w:after="0" w:line="231" w:lineRule="exact"/>
        <w:rPr>
          <w:sz w:val="24"/>
          <w:szCs w:val="24"/>
          <w:color w:val="auto"/>
        </w:rPr>
      </w:pPr>
    </w:p>
    <w:p>
      <w:pPr>
        <w:spacing w:after="0"/>
        <w:tabs>
          <w:tab w:leader="none" w:pos="6720" w:val="left"/>
        </w:tabs>
        <w:rPr>
          <w:sz w:val="20"/>
          <w:szCs w:val="20"/>
          <w:color w:val="auto"/>
        </w:rPr>
      </w:pPr>
      <w:r>
        <w:rPr>
          <w:rFonts w:ascii="Arial" w:cs="Arial" w:eastAsia="Arial" w:hAnsi="Arial"/>
          <w:sz w:val="14"/>
          <w:szCs w:val="14"/>
          <w:color w:val="auto"/>
        </w:rPr>
        <w:t>If “Yes” is marked, indicate below the file number assigned to the registrant in connection with Rule 12g3-2(b):82</w:t>
      </w:r>
      <w:r>
        <w:rPr>
          <w:sz w:val="20"/>
          <w:szCs w:val="20"/>
          <w:color w:val="auto"/>
        </w:rPr>
        <w:tab/>
      </w:r>
      <w:r>
        <w:rPr>
          <w:rFonts w:ascii="Arial" w:cs="Arial" w:eastAsia="Arial" w:hAnsi="Arial"/>
          <w:sz w:val="13"/>
          <w:szCs w:val="13"/>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 w:name="page2"/>
    <w:bookmarkEnd w:id="1"/>
    <w:p>
      <w:pPr>
        <w:jc w:val="right"/>
        <w:ind w:right="4019"/>
        <w:spacing w:after="0"/>
        <w:rPr>
          <w:sz w:val="20"/>
          <w:szCs w:val="20"/>
          <w:color w:val="auto"/>
        </w:rPr>
      </w:pPr>
      <w:r>
        <w:rPr>
          <w:rFonts w:ascii="Arial" w:cs="Arial" w:eastAsia="Arial" w:hAnsi="Arial"/>
          <w:sz w:val="14"/>
          <w:szCs w:val="14"/>
          <w:b w:val="1"/>
          <w:bCs w:val="1"/>
          <w:u w:val="single" w:color="auto"/>
          <w:color w:val="auto"/>
        </w:rPr>
        <w:t>EXHIBIT LIST</w:t>
      </w:r>
    </w:p>
    <w:p>
      <w:pPr>
        <w:spacing w:after="0" w:line="200" w:lineRule="exact"/>
        <w:rPr>
          <w:sz w:val="20"/>
          <w:szCs w:val="20"/>
          <w:color w:val="auto"/>
        </w:rPr>
      </w:pPr>
    </w:p>
    <w:p>
      <w:pPr>
        <w:spacing w:after="0" w:line="305" w:lineRule="exact"/>
        <w:rPr>
          <w:sz w:val="20"/>
          <w:szCs w:val="20"/>
          <w:color w:val="auto"/>
        </w:rPr>
      </w:pPr>
    </w:p>
    <w:p>
      <w:pPr>
        <w:spacing w:after="0"/>
        <w:tabs>
          <w:tab w:leader="none" w:pos="1480" w:val="left"/>
        </w:tabs>
        <w:rPr>
          <w:sz w:val="20"/>
          <w:szCs w:val="20"/>
          <w:color w:val="auto"/>
        </w:rPr>
      </w:pPr>
      <w:r>
        <w:rPr>
          <w:rFonts w:ascii="Arial" w:cs="Arial" w:eastAsia="Arial" w:hAnsi="Arial"/>
          <w:sz w:val="14"/>
          <w:szCs w:val="14"/>
          <w:u w:val="single" w:color="auto"/>
          <w:color w:val="auto"/>
        </w:rPr>
        <w:t>Exhibit</w:t>
      </w:r>
      <w:r>
        <w:rPr>
          <w:sz w:val="20"/>
          <w:szCs w:val="20"/>
          <w:color w:val="auto"/>
        </w:rPr>
        <w:tab/>
      </w:r>
      <w:r>
        <w:rPr>
          <w:rFonts w:ascii="Arial" w:cs="Arial" w:eastAsia="Arial" w:hAnsi="Arial"/>
          <w:sz w:val="14"/>
          <w:szCs w:val="14"/>
          <w:u w:val="single" w:color="auto"/>
          <w:color w:val="auto"/>
        </w:rPr>
        <w:t>Description</w:t>
      </w:r>
    </w:p>
    <w:p>
      <w:pPr>
        <w:spacing w:after="0" w:line="271" w:lineRule="exact"/>
        <w:rPr>
          <w:sz w:val="20"/>
          <w:szCs w:val="20"/>
          <w:color w:val="auto"/>
        </w:rPr>
      </w:pPr>
    </w:p>
    <w:p>
      <w:pPr>
        <w:spacing w:after="0"/>
        <w:tabs>
          <w:tab w:leader="none" w:pos="1480" w:val="left"/>
        </w:tabs>
        <w:rPr>
          <w:sz w:val="20"/>
          <w:szCs w:val="20"/>
          <w:color w:val="auto"/>
        </w:rPr>
      </w:pPr>
      <w:r>
        <w:rPr>
          <w:rFonts w:ascii="Arial" w:cs="Arial" w:eastAsia="Arial" w:hAnsi="Arial"/>
          <w:sz w:val="14"/>
          <w:szCs w:val="14"/>
          <w:color w:val="auto"/>
        </w:rPr>
        <w:t>99.1</w:t>
      </w:r>
      <w:r>
        <w:rPr>
          <w:sz w:val="20"/>
          <w:szCs w:val="20"/>
          <w:color w:val="auto"/>
        </w:rPr>
        <w:tab/>
      </w:r>
      <w:r>
        <w:rPr>
          <w:rFonts w:ascii="Arial" w:cs="Arial" w:eastAsia="Arial" w:hAnsi="Arial"/>
          <w:sz w:val="13"/>
          <w:szCs w:val="13"/>
          <w:color w:val="auto"/>
        </w:rPr>
        <w:t>Letter to Shareholders of ICON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250825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360" w:right="1440" w:bottom="1440" w:gutter="0" w:footer="0" w:header="0"/>
        </w:sectPr>
      </w:pPr>
    </w:p>
    <w:bookmarkStart w:id="2" w:name="page3"/>
    <w:bookmarkEnd w:id="2"/>
    <w:p>
      <w:pPr>
        <w:ind w:left="5260"/>
        <w:spacing w:after="0"/>
        <w:rPr>
          <w:sz w:val="20"/>
          <w:szCs w:val="20"/>
          <w:color w:val="auto"/>
        </w:rPr>
      </w:pPr>
      <w:r>
        <w:rPr>
          <w:rFonts w:ascii="Arial" w:cs="Arial" w:eastAsia="Arial" w:hAnsi="Arial"/>
          <w:sz w:val="14"/>
          <w:szCs w:val="14"/>
          <w:b w:val="1"/>
          <w:bCs w:val="1"/>
          <w:color w:val="auto"/>
        </w:rPr>
        <w:t>SIGNATURES</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20" w:type="dxa"/>
            <w:vAlign w:val="bottom"/>
          </w:tcPr>
          <w:p>
            <w:pPr>
              <w:spacing w:after="0"/>
              <w:rPr>
                <w:sz w:val="16"/>
                <w:szCs w:val="16"/>
                <w:color w:val="auto"/>
              </w:rPr>
            </w:pPr>
          </w:p>
        </w:tc>
        <w:tc>
          <w:tcPr>
            <w:tcW w:w="1340" w:type="dxa"/>
            <w:vAlign w:val="bottom"/>
            <w:gridSpan w:val="2"/>
          </w:tcPr>
          <w:p>
            <w:pPr>
              <w:spacing w:after="0"/>
              <w:rPr>
                <w:sz w:val="20"/>
                <w:szCs w:val="20"/>
                <w:color w:val="auto"/>
              </w:rPr>
            </w:pPr>
            <w:r>
              <w:rPr>
                <w:rFonts w:ascii="Arial" w:cs="Arial" w:eastAsia="Arial" w:hAnsi="Arial"/>
                <w:sz w:val="14"/>
                <w:szCs w:val="14"/>
                <w:b w:val="1"/>
                <w:bCs w:val="1"/>
                <w:color w:val="auto"/>
              </w:rPr>
              <w:t>ICON plc</w:t>
            </w:r>
          </w:p>
        </w:tc>
        <w:tc>
          <w:tcPr>
            <w:tcW w:w="0" w:type="dxa"/>
            <w:vAlign w:val="bottom"/>
          </w:tcPr>
          <w:p>
            <w:pPr>
              <w:spacing w:after="0"/>
              <w:rPr>
                <w:sz w:val="1"/>
                <w:szCs w:val="1"/>
                <w:color w:val="auto"/>
              </w:rPr>
            </w:pPr>
          </w:p>
        </w:tc>
      </w:tr>
      <w:tr>
        <w:trPr>
          <w:trHeight w:val="714"/>
        </w:trPr>
        <w:tc>
          <w:tcPr>
            <w:tcW w:w="5720" w:type="dxa"/>
            <w:vAlign w:val="bottom"/>
            <w:vMerge w:val="restart"/>
          </w:tcPr>
          <w:p>
            <w:pPr>
              <w:spacing w:after="0"/>
              <w:rPr>
                <w:sz w:val="20"/>
                <w:szCs w:val="20"/>
                <w:color w:val="auto"/>
              </w:rPr>
            </w:pPr>
            <w:r>
              <w:rPr>
                <w:rFonts w:ascii="Arial" w:cs="Arial" w:eastAsia="Arial" w:hAnsi="Arial"/>
                <w:sz w:val="14"/>
                <w:szCs w:val="14"/>
                <w:color w:val="auto"/>
              </w:rPr>
              <w:t>Date: July 10, 2008</w:t>
            </w:r>
          </w:p>
        </w:tc>
        <w:tc>
          <w:tcPr>
            <w:tcW w:w="1340" w:type="dxa"/>
            <w:vAlign w:val="bottom"/>
            <w:gridSpan w:val="2"/>
          </w:tcPr>
          <w:p>
            <w:pPr>
              <w:spacing w:after="0"/>
              <w:rPr>
                <w:sz w:val="20"/>
                <w:szCs w:val="20"/>
                <w:color w:val="auto"/>
              </w:rPr>
            </w:pPr>
            <w:r>
              <w:rPr>
                <w:rFonts w:ascii="Arial" w:cs="Arial" w:eastAsia="Arial" w:hAnsi="Arial"/>
                <w:sz w:val="14"/>
                <w:szCs w:val="14"/>
                <w:color w:val="auto"/>
              </w:rPr>
              <w:t>/s/ Ciaran Murray</w:t>
            </w:r>
          </w:p>
        </w:tc>
        <w:tc>
          <w:tcPr>
            <w:tcW w:w="0" w:type="dxa"/>
            <w:vAlign w:val="bottom"/>
          </w:tcPr>
          <w:p>
            <w:pPr>
              <w:spacing w:after="0"/>
              <w:rPr>
                <w:sz w:val="1"/>
                <w:szCs w:val="1"/>
                <w:color w:val="auto"/>
              </w:rPr>
            </w:pPr>
          </w:p>
        </w:tc>
      </w:tr>
      <w:tr>
        <w:trPr>
          <w:trHeight w:val="76"/>
        </w:trPr>
        <w:tc>
          <w:tcPr>
            <w:tcW w:w="5720" w:type="dxa"/>
            <w:vAlign w:val="bottom"/>
            <w:vMerge w:val="continue"/>
          </w:tcPr>
          <w:p>
            <w:pPr>
              <w:spacing w:after="0"/>
              <w:rPr>
                <w:sz w:val="6"/>
                <w:szCs w:val="6"/>
                <w:color w:val="auto"/>
              </w:rPr>
            </w:pPr>
          </w:p>
        </w:tc>
        <w:tc>
          <w:tcPr>
            <w:tcW w:w="1020" w:type="dxa"/>
            <w:vAlign w:val="bottom"/>
            <w:tcBorders>
              <w:top w:val="single" w:sz="8" w:color="auto"/>
            </w:tcBorders>
            <w:vMerge w:val="restart"/>
          </w:tcPr>
          <w:p>
            <w:pPr>
              <w:spacing w:after="0"/>
              <w:rPr>
                <w:sz w:val="20"/>
                <w:szCs w:val="20"/>
                <w:color w:val="auto"/>
              </w:rPr>
            </w:pPr>
            <w:r>
              <w:rPr>
                <w:rFonts w:ascii="Arial" w:cs="Arial" w:eastAsia="Arial" w:hAnsi="Arial"/>
                <w:sz w:val="14"/>
                <w:szCs w:val="14"/>
                <w:color w:val="auto"/>
              </w:rPr>
              <w:t>Ciaran Murray</w:t>
            </w:r>
          </w:p>
        </w:tc>
        <w:tc>
          <w:tcPr>
            <w:tcW w:w="3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57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720" w:type="dxa"/>
            <w:vAlign w:val="bottom"/>
          </w:tcPr>
          <w:p>
            <w:pPr>
              <w:spacing w:after="0"/>
              <w:rPr>
                <w:sz w:val="15"/>
                <w:szCs w:val="15"/>
                <w:color w:val="auto"/>
              </w:rPr>
            </w:pPr>
          </w:p>
        </w:tc>
        <w:tc>
          <w:tcPr>
            <w:tcW w:w="1340" w:type="dxa"/>
            <w:vAlign w:val="bottom"/>
            <w:gridSpan w:val="2"/>
          </w:tcPr>
          <w:p>
            <w:pPr>
              <w:spacing w:after="0"/>
              <w:rPr>
                <w:sz w:val="20"/>
                <w:szCs w:val="20"/>
                <w:color w:val="auto"/>
              </w:rPr>
            </w:pPr>
            <w:r>
              <w:rPr>
                <w:rFonts w:ascii="Arial" w:cs="Arial" w:eastAsia="Arial" w:hAnsi="Arial"/>
                <w:sz w:val="14"/>
                <w:szCs w:val="14"/>
                <w:color w:val="auto"/>
                <w:w w:val="95"/>
              </w:rPr>
              <w:t>Chief Financial Officer</w:t>
            </w:r>
          </w:p>
        </w:tc>
        <w:tc>
          <w:tcPr>
            <w:tcW w:w="0" w:type="dxa"/>
            <w:vAlign w:val="bottom"/>
          </w:tcPr>
          <w:p>
            <w:pPr>
              <w:spacing w:after="0"/>
              <w:rPr>
                <w:sz w:val="1"/>
                <w:szCs w:val="1"/>
                <w:color w:val="auto"/>
              </w:rPr>
            </w:pPr>
          </w:p>
        </w:tc>
      </w:tr>
    </w:tbl>
    <w:p>
      <w:pPr>
        <w:sectPr>
          <w:pgSz w:w="11900" w:h="16838" w:orient="portrait"/>
          <w:cols w:equalWidth="0" w:num="1">
            <w:col w:w="10480"/>
          </w:cols>
          <w:pgMar w:left="240" w:top="360" w:right="1179" w:bottom="1440" w:gutter="0" w:footer="0" w:header="0"/>
        </w:sectPr>
      </w:pPr>
    </w:p>
    <w:bookmarkStart w:id="3" w:name="page4"/>
    <w:bookmarkEnd w:id="3"/>
    <w:p>
      <w:pPr>
        <w:jc w:val="right"/>
        <w:spacing w:after="0"/>
        <w:rPr>
          <w:sz w:val="20"/>
          <w:szCs w:val="20"/>
          <w:color w:val="auto"/>
        </w:rPr>
      </w:pPr>
      <w:r>
        <w:rPr>
          <w:rFonts w:ascii="Arial" w:cs="Arial" w:eastAsia="Arial" w:hAnsi="Arial"/>
          <w:sz w:val="14"/>
          <w:szCs w:val="14"/>
          <w:b w:val="1"/>
          <w:bCs w:val="1"/>
          <w:color w:val="auto"/>
        </w:rPr>
        <w:t>Exhibit 99.1</w:t>
      </w:r>
    </w:p>
    <w:p>
      <w:pPr>
        <w:spacing w:after="0" w:line="234" w:lineRule="exact"/>
        <w:rPr>
          <w:sz w:val="20"/>
          <w:szCs w:val="20"/>
          <w:color w:val="auto"/>
        </w:rPr>
      </w:pPr>
    </w:p>
    <w:p>
      <w:pPr>
        <w:spacing w:after="0"/>
        <w:rPr>
          <w:sz w:val="20"/>
          <w:szCs w:val="20"/>
          <w:color w:val="auto"/>
        </w:rPr>
      </w:pPr>
      <w:r>
        <w:rPr>
          <w:rFonts w:ascii="Arial" w:cs="Arial" w:eastAsia="Arial" w:hAnsi="Arial"/>
          <w:sz w:val="14"/>
          <w:szCs w:val="14"/>
          <w:color w:val="auto"/>
        </w:rPr>
        <w:t>Letter to Shareholders of ICON plc</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Dear All</w:t>
      </w:r>
    </w:p>
    <w:p>
      <w:pPr>
        <w:spacing w:after="0" w:line="231" w:lineRule="exact"/>
        <w:rPr>
          <w:sz w:val="20"/>
          <w:szCs w:val="20"/>
          <w:color w:val="auto"/>
        </w:rPr>
      </w:pPr>
    </w:p>
    <w:p>
      <w:pPr>
        <w:jc w:val="both"/>
        <w:ind w:right="40"/>
        <w:spacing w:after="0" w:line="253" w:lineRule="auto"/>
        <w:rPr>
          <w:sz w:val="20"/>
          <w:szCs w:val="20"/>
          <w:color w:val="auto"/>
        </w:rPr>
      </w:pPr>
      <w:r>
        <w:rPr>
          <w:rFonts w:ascii="Arial" w:cs="Arial" w:eastAsia="Arial" w:hAnsi="Arial"/>
          <w:sz w:val="14"/>
          <w:szCs w:val="14"/>
          <w:color w:val="auto"/>
        </w:rPr>
        <w:t>In response to the negative voting recommendations on our proposed share award plans made by Institutional Shareholder Services Inc and which we addressed in our communication to you on July 8, we have been in direct contact with a substantial percentage of our shareholders and we would like to share their feedback with you.</w:t>
      </w:r>
    </w:p>
    <w:p>
      <w:pPr>
        <w:spacing w:after="0" w:line="201" w:lineRule="exact"/>
        <w:rPr>
          <w:sz w:val="20"/>
          <w:szCs w:val="20"/>
          <w:color w:val="auto"/>
        </w:rPr>
      </w:pPr>
    </w:p>
    <w:p>
      <w:pPr>
        <w:jc w:val="both"/>
        <w:ind w:right="20"/>
        <w:spacing w:after="0" w:line="264" w:lineRule="auto"/>
        <w:rPr>
          <w:sz w:val="20"/>
          <w:szCs w:val="20"/>
          <w:color w:val="auto"/>
        </w:rPr>
      </w:pPr>
      <w:r>
        <w:rPr>
          <w:rFonts w:ascii="Arial" w:cs="Arial" w:eastAsia="Arial" w:hAnsi="Arial"/>
          <w:sz w:val="13"/>
          <w:szCs w:val="13"/>
          <w:color w:val="auto"/>
        </w:rPr>
        <w:t>We have received positive feedback from substantially all of the investors that we have spoken to. Indeed a significant majority have already indicated that they will vote in favour of the resolutions while others have said that they will need to work with their compliance departments in view of the proxy advisor services’ recommendations. All have indicated that they understand and appreciate management’s rationale for trying to introduce these new share compensation plans in terms of staff incentivisation and retention, and permitting a global company to compete in a global market.</w:t>
      </w:r>
    </w:p>
    <w:p>
      <w:pPr>
        <w:spacing w:after="0" w:line="195" w:lineRule="exact"/>
        <w:rPr>
          <w:sz w:val="20"/>
          <w:szCs w:val="20"/>
          <w:color w:val="auto"/>
        </w:rPr>
      </w:pPr>
    </w:p>
    <w:p>
      <w:pPr>
        <w:ind w:right="100"/>
        <w:spacing w:after="0" w:line="291" w:lineRule="auto"/>
        <w:rPr>
          <w:sz w:val="20"/>
          <w:szCs w:val="20"/>
          <w:color w:val="auto"/>
        </w:rPr>
      </w:pPr>
      <w:r>
        <w:rPr>
          <w:rFonts w:ascii="Arial" w:cs="Arial" w:eastAsia="Arial" w:hAnsi="Arial"/>
          <w:sz w:val="13"/>
          <w:szCs w:val="13"/>
          <w:color w:val="auto"/>
        </w:rPr>
        <w:t>We hope this information is helpful to you as you make your decision. To allow you time to further consider our proposed share award plans we have extended the proxy voting deadline from 5.00 pm Eastern Standard Time on July 11 to 3.00 pm Eastern Standard Time on July 17. Please be advised that the internet and telephone voting deadline will be 11.59 pm on July 16.</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color w:val="auto"/>
        </w:rPr>
        <w:t>Regards</w:t>
      </w:r>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color w:val="auto"/>
        </w:rPr>
        <w:t>/s/ Peter Gray</w:t>
      </w:r>
    </w:p>
    <w:p>
      <w:pPr>
        <w:spacing w:after="0" w:line="221" w:lineRule="auto"/>
        <w:rPr>
          <w:sz w:val="20"/>
          <w:szCs w:val="20"/>
          <w:color w:val="auto"/>
        </w:rPr>
      </w:pPr>
      <w:r>
        <w:rPr>
          <w:rFonts w:ascii="Arial" w:cs="Arial" w:eastAsia="Arial" w:hAnsi="Arial"/>
          <w:sz w:val="14"/>
          <w:szCs w:val="14"/>
          <w:color w:val="auto"/>
        </w:rPr>
        <w:t>CEO</w:t>
      </w:r>
    </w:p>
    <w:p>
      <w:pPr>
        <w:spacing w:after="0"/>
        <w:rPr>
          <w:sz w:val="20"/>
          <w:szCs w:val="20"/>
          <w:color w:val="auto"/>
        </w:rPr>
      </w:pPr>
      <w:r>
        <w:rPr>
          <w:rFonts w:ascii="Arial" w:cs="Arial" w:eastAsia="Arial" w:hAnsi="Arial"/>
          <w:sz w:val="14"/>
          <w:szCs w:val="14"/>
          <w:color w:val="auto"/>
        </w:rPr>
        <w:t>ICON plc</w:t>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2019-12-14T20:50:13Z</dcterms:created>
  <dcterms:modified xsi:type="dcterms:W3CDTF">2019-12-14T20:50:13Z</dcterms:modified>
</cp:coreProperties>
</file>